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仿宋_GB2312" w:hAnsi="仿宋_GB2312" w:eastAsia="仿宋_GB2312" w:cs="仿宋_GB2312"/>
          <w:color w:val="auto"/>
          <w:sz w:val="36"/>
          <w:szCs w:val="36"/>
          <w:lang w:val="en-US" w:eastAsia="zh-CN"/>
        </w:rPr>
      </w:pPr>
      <w:r>
        <w:rPr>
          <w:rFonts w:hint="eastAsia" w:ascii="仿宋_GB2312" w:hAnsi="仿宋_GB2312" w:eastAsia="仿宋_GB2312" w:cs="仿宋_GB2312"/>
          <w:color w:val="auto"/>
          <w:sz w:val="36"/>
          <w:szCs w:val="36"/>
          <w:lang w:val="en-US" w:eastAsia="zh-CN"/>
        </w:rPr>
        <w:t xml:space="preserve">   </w:t>
      </w:r>
    </w:p>
    <w:p>
      <w:pPr>
        <w:pStyle w:val="40"/>
        <w:rPr>
          <w:color w:val="auto"/>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adjustRightInd w:val="0"/>
        <w:snapToGrid w:val="0"/>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lang w:val="en-US" w:eastAsia="zh-CN"/>
        </w:rPr>
        <w:t xml:space="preserve">  </w:t>
      </w:r>
      <w:bookmarkStart w:id="0" w:name="_Toc6970"/>
      <w:bookmarkStart w:id="1" w:name="_Toc4220"/>
      <w:bookmarkStart w:id="2" w:name="_Toc5754"/>
      <w:r>
        <w:rPr>
          <w:rFonts w:hint="eastAsia" w:ascii="方正小标宋_GBK" w:eastAsia="方正小标宋_GBK"/>
          <w:bCs/>
          <w:color w:val="auto"/>
          <w:sz w:val="72"/>
          <w:szCs w:val="72"/>
        </w:rPr>
        <w:t>建设项目环境影响报告表</w:t>
      </w:r>
      <w:bookmarkEnd w:id="0"/>
      <w:bookmarkEnd w:id="1"/>
      <w:bookmarkEnd w:id="2"/>
    </w:p>
    <w:p>
      <w:pPr>
        <w:adjustRightInd w:val="0"/>
        <w:snapToGrid w:val="0"/>
        <w:spacing w:before="192" w:beforeLines="80"/>
        <w:jc w:val="center"/>
        <w:rPr>
          <w:rFonts w:hint="default" w:ascii="楷体_GB2312" w:eastAsia="楷体_GB2312"/>
          <w:bCs/>
          <w:color w:val="auto"/>
          <w:sz w:val="48"/>
          <w:szCs w:val="48"/>
          <w:lang w:val="en-US" w:eastAsia="zh-CN"/>
        </w:rPr>
      </w:pPr>
      <w:r>
        <w:rPr>
          <w:rFonts w:hint="eastAsia" w:ascii="楷体_GB2312" w:eastAsia="楷体_GB2312"/>
          <w:bCs/>
          <w:color w:val="auto"/>
          <w:sz w:val="48"/>
          <w:szCs w:val="48"/>
        </w:rPr>
        <w:t>（污染影响类）</w:t>
      </w:r>
    </w:p>
    <w:p>
      <w:pPr>
        <w:adjustRightInd w:val="0"/>
        <w:snapToGrid w:val="0"/>
        <w:spacing w:line="288" w:lineRule="auto"/>
        <w:jc w:val="center"/>
        <w:rPr>
          <w:rFonts w:ascii="华文仿宋" w:hAnsi="华文仿宋" w:eastAsia="华文仿宋" w:cs="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0000FF"/>
          <w:sz w:val="44"/>
          <w:szCs w:val="44"/>
        </w:rPr>
      </w:pPr>
    </w:p>
    <w:p>
      <w:pPr>
        <w:ind w:firstLine="1040"/>
        <w:rPr>
          <w:rFonts w:eastAsia="仿宋"/>
          <w:color w:val="0000FF"/>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_GB2312" w:eastAsia="仿宋_GB2312"/>
          <w:color w:val="auto"/>
          <w:sz w:val="36"/>
          <w:szCs w:val="36"/>
          <w:u w:val="single"/>
          <w:lang w:val="en-US" w:eastAsia="zh-CN"/>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 xml:space="preserve">渭南高新区海泰新型电子材料有限责任公司危废暂存间建设项目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ascii="仿宋_GB2312" w:eastAsia="仿宋_GB2312"/>
          <w:color w:val="auto"/>
          <w:sz w:val="36"/>
          <w:szCs w:val="36"/>
          <w:u w:val="single"/>
        </w:rPr>
      </w:pPr>
      <w:r>
        <w:rPr>
          <w:rFonts w:hint="eastAsia" w:ascii="仿宋_GB2312" w:eastAsia="仿宋_GB2312"/>
          <w:color w:val="auto"/>
          <w:sz w:val="36"/>
          <w:szCs w:val="36"/>
        </w:rPr>
        <w:t>建设单位：</w:t>
      </w:r>
      <w:r>
        <w:rPr>
          <w:rFonts w:hint="eastAsia" w:ascii="仿宋_GB2312" w:eastAsia="仿宋_GB2312"/>
          <w:color w:val="auto"/>
          <w:sz w:val="36"/>
          <w:szCs w:val="36"/>
          <w:u w:val="single"/>
          <w:lang w:val="en-US" w:eastAsia="zh-CN"/>
        </w:rPr>
        <w:t xml:space="preserve">渭南高新区海泰新型电子材料有限责任公司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_GB2312" w:eastAsia="仿宋_GB2312"/>
          <w:color w:val="0000FF"/>
          <w:sz w:val="36"/>
          <w:szCs w:val="36"/>
          <w:u w:val="single"/>
          <w:lang w:val="en-US" w:eastAsia="zh-CN"/>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202</w:t>
      </w:r>
      <w:r>
        <w:rPr>
          <w:rFonts w:hint="eastAsia" w:ascii="仿宋_GB2312" w:eastAsia="仿宋_GB2312"/>
          <w:color w:val="auto"/>
          <w:sz w:val="36"/>
          <w:szCs w:val="36"/>
          <w:u w:val="single"/>
          <w:lang w:val="en-US" w:eastAsia="zh-CN"/>
        </w:rPr>
        <w:t>3</w:t>
      </w:r>
      <w:r>
        <w:rPr>
          <w:rFonts w:hint="eastAsia" w:ascii="仿宋_GB2312" w:eastAsia="仿宋_GB2312"/>
          <w:color w:val="auto"/>
          <w:sz w:val="36"/>
          <w:szCs w:val="36"/>
          <w:u w:val="single"/>
        </w:rPr>
        <w:t>年</w:t>
      </w:r>
      <w:r>
        <w:rPr>
          <w:rFonts w:hint="eastAsia" w:ascii="仿宋_GB2312" w:eastAsia="仿宋_GB2312"/>
          <w:color w:val="auto"/>
          <w:sz w:val="36"/>
          <w:szCs w:val="36"/>
          <w:u w:val="single"/>
          <w:lang w:val="en-US" w:eastAsia="zh-CN"/>
        </w:rPr>
        <w:t>7</w:t>
      </w:r>
      <w:r>
        <w:rPr>
          <w:rFonts w:hint="eastAsia" w:ascii="仿宋_GB2312" w:eastAsia="仿宋_GB2312"/>
          <w:color w:val="auto"/>
          <w:sz w:val="36"/>
          <w:szCs w:val="36"/>
          <w:u w:val="single"/>
        </w:rPr>
        <w:t>月</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rPr>
        <w:t xml:space="preserve"> </w:t>
      </w:r>
      <w:r>
        <w:rPr>
          <w:rFonts w:hint="eastAsia" w:ascii="仿宋_GB2312" w:eastAsia="仿宋_GB2312"/>
          <w:color w:val="0000FF"/>
          <w:sz w:val="36"/>
          <w:szCs w:val="36"/>
          <w:lang w:val="en-US" w:eastAsia="zh-CN"/>
        </w:rPr>
        <w:t xml:space="preserve"> </w:t>
      </w:r>
    </w:p>
    <w:p>
      <w:pPr>
        <w:adjustRightInd w:val="0"/>
        <w:snapToGrid w:val="0"/>
        <w:spacing w:line="288" w:lineRule="auto"/>
        <w:ind w:firstLine="1040"/>
        <w:rPr>
          <w:rFonts w:ascii="仿宋_GB2312" w:eastAsia="仿宋_GB2312"/>
          <w:color w:val="0000FF"/>
          <w:sz w:val="36"/>
          <w:szCs w:val="36"/>
          <w:u w:val="single"/>
        </w:rPr>
      </w:pPr>
      <w:bookmarkStart w:id="3" w:name="_Hlk57884087"/>
    </w:p>
    <w:p>
      <w:pPr>
        <w:adjustRightInd w:val="0"/>
        <w:snapToGrid w:val="0"/>
        <w:spacing w:line="288" w:lineRule="auto"/>
        <w:ind w:firstLine="1040"/>
        <w:rPr>
          <w:rFonts w:ascii="仿宋_GB2312" w:eastAsia="仿宋_GB2312"/>
          <w:color w:val="0000FF"/>
          <w:sz w:val="36"/>
          <w:szCs w:val="36"/>
        </w:rPr>
      </w:pPr>
      <w:bookmarkStart w:id="19" w:name="_GoBack"/>
      <w:bookmarkEnd w:id="19"/>
    </w:p>
    <w:p>
      <w:pPr>
        <w:adjustRightInd w:val="0"/>
        <w:snapToGrid w:val="0"/>
        <w:spacing w:line="288" w:lineRule="auto"/>
        <w:ind w:firstLine="1040"/>
        <w:rPr>
          <w:rFonts w:ascii="仿宋_GB2312" w:eastAsia="仿宋_GB2312"/>
          <w:color w:val="0000FF"/>
          <w:sz w:val="36"/>
          <w:szCs w:val="36"/>
        </w:rPr>
      </w:pPr>
    </w:p>
    <w:bookmarkEnd w:id="3"/>
    <w:p>
      <w:pPr>
        <w:bidi w:val="0"/>
        <w:jc w:val="center"/>
        <w:rPr>
          <w:sz w:val="36"/>
          <w:szCs w:val="36"/>
        </w:rPr>
      </w:pPr>
      <w:bookmarkStart w:id="4" w:name="_Toc4322"/>
      <w:r>
        <w:rPr>
          <w:rFonts w:hint="eastAsia"/>
          <w:sz w:val="36"/>
          <w:szCs w:val="36"/>
        </w:rPr>
        <w:t>中华人民共和国生态环境部制</w:t>
      </w:r>
      <w:bookmarkEnd w:id="4"/>
    </w:p>
    <w:p>
      <w:pPr>
        <w:adjustRightInd w:val="0"/>
        <w:snapToGrid w:val="0"/>
        <w:spacing w:line="288" w:lineRule="auto"/>
        <w:ind w:firstLine="1040"/>
        <w:rPr>
          <w:rFonts w:ascii="仿宋_GB2312" w:eastAsia="仿宋_GB2312"/>
          <w:color w:val="auto"/>
          <w:sz w:val="36"/>
          <w:szCs w:val="36"/>
        </w:rPr>
        <w:sectPr>
          <w:footerReference r:id="rId3"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4"/>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sdt>
      <w:sdtPr>
        <w:rPr>
          <w:b/>
          <w:bCs/>
          <w:lang w:val="en-US" w:eastAsia="zh-CN"/>
        </w:rPr>
        <w:id w:val="147452213"/>
        <w15:color w:val="DBDBDB"/>
        <w:docPartObj>
          <w:docPartGallery w:val="Table of Contents"/>
          <w:docPartUnique/>
        </w:docPartObj>
      </w:sdtPr>
      <w:sdtEndPr>
        <w:rPr>
          <w:rFonts w:ascii="宋体" w:hAnsi="Times New Roman" w:eastAsia="宋体" w:cs="宋体"/>
          <w:b/>
          <w:bCs/>
          <w:color w:val="auto"/>
          <w:sz w:val="24"/>
          <w:szCs w:val="24"/>
          <w:lang w:val="en-US" w:eastAsia="zh-CN" w:bidi="ar-SA"/>
        </w:rPr>
      </w:sdtEndPr>
      <w:sdtContent>
        <w:p>
          <w:pPr>
            <w:pStyle w:val="4"/>
            <w:bidi w:val="0"/>
            <w:jc w:val="center"/>
            <w:rPr>
              <w:b/>
              <w:bCs/>
            </w:rPr>
          </w:pPr>
          <w:r>
            <w:rPr>
              <w:b/>
              <w:bCs/>
            </w:rPr>
            <w:t>目录</w:t>
          </w:r>
        </w:p>
        <w:p>
          <w:pPr>
            <w:pStyle w:val="23"/>
            <w:tabs>
              <w:tab w:val="right" w:leader="dot" w:pos="8844"/>
            </w:tabs>
          </w:pPr>
          <w:r>
            <w:rPr>
              <w:color w:val="auto"/>
            </w:rPr>
            <w:fldChar w:fldCharType="begin"/>
          </w:r>
          <w:r>
            <w:rPr>
              <w:color w:val="auto"/>
            </w:rPr>
            <w:instrText xml:space="preserve">TOC \o "1-1" \h \u </w:instrText>
          </w:r>
          <w:r>
            <w:rPr>
              <w:color w:val="auto"/>
            </w:rPr>
            <w:fldChar w:fldCharType="separate"/>
          </w:r>
          <w:r>
            <w:rPr>
              <w:color w:val="auto"/>
            </w:rPr>
            <w:fldChar w:fldCharType="begin"/>
          </w:r>
          <w:r>
            <w:instrText xml:space="preserve"> HYPERLINK \l _Toc5754 </w:instrText>
          </w:r>
          <w:r>
            <w:fldChar w:fldCharType="separate"/>
          </w:r>
          <w:r>
            <w:rPr>
              <w:rFonts w:hint="eastAsia" w:ascii="方正小标宋_GBK" w:eastAsia="方正小标宋_GBK"/>
              <w:bCs/>
              <w:szCs w:val="72"/>
            </w:rPr>
            <w:t>建设项目环境影响报告表</w:t>
          </w:r>
          <w:r>
            <w:tab/>
          </w:r>
          <w:r>
            <w:fldChar w:fldCharType="begin"/>
          </w:r>
          <w:r>
            <w:instrText xml:space="preserve"> PAGEREF _Toc5754 \h </w:instrText>
          </w:r>
          <w:r>
            <w:fldChar w:fldCharType="separate"/>
          </w:r>
          <w:r>
            <w:t>3</w:t>
          </w:r>
          <w:r>
            <w:fldChar w:fldCharType="end"/>
          </w:r>
          <w:r>
            <w:rPr>
              <w:color w:val="auto"/>
            </w:rPr>
            <w:fldChar w:fldCharType="end"/>
          </w:r>
        </w:p>
        <w:p>
          <w:pPr>
            <w:pStyle w:val="23"/>
            <w:tabs>
              <w:tab w:val="right" w:leader="dot" w:pos="8844"/>
            </w:tabs>
          </w:pPr>
          <w:r>
            <w:rPr>
              <w:color w:val="auto"/>
            </w:rPr>
            <w:fldChar w:fldCharType="begin"/>
          </w:r>
          <w:r>
            <w:instrText xml:space="preserve"> HYPERLINK \l _Toc29904 </w:instrText>
          </w:r>
          <w:r>
            <w:fldChar w:fldCharType="separate"/>
          </w:r>
          <w:r>
            <w:rPr>
              <w:rFonts w:hint="eastAsia" w:ascii="黑体" w:hAnsi="黑体" w:eastAsia="黑体"/>
              <w:snapToGrid w:val="0"/>
              <w:szCs w:val="30"/>
            </w:rPr>
            <w:t>一、建设项目基本情况</w:t>
          </w:r>
          <w:r>
            <w:tab/>
          </w:r>
          <w:r>
            <w:fldChar w:fldCharType="begin"/>
          </w:r>
          <w:r>
            <w:instrText xml:space="preserve"> PAGEREF _Toc29904 \h </w:instrText>
          </w:r>
          <w:r>
            <w:fldChar w:fldCharType="separate"/>
          </w:r>
          <w:r>
            <w:t>1</w:t>
          </w:r>
          <w:r>
            <w:fldChar w:fldCharType="end"/>
          </w:r>
          <w:r>
            <w:rPr>
              <w:color w:val="auto"/>
            </w:rPr>
            <w:fldChar w:fldCharType="end"/>
          </w:r>
        </w:p>
        <w:p>
          <w:pPr>
            <w:pStyle w:val="23"/>
            <w:tabs>
              <w:tab w:val="right" w:leader="dot" w:pos="8844"/>
            </w:tabs>
          </w:pPr>
          <w:r>
            <w:rPr>
              <w:color w:val="auto"/>
            </w:rPr>
            <w:fldChar w:fldCharType="begin"/>
          </w:r>
          <w:r>
            <w:instrText xml:space="preserve"> HYPERLINK \l _Toc28018 </w:instrText>
          </w:r>
          <w:r>
            <w:fldChar w:fldCharType="separate"/>
          </w:r>
          <w:r>
            <w:rPr>
              <w:rFonts w:hint="eastAsia" w:ascii="黑体" w:hAnsi="黑体" w:eastAsia="黑体"/>
              <w:snapToGrid w:val="0"/>
              <w:szCs w:val="30"/>
            </w:rPr>
            <w:t>二、建设项目工程分析</w:t>
          </w:r>
          <w:r>
            <w:tab/>
          </w:r>
          <w:r>
            <w:fldChar w:fldCharType="begin"/>
          </w:r>
          <w:r>
            <w:instrText xml:space="preserve"> PAGEREF _Toc28018 \h </w:instrText>
          </w:r>
          <w:r>
            <w:fldChar w:fldCharType="separate"/>
          </w:r>
          <w:r>
            <w:t>41</w:t>
          </w:r>
          <w:r>
            <w:fldChar w:fldCharType="end"/>
          </w:r>
          <w:r>
            <w:rPr>
              <w:color w:val="auto"/>
            </w:rPr>
            <w:fldChar w:fldCharType="end"/>
          </w:r>
        </w:p>
        <w:p>
          <w:pPr>
            <w:pStyle w:val="23"/>
            <w:tabs>
              <w:tab w:val="right" w:leader="dot" w:pos="8844"/>
            </w:tabs>
          </w:pPr>
          <w:r>
            <w:rPr>
              <w:color w:val="auto"/>
            </w:rPr>
            <w:fldChar w:fldCharType="begin"/>
          </w:r>
          <w:r>
            <w:instrText xml:space="preserve"> HYPERLINK \l _Toc7309 </w:instrText>
          </w:r>
          <w:r>
            <w:fldChar w:fldCharType="separate"/>
          </w:r>
          <w:r>
            <w:rPr>
              <w:rFonts w:hint="eastAsia" w:ascii="黑体" w:hAnsi="黑体" w:eastAsia="黑体"/>
              <w:snapToGrid w:val="0"/>
              <w:szCs w:val="30"/>
            </w:rPr>
            <w:t>三、区域环境质量现状、环境保护目标及评价标准</w:t>
          </w:r>
          <w:r>
            <w:tab/>
          </w:r>
          <w:r>
            <w:fldChar w:fldCharType="begin"/>
          </w:r>
          <w:r>
            <w:instrText xml:space="preserve"> PAGEREF _Toc7309 \h </w:instrText>
          </w:r>
          <w:r>
            <w:fldChar w:fldCharType="separate"/>
          </w:r>
          <w:r>
            <w:t>70</w:t>
          </w:r>
          <w:r>
            <w:fldChar w:fldCharType="end"/>
          </w:r>
          <w:r>
            <w:rPr>
              <w:color w:val="auto"/>
            </w:rPr>
            <w:fldChar w:fldCharType="end"/>
          </w:r>
        </w:p>
        <w:p>
          <w:pPr>
            <w:pStyle w:val="23"/>
            <w:tabs>
              <w:tab w:val="right" w:leader="dot" w:pos="8844"/>
            </w:tabs>
          </w:pPr>
          <w:r>
            <w:rPr>
              <w:color w:val="auto"/>
            </w:rPr>
            <w:fldChar w:fldCharType="begin"/>
          </w:r>
          <w:r>
            <w:instrText xml:space="preserve"> HYPERLINK \l _Toc2148 </w:instrText>
          </w:r>
          <w:r>
            <w:fldChar w:fldCharType="separate"/>
          </w:r>
          <w:r>
            <w:rPr>
              <w:rFonts w:hint="eastAsia" w:ascii="黑体" w:hAnsi="黑体" w:eastAsia="黑体"/>
              <w:snapToGrid w:val="0"/>
              <w:szCs w:val="30"/>
            </w:rPr>
            <w:t>四、主要环境影响和保护措施</w:t>
          </w:r>
          <w:r>
            <w:tab/>
          </w:r>
          <w:r>
            <w:fldChar w:fldCharType="begin"/>
          </w:r>
          <w:r>
            <w:instrText xml:space="preserve"> PAGEREF _Toc2148 \h </w:instrText>
          </w:r>
          <w:r>
            <w:fldChar w:fldCharType="separate"/>
          </w:r>
          <w:r>
            <w:t>84</w:t>
          </w:r>
          <w:r>
            <w:fldChar w:fldCharType="end"/>
          </w:r>
          <w:r>
            <w:rPr>
              <w:color w:val="auto"/>
            </w:rPr>
            <w:fldChar w:fldCharType="end"/>
          </w:r>
        </w:p>
        <w:p>
          <w:pPr>
            <w:pStyle w:val="23"/>
            <w:tabs>
              <w:tab w:val="right" w:leader="dot" w:pos="8844"/>
            </w:tabs>
          </w:pPr>
          <w:r>
            <w:rPr>
              <w:color w:val="auto"/>
            </w:rPr>
            <w:fldChar w:fldCharType="begin"/>
          </w:r>
          <w:r>
            <w:instrText xml:space="preserve"> HYPERLINK \l _Toc19677 </w:instrText>
          </w:r>
          <w:r>
            <w:fldChar w:fldCharType="separate"/>
          </w:r>
          <w:r>
            <w:rPr>
              <w:rFonts w:hint="eastAsia" w:ascii="黑体" w:hAnsi="黑体" w:eastAsia="黑体"/>
              <w:snapToGrid w:val="0"/>
              <w:szCs w:val="30"/>
            </w:rPr>
            <w:t>五、环境保护措施监督检查清单</w:t>
          </w:r>
          <w:r>
            <w:tab/>
          </w:r>
          <w:r>
            <w:fldChar w:fldCharType="begin"/>
          </w:r>
          <w:r>
            <w:instrText xml:space="preserve"> PAGEREF _Toc19677 \h </w:instrText>
          </w:r>
          <w:r>
            <w:fldChar w:fldCharType="separate"/>
          </w:r>
          <w:r>
            <w:t>109</w:t>
          </w:r>
          <w:r>
            <w:fldChar w:fldCharType="end"/>
          </w:r>
          <w:r>
            <w:rPr>
              <w:color w:val="auto"/>
            </w:rPr>
            <w:fldChar w:fldCharType="end"/>
          </w:r>
        </w:p>
        <w:p>
          <w:pPr>
            <w:pStyle w:val="23"/>
            <w:tabs>
              <w:tab w:val="right" w:leader="dot" w:pos="8844"/>
            </w:tabs>
          </w:pPr>
          <w:r>
            <w:rPr>
              <w:color w:val="auto"/>
            </w:rPr>
            <w:fldChar w:fldCharType="begin"/>
          </w:r>
          <w:r>
            <w:instrText xml:space="preserve"> HYPERLINK \l _Toc19751 </w:instrText>
          </w:r>
          <w:r>
            <w:fldChar w:fldCharType="separate"/>
          </w:r>
          <w:r>
            <w:rPr>
              <w:rFonts w:hint="eastAsia" w:ascii="黑体" w:hAnsi="黑体" w:eastAsia="黑体"/>
              <w:snapToGrid w:val="0"/>
              <w:szCs w:val="30"/>
            </w:rPr>
            <w:t>六、结论</w:t>
          </w:r>
          <w:r>
            <w:tab/>
          </w:r>
          <w:r>
            <w:fldChar w:fldCharType="begin"/>
          </w:r>
          <w:r>
            <w:instrText xml:space="preserve"> PAGEREF _Toc19751 \h </w:instrText>
          </w:r>
          <w:r>
            <w:fldChar w:fldCharType="separate"/>
          </w:r>
          <w:r>
            <w:t>113</w:t>
          </w:r>
          <w:r>
            <w:fldChar w:fldCharType="end"/>
          </w:r>
          <w:r>
            <w:rPr>
              <w:color w:val="auto"/>
            </w:rPr>
            <w:fldChar w:fldCharType="end"/>
          </w:r>
        </w:p>
        <w:p>
          <w:pPr>
            <w:pStyle w:val="23"/>
            <w:tabs>
              <w:tab w:val="right" w:leader="dot" w:pos="8844"/>
            </w:tabs>
          </w:pPr>
          <w:r>
            <w:rPr>
              <w:color w:val="auto"/>
            </w:rPr>
            <w:fldChar w:fldCharType="begin"/>
          </w:r>
          <w:r>
            <w:instrText xml:space="preserve"> HYPERLINK \l _Toc29204 </w:instrText>
          </w:r>
          <w:r>
            <w:fldChar w:fldCharType="separate"/>
          </w:r>
          <w:r>
            <w:rPr>
              <w:rFonts w:hint="eastAsia" w:ascii="黑体" w:hAnsi="黑体" w:eastAsia="黑体"/>
              <w:snapToGrid w:val="0"/>
              <w:szCs w:val="32"/>
            </w:rPr>
            <w:t>附表</w:t>
          </w:r>
          <w:r>
            <w:tab/>
          </w:r>
          <w:r>
            <w:fldChar w:fldCharType="begin"/>
          </w:r>
          <w:r>
            <w:instrText xml:space="preserve"> PAGEREF _Toc29204 \h </w:instrText>
          </w:r>
          <w:r>
            <w:fldChar w:fldCharType="separate"/>
          </w:r>
          <w:r>
            <w:t>114</w:t>
          </w:r>
          <w:r>
            <w:fldChar w:fldCharType="end"/>
          </w:r>
          <w:r>
            <w:rPr>
              <w:color w:val="auto"/>
            </w:rPr>
            <w:fldChar w:fldCharType="end"/>
          </w:r>
        </w:p>
        <w:p>
          <w:pPr>
            <w:pStyle w:val="23"/>
            <w:tabs>
              <w:tab w:val="right" w:leader="dot" w:pos="8844"/>
            </w:tabs>
          </w:pPr>
          <w:r>
            <w:rPr>
              <w:color w:val="auto"/>
            </w:rPr>
            <w:fldChar w:fldCharType="begin"/>
          </w:r>
          <w:r>
            <w:instrText xml:space="preserve"> HYPERLINK \l _Toc9500 </w:instrText>
          </w:r>
          <w:r>
            <w:fldChar w:fldCharType="separate"/>
          </w:r>
          <w:r>
            <w:rPr>
              <w:rFonts w:hint="eastAsia" w:ascii="方正小标宋_GBK" w:hAnsi="黑体" w:eastAsia="方正小标宋_GBK"/>
              <w:snapToGrid w:val="0"/>
              <w:szCs w:val="38"/>
            </w:rPr>
            <w:t>建设项目污染物排放量汇总表</w:t>
          </w:r>
          <w:r>
            <w:tab/>
          </w:r>
          <w:r>
            <w:fldChar w:fldCharType="begin"/>
          </w:r>
          <w:r>
            <w:instrText xml:space="preserve"> PAGEREF _Toc9500 \h </w:instrText>
          </w:r>
          <w:r>
            <w:fldChar w:fldCharType="separate"/>
          </w:r>
          <w:r>
            <w:t>114</w:t>
          </w:r>
          <w:r>
            <w:fldChar w:fldCharType="end"/>
          </w:r>
          <w:r>
            <w:rPr>
              <w:color w:val="auto"/>
            </w:rPr>
            <w:fldChar w:fldCharType="end"/>
          </w:r>
        </w:p>
        <w:p>
          <w:pPr>
            <w:pStyle w:val="7"/>
            <w:bidi w:val="0"/>
            <w:ind w:left="0" w:leftChars="0" w:firstLine="0" w:firstLineChars="0"/>
            <w:rPr>
              <w:rFonts w:ascii="宋体" w:hAnsi="Times New Roman" w:eastAsia="宋体" w:cs="宋体"/>
              <w:color w:val="auto"/>
              <w:sz w:val="24"/>
              <w:szCs w:val="24"/>
              <w:lang w:val="en-US" w:eastAsia="zh-CN" w:bidi="ar-SA"/>
            </w:rPr>
          </w:pPr>
          <w:r>
            <w:rPr>
              <w:color w:val="auto"/>
            </w:rPr>
            <w:fldChar w:fldCharType="end"/>
          </w:r>
        </w:p>
      </w:sdtContent>
    </w:sdt>
    <w:p>
      <w:pPr>
        <w:pStyle w:val="7"/>
        <w:bidi w:val="0"/>
        <w:ind w:left="0" w:leftChars="0" w:firstLine="0" w:firstLineChars="0"/>
        <w:rPr>
          <w:rStyle w:val="91"/>
          <w:rFonts w:hint="default" w:ascii="Times New Roman" w:hAnsi="Times New Roman" w:cs="Times New Roman"/>
          <w:b/>
          <w:bCs/>
          <w:sz w:val="24"/>
          <w:szCs w:val="24"/>
          <w:lang w:val="en-US" w:eastAsia="zh-CN"/>
        </w:rPr>
      </w:pPr>
      <w:r>
        <w:rPr>
          <w:rStyle w:val="91"/>
          <w:rFonts w:hint="default" w:ascii="Times New Roman" w:hAnsi="Times New Roman" w:cs="Times New Roman"/>
          <w:b/>
          <w:bCs/>
          <w:sz w:val="24"/>
          <w:szCs w:val="24"/>
          <w:lang w:val="en-US" w:eastAsia="zh-CN"/>
        </w:rPr>
        <w:t>附图</w:t>
      </w:r>
    </w:p>
    <w:p>
      <w:pPr>
        <w:pStyle w:val="7"/>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附图1  项目地理位置图</w:t>
      </w:r>
      <w:r>
        <w:rPr>
          <w:rFonts w:hint="eastAsia" w:cs="Times New Roman"/>
          <w:sz w:val="24"/>
          <w:szCs w:val="24"/>
          <w:lang w:val="en-US" w:eastAsia="zh-CN"/>
        </w:rPr>
        <w:t>；</w:t>
      </w:r>
    </w:p>
    <w:p>
      <w:pPr>
        <w:pStyle w:val="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附图2  </w:t>
      </w:r>
      <w:r>
        <w:rPr>
          <w:rFonts w:hint="default" w:ascii="Times New Roman" w:hAnsi="Times New Roman" w:cs="Times New Roman"/>
          <w:sz w:val="24"/>
          <w:szCs w:val="24"/>
          <w:lang w:val="en-US" w:eastAsia="zh-CN"/>
        </w:rPr>
        <w:t>项目</w:t>
      </w:r>
      <w:r>
        <w:rPr>
          <w:rFonts w:hint="eastAsia" w:cs="Times New Roman"/>
          <w:sz w:val="24"/>
          <w:szCs w:val="24"/>
          <w:lang w:val="en-US" w:eastAsia="zh-CN"/>
        </w:rPr>
        <w:t>周边</w:t>
      </w:r>
      <w:r>
        <w:rPr>
          <w:rFonts w:hint="default" w:ascii="Times New Roman" w:hAnsi="Times New Roman" w:cs="Times New Roman"/>
          <w:sz w:val="24"/>
          <w:szCs w:val="24"/>
          <w:lang w:val="en-US" w:eastAsia="zh-CN"/>
        </w:rPr>
        <w:t>关系</w:t>
      </w:r>
      <w:r>
        <w:rPr>
          <w:rFonts w:hint="eastAsia" w:cs="Times New Roman"/>
          <w:sz w:val="24"/>
          <w:szCs w:val="24"/>
          <w:lang w:val="en-US" w:eastAsia="zh-CN"/>
        </w:rPr>
        <w:t>及</w:t>
      </w:r>
      <w:r>
        <w:rPr>
          <w:rFonts w:hint="default" w:ascii="Times New Roman" w:hAnsi="Times New Roman" w:cs="Times New Roman"/>
          <w:sz w:val="24"/>
          <w:szCs w:val="24"/>
          <w:lang w:val="en-US" w:eastAsia="zh-CN"/>
        </w:rPr>
        <w:t>环境保护目标分布图</w:t>
      </w:r>
      <w:r>
        <w:rPr>
          <w:rFonts w:hint="eastAsia" w:cs="Times New Roman"/>
          <w:sz w:val="24"/>
          <w:szCs w:val="24"/>
          <w:lang w:val="en-US" w:eastAsia="zh-CN"/>
        </w:rPr>
        <w:t>；</w:t>
      </w:r>
    </w:p>
    <w:p>
      <w:pPr>
        <w:pStyle w:val="7"/>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附图3  </w:t>
      </w:r>
      <w:r>
        <w:rPr>
          <w:rFonts w:hint="default" w:ascii="Times New Roman" w:hAnsi="Times New Roman" w:cs="Times New Roman"/>
          <w:color w:val="auto"/>
          <w:sz w:val="24"/>
          <w:szCs w:val="24"/>
          <w:lang w:val="en-US" w:eastAsia="zh-CN"/>
        </w:rPr>
        <w:t>项目平面布置</w:t>
      </w:r>
      <w:r>
        <w:rPr>
          <w:rFonts w:hint="eastAsia" w:cs="Times New Roman"/>
          <w:color w:val="auto"/>
          <w:sz w:val="24"/>
          <w:szCs w:val="24"/>
          <w:lang w:val="en-US" w:eastAsia="zh-CN"/>
        </w:rPr>
        <w:t>（功能布置）</w:t>
      </w:r>
      <w:r>
        <w:rPr>
          <w:rFonts w:hint="default" w:ascii="Times New Roman" w:hAnsi="Times New Roman" w:cs="Times New Roman"/>
          <w:color w:val="auto"/>
          <w:sz w:val="24"/>
          <w:szCs w:val="24"/>
          <w:lang w:val="en-US" w:eastAsia="zh-CN"/>
        </w:rPr>
        <w:t>图</w:t>
      </w:r>
      <w:r>
        <w:rPr>
          <w:rFonts w:hint="eastAsia" w:cs="Times New Roman"/>
          <w:color w:val="auto"/>
          <w:sz w:val="24"/>
          <w:szCs w:val="24"/>
          <w:lang w:val="en-US" w:eastAsia="zh-CN"/>
        </w:rPr>
        <w:t>；</w:t>
      </w:r>
    </w:p>
    <w:p>
      <w:pPr>
        <w:pStyle w:val="7"/>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附图4  项目扩建完成后分区防渗图</w:t>
      </w:r>
      <w:r>
        <w:rPr>
          <w:rFonts w:hint="eastAsia" w:cs="Times New Roman"/>
          <w:sz w:val="24"/>
          <w:szCs w:val="24"/>
          <w:lang w:val="en-US" w:eastAsia="zh-CN"/>
        </w:rPr>
        <w:t>；</w:t>
      </w:r>
    </w:p>
    <w:p>
      <w:pPr>
        <w:pStyle w:val="7"/>
        <w:bidi w:val="0"/>
        <w:rPr>
          <w:rFonts w:hint="default" w:ascii="Times New Roman" w:hAnsi="Times New Roman" w:cs="Times New Roman"/>
          <w:sz w:val="24"/>
          <w:szCs w:val="24"/>
          <w:lang w:val="en-US" w:eastAsia="zh-CN"/>
        </w:rPr>
      </w:pPr>
      <w:r>
        <w:rPr>
          <w:rFonts w:hint="eastAsia" w:cs="Times New Roman"/>
          <w:sz w:val="24"/>
          <w:szCs w:val="24"/>
          <w:lang w:val="en-US" w:eastAsia="zh-CN"/>
        </w:rPr>
        <w:t xml:space="preserve">附图5  </w:t>
      </w:r>
      <w:r>
        <w:rPr>
          <w:rFonts w:hint="default" w:ascii="Times New Roman" w:hAnsi="Times New Roman" w:cs="Times New Roman"/>
          <w:sz w:val="24"/>
          <w:szCs w:val="24"/>
          <w:lang w:val="en-US" w:eastAsia="zh-CN"/>
        </w:rPr>
        <w:t>环境空气质量现状监测点位示意图</w:t>
      </w:r>
      <w:r>
        <w:rPr>
          <w:rFonts w:hint="eastAsia" w:cs="Times New Roman"/>
          <w:sz w:val="24"/>
          <w:szCs w:val="24"/>
          <w:lang w:val="en-US" w:eastAsia="zh-CN"/>
        </w:rPr>
        <w:t>；</w:t>
      </w:r>
    </w:p>
    <w:p>
      <w:pPr>
        <w:pStyle w:val="7"/>
        <w:bidi w:val="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附图</w:t>
      </w:r>
      <w:r>
        <w:rPr>
          <w:rFonts w:hint="eastAsia" w:cs="Times New Roman"/>
          <w:sz w:val="24"/>
          <w:szCs w:val="24"/>
          <w:lang w:val="en-US" w:eastAsia="zh-CN"/>
        </w:rPr>
        <w:t>6</w:t>
      </w:r>
      <w:r>
        <w:rPr>
          <w:rFonts w:hint="eastAsia" w:ascii="Times New Roman" w:hAnsi="Times New Roman" w:cs="Times New Roman"/>
          <w:sz w:val="24"/>
          <w:szCs w:val="24"/>
          <w:lang w:val="en-US" w:eastAsia="zh-CN"/>
        </w:rPr>
        <w:t xml:space="preserve">  噪声环境质量现状监测点位图</w:t>
      </w:r>
      <w:r>
        <w:rPr>
          <w:rFonts w:hint="eastAsia" w:cs="Times New Roman"/>
          <w:sz w:val="24"/>
          <w:szCs w:val="24"/>
          <w:lang w:val="en-US" w:eastAsia="zh-CN"/>
        </w:rPr>
        <w:t>；</w:t>
      </w:r>
    </w:p>
    <w:p>
      <w:pPr>
        <w:pStyle w:val="7"/>
        <w:bidi w:val="0"/>
        <w:rPr>
          <w:rFonts w:hint="default" w:ascii="Times New Roman" w:hAnsi="Times New Roman" w:cs="Times New Roman"/>
          <w:sz w:val="24"/>
          <w:szCs w:val="24"/>
          <w:lang w:val="en-US" w:eastAsia="zh-CN"/>
        </w:rPr>
      </w:pPr>
      <w:r>
        <w:rPr>
          <w:rFonts w:hint="eastAsia" w:cs="Times New Roman"/>
          <w:sz w:val="24"/>
          <w:szCs w:val="24"/>
          <w:lang w:val="en-US" w:eastAsia="zh-CN"/>
        </w:rPr>
        <w:t>附图7  土壤和地下水环境质量现状监测点位示意图。</w:t>
      </w:r>
    </w:p>
    <w:p>
      <w:pPr>
        <w:pStyle w:val="7"/>
        <w:bidi w:val="0"/>
        <w:ind w:left="0" w:leftChars="0" w:firstLine="0" w:firstLine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附件</w:t>
      </w:r>
    </w:p>
    <w:p>
      <w:pPr>
        <w:pStyle w:val="7"/>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  委托书</w:t>
      </w:r>
      <w:r>
        <w:rPr>
          <w:rFonts w:hint="eastAsia" w:cs="Times New Roman"/>
          <w:color w:val="auto"/>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附件2  海泰医药中间体项目环评批复、验收批复</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w:t>
      </w:r>
      <w:r>
        <w:rPr>
          <w:rFonts w:hint="eastAsia" w:ascii="Times New Roman" w:cs="Times New Roman"/>
          <w:sz w:val="24"/>
          <w:szCs w:val="24"/>
          <w:lang w:val="en-US" w:eastAsia="zh-CN"/>
        </w:rPr>
        <w:t xml:space="preserve">3  </w:t>
      </w:r>
      <w:r>
        <w:rPr>
          <w:rFonts w:hint="default" w:ascii="Times New Roman" w:hAnsi="Times New Roman" w:cs="Times New Roman"/>
          <w:sz w:val="24"/>
          <w:szCs w:val="24"/>
          <w:lang w:val="en-US" w:eastAsia="zh-CN"/>
        </w:rPr>
        <w:t>海泰液晶显示材料项目环评批复、验收批复</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w:t>
      </w:r>
      <w:r>
        <w:rPr>
          <w:rFonts w:hint="eastAsia" w:ascii="Times New Roman" w:cs="Times New Roman"/>
          <w:sz w:val="24"/>
          <w:szCs w:val="24"/>
          <w:lang w:val="en-US" w:eastAsia="zh-CN"/>
        </w:rPr>
        <w:t xml:space="preserve">4  </w:t>
      </w:r>
      <w:r>
        <w:rPr>
          <w:rFonts w:hint="eastAsia" w:ascii="Times New Roman" w:hAnsi="Times New Roman" w:cs="Times New Roman"/>
          <w:sz w:val="24"/>
          <w:szCs w:val="24"/>
          <w:lang w:val="en-US" w:eastAsia="zh-CN"/>
        </w:rPr>
        <w:t>海泰后评价备案文件</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w:t>
      </w:r>
      <w:r>
        <w:rPr>
          <w:rFonts w:hint="eastAsia" w:ascii="Times New Roman" w:cs="Times New Roman"/>
          <w:sz w:val="24"/>
          <w:szCs w:val="24"/>
          <w:lang w:val="en-US" w:eastAsia="zh-CN"/>
        </w:rPr>
        <w:t xml:space="preserve">5  </w:t>
      </w:r>
      <w:r>
        <w:rPr>
          <w:rFonts w:hint="eastAsia" w:ascii="Times New Roman" w:hAnsi="Times New Roman" w:cs="Times New Roman"/>
          <w:sz w:val="24"/>
          <w:szCs w:val="24"/>
          <w:lang w:val="en-US" w:eastAsia="zh-CN"/>
        </w:rPr>
        <w:t>海泰排污许可证</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w:t>
      </w:r>
      <w:r>
        <w:rPr>
          <w:rFonts w:hint="eastAsia" w:ascii="Times New Roman" w:cs="Times New Roman"/>
          <w:sz w:val="24"/>
          <w:szCs w:val="24"/>
          <w:lang w:val="en-US" w:eastAsia="zh-CN"/>
        </w:rPr>
        <w:t xml:space="preserve">6  </w:t>
      </w:r>
      <w:r>
        <w:rPr>
          <w:rFonts w:hint="eastAsia" w:ascii="Times New Roman" w:hAnsi="Times New Roman" w:cs="Times New Roman"/>
          <w:sz w:val="24"/>
          <w:szCs w:val="24"/>
          <w:lang w:val="en-US" w:eastAsia="zh-CN"/>
        </w:rPr>
        <w:t>环境质量现状、污染源监测报告</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cs="Times New Roman"/>
          <w:sz w:val="24"/>
          <w:szCs w:val="24"/>
          <w:lang w:val="en-US" w:eastAsia="zh-CN"/>
        </w:rPr>
        <w:t xml:space="preserve">附件7  土壤地下水环境质量现状监测报告； </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附件8</w:t>
      </w:r>
      <w:r>
        <w:rPr>
          <w:rFonts w:hint="eastAsia" w:ascii="Times New Roman" w:cs="Times New Roman"/>
          <w:sz w:val="24"/>
          <w:szCs w:val="24"/>
          <w:lang w:val="en-US" w:eastAsia="zh-CN"/>
        </w:rPr>
        <w:t xml:space="preserve">  </w:t>
      </w:r>
      <w:r>
        <w:rPr>
          <w:rFonts w:hint="eastAsia" w:ascii="Times New Roman" w:hAnsi="Times New Roman" w:cs="Times New Roman"/>
          <w:sz w:val="24"/>
          <w:szCs w:val="24"/>
          <w:lang w:val="en-US" w:eastAsia="zh-CN"/>
        </w:rPr>
        <w:t>海泰应急预案备案文件</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cs="Times New Roman"/>
          <w:sz w:val="24"/>
          <w:szCs w:val="24"/>
          <w:lang w:val="en-US" w:eastAsia="zh-CN"/>
        </w:rPr>
      </w:pPr>
      <w:r>
        <w:rPr>
          <w:rFonts w:hint="eastAsia" w:ascii="Times New Roman" w:cs="Times New Roman"/>
          <w:sz w:val="24"/>
          <w:szCs w:val="24"/>
          <w:lang w:val="en-US" w:eastAsia="zh-CN"/>
        </w:rPr>
        <w:t>附件9-（1、2、3）  危险废物转运及处置协议；</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szCs w:val="24"/>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cs="Times New Roman"/>
          <w:sz w:val="24"/>
          <w:szCs w:val="24"/>
          <w:lang w:val="en-US" w:eastAsia="zh-CN"/>
        </w:rPr>
        <w:t>附件10  项目营业执照。</w:t>
      </w:r>
    </w:p>
    <w:p>
      <w:pPr>
        <w:pStyle w:val="27"/>
        <w:jc w:val="both"/>
        <w:outlineLvl w:val="0"/>
        <w:rPr>
          <w:rFonts w:hint="eastAsia" w:ascii="黑体" w:hAnsi="黑体" w:eastAsia="黑体"/>
          <w:snapToGrid w:val="0"/>
          <w:color w:val="auto"/>
          <w:sz w:val="30"/>
          <w:szCs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ascii="黑体" w:hAnsi="黑体" w:eastAsia="黑体"/>
          <w:snapToGrid w:val="0"/>
          <w:color w:val="auto"/>
          <w:sz w:val="30"/>
          <w:szCs w:val="30"/>
        </w:rPr>
      </w:pPr>
      <w:bookmarkStart w:id="5" w:name="_Toc29904"/>
      <w:r>
        <w:rPr>
          <w:rFonts w:hint="eastAsia" w:ascii="黑体" w:hAnsi="黑体" w:eastAsia="黑体"/>
          <w:snapToGrid w:val="0"/>
          <w:color w:val="auto"/>
          <w:sz w:val="30"/>
          <w:szCs w:val="30"/>
        </w:rPr>
        <w:t>一、建设项目基本情况</w:t>
      </w:r>
      <w:bookmarkEnd w:id="5"/>
    </w:p>
    <w:tbl>
      <w:tblPr>
        <w:tblStyle w:val="31"/>
        <w:tblW w:w="49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10"/>
        <w:gridCol w:w="2328"/>
        <w:gridCol w:w="2032"/>
        <w:gridCol w:w="32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建设项目名称</w:t>
            </w:r>
          </w:p>
        </w:tc>
        <w:tc>
          <w:tcPr>
            <w:tcW w:w="3958" w:type="pct"/>
            <w:gridSpan w:val="3"/>
            <w:vAlign w:val="center"/>
          </w:tcPr>
          <w:p>
            <w:pPr>
              <w:adjustRightInd w:val="0"/>
              <w:snapToGrid w:val="0"/>
              <w:jc w:val="center"/>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渭南高新区海泰新型电子材料有限责任公司危废暂存间建设项目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项目代码</w:t>
            </w:r>
          </w:p>
        </w:tc>
        <w:tc>
          <w:tcPr>
            <w:tcW w:w="3958" w:type="pct"/>
            <w:gridSpan w:val="3"/>
            <w:vAlign w:val="center"/>
          </w:tcPr>
          <w:p>
            <w:pPr>
              <w:adjustRightInd w:val="0"/>
              <w:snapToGrid w:val="0"/>
              <w:jc w:val="center"/>
              <w:rPr>
                <w:rFonts w:hint="default" w:ascii="宋体" w:hAnsi="宋体" w:eastAsia="宋体" w:cs="宋体"/>
                <w:color w:val="auto"/>
                <w:szCs w:val="21"/>
                <w:lang w:val="en-US"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建设单位联系人</w:t>
            </w:r>
          </w:p>
        </w:tc>
        <w:tc>
          <w:tcPr>
            <w:tcW w:w="1218" w:type="pct"/>
            <w:vAlign w:val="center"/>
          </w:tcPr>
          <w:p>
            <w:pPr>
              <w:adjustRightInd w:val="0"/>
              <w:snapToGrid w:val="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闵峰</w:t>
            </w:r>
          </w:p>
        </w:tc>
        <w:tc>
          <w:tcPr>
            <w:tcW w:w="1063"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联系方式</w:t>
            </w:r>
          </w:p>
        </w:tc>
        <w:tc>
          <w:tcPr>
            <w:tcW w:w="1676" w:type="pct"/>
            <w:vAlign w:val="center"/>
          </w:tcPr>
          <w:p>
            <w:pPr>
              <w:adjustRightInd w:val="0"/>
              <w:snapToGrid w:val="0"/>
              <w:jc w:val="center"/>
              <w:rPr>
                <w:rFonts w:hint="default" w:ascii="宋体" w:hAnsi="宋体" w:eastAsia="宋体" w:cs="宋体"/>
                <w:color w:val="auto"/>
                <w:szCs w:val="21"/>
                <w:lang w:val="en-US" w:eastAsia="zh-CN"/>
              </w:rPr>
            </w:pPr>
            <w:r>
              <w:rPr>
                <w:rFonts w:hint="eastAsia"/>
              </w:rPr>
              <w:t>1</w:t>
            </w:r>
            <w:r>
              <w:t>7778902018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建设地点</w:t>
            </w:r>
          </w:p>
        </w:tc>
        <w:tc>
          <w:tcPr>
            <w:tcW w:w="3958" w:type="pct"/>
            <w:gridSpan w:val="3"/>
            <w:vAlign w:val="center"/>
          </w:tcPr>
          <w:p>
            <w:pPr>
              <w:adjustRightInd w:val="0"/>
              <w:snapToGrid w:val="0"/>
              <w:jc w:val="center"/>
              <w:rPr>
                <w:rFonts w:hint="eastAsia" w:ascii="宋体" w:hAnsi="宋体" w:eastAsia="宋体" w:cs="宋体"/>
                <w:color w:val="auto"/>
                <w:szCs w:val="21"/>
                <w:lang w:eastAsia="zh-CN"/>
              </w:rPr>
            </w:pPr>
            <w:r>
              <w:rPr>
                <w:rFonts w:hint="eastAsia"/>
                <w:color w:val="auto"/>
                <w:szCs w:val="21"/>
                <w:lang w:val="en-US" w:eastAsia="zh-CN"/>
              </w:rPr>
              <w:t>渭南高新区海泰新型电子材料有限责任公司厂区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地理坐标</w:t>
            </w:r>
          </w:p>
        </w:tc>
        <w:tc>
          <w:tcPr>
            <w:tcW w:w="3958" w:type="pct"/>
            <w:gridSpan w:val="3"/>
            <w:vAlign w:val="center"/>
          </w:tcPr>
          <w:p>
            <w:pPr>
              <w:jc w:val="center"/>
              <w:rPr>
                <w:rFonts w:hint="eastAsia" w:ascii="宋体" w:hAnsi="宋体" w:eastAsia="宋体" w:cs="宋体"/>
                <w:color w:val="auto"/>
                <w:szCs w:val="21"/>
                <w:lang w:val="en-US" w:eastAsia="zh-CN"/>
              </w:rPr>
            </w:pPr>
            <w:r>
              <w:rPr>
                <w:rFonts w:hint="default"/>
                <w:color w:val="auto"/>
                <w:szCs w:val="21"/>
                <w:highlight w:val="none"/>
              </w:rPr>
              <w:t xml:space="preserve">（ </w:t>
            </w:r>
            <w:r>
              <w:rPr>
                <w:rFonts w:hint="default"/>
                <w:color w:val="auto"/>
                <w:szCs w:val="21"/>
                <w:highlight w:val="none"/>
                <w:lang w:val="en-US" w:eastAsia="zh-CN"/>
              </w:rPr>
              <w:t>109</w:t>
            </w:r>
            <w:r>
              <w:rPr>
                <w:rFonts w:hint="default"/>
                <w:color w:val="auto"/>
                <w:szCs w:val="21"/>
                <w:highlight w:val="none"/>
              </w:rPr>
              <w:t xml:space="preserve"> 度 </w:t>
            </w:r>
            <w:r>
              <w:rPr>
                <w:rFonts w:hint="eastAsia"/>
                <w:color w:val="auto"/>
                <w:szCs w:val="21"/>
                <w:highlight w:val="none"/>
                <w:lang w:val="en-US" w:eastAsia="zh-CN"/>
              </w:rPr>
              <w:t>25</w:t>
            </w:r>
            <w:r>
              <w:rPr>
                <w:rFonts w:hint="default"/>
                <w:color w:val="auto"/>
                <w:szCs w:val="21"/>
                <w:highlight w:val="none"/>
              </w:rPr>
              <w:t xml:space="preserve"> 分</w:t>
            </w:r>
            <w:r>
              <w:rPr>
                <w:rFonts w:hint="eastAsia"/>
                <w:color w:val="auto"/>
                <w:szCs w:val="21"/>
                <w:highlight w:val="none"/>
                <w:lang w:val="en-US" w:eastAsia="zh-CN"/>
              </w:rPr>
              <w:t>16.871</w:t>
            </w:r>
            <w:r>
              <w:rPr>
                <w:rFonts w:hint="default"/>
                <w:color w:val="auto"/>
                <w:szCs w:val="21"/>
                <w:highlight w:val="none"/>
              </w:rPr>
              <w:t xml:space="preserve">秒， </w:t>
            </w:r>
            <w:r>
              <w:rPr>
                <w:rFonts w:hint="default"/>
                <w:color w:val="auto"/>
                <w:szCs w:val="21"/>
                <w:highlight w:val="none"/>
                <w:lang w:val="en-US" w:eastAsia="zh-CN"/>
              </w:rPr>
              <w:t>34</w:t>
            </w:r>
            <w:r>
              <w:rPr>
                <w:rFonts w:hint="default"/>
                <w:color w:val="auto"/>
                <w:szCs w:val="21"/>
                <w:highlight w:val="none"/>
              </w:rPr>
              <w:t xml:space="preserve"> 度 </w:t>
            </w:r>
            <w:r>
              <w:rPr>
                <w:rFonts w:hint="default"/>
                <w:color w:val="auto"/>
                <w:szCs w:val="21"/>
                <w:highlight w:val="none"/>
                <w:lang w:val="en-US" w:eastAsia="zh-CN"/>
              </w:rPr>
              <w:t>29</w:t>
            </w:r>
            <w:r>
              <w:rPr>
                <w:rFonts w:hint="default"/>
                <w:color w:val="auto"/>
                <w:szCs w:val="21"/>
                <w:highlight w:val="none"/>
              </w:rPr>
              <w:t xml:space="preserve"> 分</w:t>
            </w:r>
            <w:r>
              <w:rPr>
                <w:rFonts w:hint="eastAsia"/>
                <w:color w:val="auto"/>
                <w:szCs w:val="21"/>
                <w:highlight w:val="none"/>
                <w:lang w:val="en-US" w:eastAsia="zh-CN"/>
              </w:rPr>
              <w:t>37.870</w:t>
            </w:r>
            <w:r>
              <w:rPr>
                <w:rFonts w:hint="default"/>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国民经济</w:t>
            </w:r>
          </w:p>
          <w:p>
            <w:pPr>
              <w:adjustRightInd w:val="0"/>
              <w:snapToGrid w:val="0"/>
              <w:jc w:val="center"/>
              <w:rPr>
                <w:color w:val="auto"/>
                <w:szCs w:val="21"/>
              </w:rPr>
            </w:pPr>
            <w:r>
              <w:rPr>
                <w:rFonts w:hint="eastAsia"/>
                <w:color w:val="auto"/>
                <w:szCs w:val="21"/>
              </w:rPr>
              <w:t>行业类别</w:t>
            </w:r>
          </w:p>
        </w:tc>
        <w:tc>
          <w:tcPr>
            <w:tcW w:w="1218" w:type="pct"/>
            <w:vAlign w:val="center"/>
          </w:tcPr>
          <w:p>
            <w:pPr>
              <w:adjustRightInd w:val="0"/>
              <w:snapToGrid w:val="0"/>
              <w:jc w:val="center"/>
              <w:rPr>
                <w:rFonts w:hint="eastAsia" w:ascii="宋体" w:hAnsi="宋体" w:eastAsia="宋体" w:cs="宋体"/>
                <w:color w:val="auto"/>
                <w:szCs w:val="21"/>
                <w:lang w:eastAsia="zh-CN"/>
              </w:rPr>
            </w:pPr>
            <w:r>
              <w:rPr>
                <w:rFonts w:hint="eastAsia"/>
                <w:color w:val="auto"/>
                <w:lang w:val="en-US" w:eastAsia="zh-CN"/>
              </w:rPr>
              <w:t xml:space="preserve">G5949 其他危险品仓储  </w:t>
            </w:r>
          </w:p>
        </w:tc>
        <w:tc>
          <w:tcPr>
            <w:tcW w:w="1063" w:type="pct"/>
            <w:vAlign w:val="center"/>
          </w:tcPr>
          <w:p>
            <w:pPr>
              <w:adjustRightInd w:val="0"/>
              <w:snapToGrid w:val="0"/>
              <w:jc w:val="center"/>
              <w:rPr>
                <w:color w:val="auto"/>
                <w:szCs w:val="21"/>
              </w:rPr>
            </w:pPr>
            <w:bookmarkStart w:id="6" w:name="_Hlk49843745"/>
            <w:r>
              <w:rPr>
                <w:rFonts w:hint="eastAsia"/>
                <w:color w:val="auto"/>
                <w:szCs w:val="21"/>
              </w:rPr>
              <w:t>建设项目</w:t>
            </w:r>
          </w:p>
          <w:p>
            <w:pPr>
              <w:adjustRightInd w:val="0"/>
              <w:snapToGrid w:val="0"/>
              <w:jc w:val="center"/>
              <w:rPr>
                <w:color w:val="auto"/>
                <w:szCs w:val="21"/>
              </w:rPr>
            </w:pPr>
            <w:r>
              <w:rPr>
                <w:rFonts w:hint="eastAsia"/>
                <w:color w:val="auto"/>
                <w:szCs w:val="21"/>
              </w:rPr>
              <w:t>行业类别</w:t>
            </w:r>
            <w:bookmarkEnd w:id="6"/>
          </w:p>
        </w:tc>
        <w:tc>
          <w:tcPr>
            <w:tcW w:w="1676" w:type="pct"/>
            <w:vAlign w:val="center"/>
          </w:tcPr>
          <w:p>
            <w:pPr>
              <w:adjustRightInd w:val="0"/>
              <w:snapToGrid w:val="0"/>
              <w:rPr>
                <w:rFonts w:hint="eastAsia"/>
                <w:color w:val="auto"/>
                <w:szCs w:val="21"/>
                <w:lang w:val="en-US" w:eastAsia="zh-CN"/>
              </w:rPr>
            </w:pPr>
            <w:r>
              <w:rPr>
                <w:rFonts w:hint="eastAsia"/>
                <w:color w:val="auto"/>
                <w:szCs w:val="21"/>
                <w:lang w:val="en-US" w:eastAsia="zh-CN"/>
              </w:rPr>
              <w:t>五十三</w:t>
            </w:r>
            <w:r>
              <w:rPr>
                <w:color w:val="auto"/>
                <w:szCs w:val="21"/>
              </w:rPr>
              <w:t>、</w:t>
            </w:r>
            <w:r>
              <w:rPr>
                <w:rFonts w:hint="eastAsia"/>
                <w:color w:val="auto"/>
                <w:szCs w:val="21"/>
                <w:lang w:val="en-US" w:eastAsia="zh-CN"/>
              </w:rPr>
              <w:t>装卸搬运和仓储业 59</w:t>
            </w:r>
          </w:p>
          <w:p>
            <w:pPr>
              <w:adjustRightInd w:val="0"/>
              <w:snapToGrid w:val="0"/>
              <w:rPr>
                <w:rFonts w:hint="eastAsia"/>
                <w:color w:val="auto"/>
                <w:szCs w:val="21"/>
                <w:lang w:val="en-US" w:eastAsia="zh-CN"/>
              </w:rPr>
            </w:pPr>
            <w:r>
              <w:rPr>
                <w:rFonts w:hint="eastAsia"/>
                <w:color w:val="auto"/>
                <w:szCs w:val="21"/>
                <w:lang w:val="en-US" w:eastAsia="zh-CN"/>
              </w:rPr>
              <w:t>149. 危险品仓储 594（不含加油站的油库；不含加气站的气库）其他（含有毒、有害、危险品</w:t>
            </w:r>
          </w:p>
          <w:p>
            <w:pPr>
              <w:adjustRightInd w:val="0"/>
              <w:snapToGrid w:val="0"/>
              <w:rPr>
                <w:rFonts w:hint="eastAsia" w:ascii="宋体" w:hAnsi="宋体" w:eastAsia="宋体" w:cs="宋体"/>
                <w:color w:val="auto"/>
                <w:szCs w:val="21"/>
                <w:lang w:eastAsia="zh-CN"/>
              </w:rPr>
            </w:pPr>
            <w:r>
              <w:rPr>
                <w:rFonts w:hint="eastAsia"/>
                <w:color w:val="auto"/>
                <w:szCs w:val="21"/>
                <w:lang w:val="en-US" w:eastAsia="zh-CN"/>
              </w:rPr>
              <w:t>的仓储；含液化天然气库）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建设性质</w:t>
            </w:r>
          </w:p>
        </w:tc>
        <w:tc>
          <w:tcPr>
            <w:tcW w:w="1218" w:type="pct"/>
            <w:vAlign w:val="center"/>
          </w:tcPr>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新建（迁建）</w:t>
            </w:r>
          </w:p>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改建</w:t>
            </w:r>
          </w:p>
          <w:p>
            <w:pPr>
              <w:jc w:val="left"/>
              <w:rPr>
                <w:rFonts w:ascii="宋体" w:hAnsi="宋体" w:cs="宋体"/>
                <w:color w:val="auto"/>
                <w:szCs w:val="21"/>
              </w:rPr>
            </w:pPr>
            <w:r>
              <w:rPr>
                <w:rFonts w:hint="eastAsia" w:ascii="宋体" w:hAnsi="宋体" w:cs="宋体"/>
                <w:color w:val="auto"/>
                <w:szCs w:val="21"/>
              </w:rPr>
              <w:sym w:font="Wingdings" w:char="00FE"/>
            </w:r>
            <w:r>
              <w:rPr>
                <w:rFonts w:hint="eastAsia" w:ascii="宋体" w:hAnsi="宋体" w:cs="宋体"/>
                <w:color w:val="auto"/>
                <w:szCs w:val="21"/>
              </w:rPr>
              <w:t>扩建</w:t>
            </w:r>
          </w:p>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技术改造</w:t>
            </w:r>
          </w:p>
        </w:tc>
        <w:tc>
          <w:tcPr>
            <w:tcW w:w="1063" w:type="pct"/>
            <w:vAlign w:val="center"/>
          </w:tcPr>
          <w:p>
            <w:pPr>
              <w:adjustRightInd w:val="0"/>
              <w:snapToGrid w:val="0"/>
              <w:jc w:val="center"/>
              <w:rPr>
                <w:color w:val="auto"/>
                <w:szCs w:val="21"/>
              </w:rPr>
            </w:pPr>
            <w:r>
              <w:rPr>
                <w:rFonts w:hint="eastAsia"/>
                <w:color w:val="auto"/>
                <w:szCs w:val="21"/>
              </w:rPr>
              <w:t>建设项目</w:t>
            </w:r>
          </w:p>
          <w:p>
            <w:pPr>
              <w:adjustRightInd w:val="0"/>
              <w:snapToGrid w:val="0"/>
              <w:jc w:val="center"/>
              <w:rPr>
                <w:color w:val="auto"/>
                <w:szCs w:val="21"/>
              </w:rPr>
            </w:pPr>
            <w:r>
              <w:rPr>
                <w:rFonts w:hint="eastAsia"/>
                <w:color w:val="auto"/>
                <w:szCs w:val="21"/>
              </w:rPr>
              <w:t>申报情形</w:t>
            </w:r>
          </w:p>
        </w:tc>
        <w:tc>
          <w:tcPr>
            <w:tcW w:w="1676" w:type="pct"/>
            <w:vAlign w:val="center"/>
          </w:tcPr>
          <w:p>
            <w:pPr>
              <w:jc w:val="left"/>
              <w:rPr>
                <w:rFonts w:ascii="宋体" w:hAnsi="宋体" w:cs="宋体"/>
                <w:color w:val="auto"/>
                <w:szCs w:val="21"/>
              </w:rPr>
            </w:pPr>
            <w:r>
              <w:rPr>
                <w:rFonts w:hint="eastAsia" w:ascii="宋体" w:hAnsi="宋体" w:cs="宋体"/>
                <w:color w:val="auto"/>
                <w:szCs w:val="21"/>
              </w:rPr>
              <w:sym w:font="Wingdings" w:char="00FE"/>
            </w:r>
            <w:r>
              <w:rPr>
                <w:rFonts w:hint="eastAsia" w:ascii="宋体" w:hAnsi="宋体" w:cs="宋体"/>
                <w:color w:val="auto"/>
                <w:szCs w:val="21"/>
              </w:rPr>
              <w:t>首次申报项目</w:t>
            </w:r>
            <w:r>
              <w:rPr>
                <w:rFonts w:ascii="宋体" w:hAnsi="宋体" w:cs="宋体"/>
                <w:color w:val="auto"/>
                <w:szCs w:val="21"/>
              </w:rPr>
              <w:t xml:space="preserve">             </w:t>
            </w:r>
          </w:p>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不予批准后再次申报项目</w:t>
            </w:r>
          </w:p>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超五年重新审核项目</w:t>
            </w:r>
            <w:r>
              <w:rPr>
                <w:rFonts w:ascii="宋体" w:hAnsi="宋体" w:cs="宋体"/>
                <w:color w:val="auto"/>
                <w:szCs w:val="21"/>
              </w:rPr>
              <w:t xml:space="preserve">     </w:t>
            </w:r>
          </w:p>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项目审批（核准/</w:t>
            </w:r>
          </w:p>
          <w:p>
            <w:pPr>
              <w:adjustRightInd w:val="0"/>
              <w:snapToGrid w:val="0"/>
              <w:jc w:val="center"/>
              <w:rPr>
                <w:color w:val="auto"/>
                <w:szCs w:val="21"/>
              </w:rPr>
            </w:pPr>
            <w:r>
              <w:rPr>
                <w:rFonts w:hint="eastAsia"/>
                <w:color w:val="auto"/>
                <w:szCs w:val="21"/>
              </w:rPr>
              <w:t>备案）部门（选填）</w:t>
            </w:r>
          </w:p>
        </w:tc>
        <w:tc>
          <w:tcPr>
            <w:tcW w:w="1218" w:type="pct"/>
            <w:vAlign w:val="center"/>
          </w:tcPr>
          <w:p>
            <w:pPr>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1063" w:type="pct"/>
            <w:vAlign w:val="center"/>
          </w:tcPr>
          <w:p>
            <w:pPr>
              <w:adjustRightInd w:val="0"/>
              <w:snapToGrid w:val="0"/>
              <w:jc w:val="center"/>
              <w:rPr>
                <w:color w:val="auto"/>
                <w:szCs w:val="21"/>
              </w:rPr>
            </w:pPr>
            <w:r>
              <w:rPr>
                <w:rFonts w:hint="eastAsia"/>
                <w:color w:val="auto"/>
                <w:szCs w:val="21"/>
              </w:rPr>
              <w:t>项目审批（核准/</w:t>
            </w:r>
          </w:p>
          <w:p>
            <w:pPr>
              <w:adjustRightInd w:val="0"/>
              <w:snapToGrid w:val="0"/>
              <w:jc w:val="center"/>
              <w:rPr>
                <w:color w:val="auto"/>
                <w:szCs w:val="21"/>
              </w:rPr>
            </w:pPr>
            <w:r>
              <w:rPr>
                <w:rFonts w:hint="eastAsia"/>
                <w:color w:val="auto"/>
                <w:szCs w:val="21"/>
              </w:rPr>
              <w:t>备案）文号（选填）</w:t>
            </w:r>
          </w:p>
        </w:tc>
        <w:tc>
          <w:tcPr>
            <w:tcW w:w="1676" w:type="pct"/>
            <w:vAlign w:val="center"/>
          </w:tcPr>
          <w:p>
            <w:pPr>
              <w:adjustRightInd w:val="0"/>
              <w:snapToGrid w:val="0"/>
              <w:jc w:val="center"/>
              <w:rPr>
                <w:rFonts w:hint="eastAsia" w:ascii="宋体" w:hAnsi="宋体" w:eastAsia="宋体" w:cs="宋体"/>
                <w:color w:val="auto"/>
                <w:szCs w:val="21"/>
                <w:lang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总投资（万元）</w:t>
            </w:r>
          </w:p>
        </w:tc>
        <w:tc>
          <w:tcPr>
            <w:tcW w:w="1218"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1063"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环保投资（万元）</w:t>
            </w:r>
          </w:p>
        </w:tc>
        <w:tc>
          <w:tcPr>
            <w:tcW w:w="1676"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环保投资占比（%）</w:t>
            </w:r>
          </w:p>
        </w:tc>
        <w:tc>
          <w:tcPr>
            <w:tcW w:w="1218"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w:t>
            </w:r>
          </w:p>
        </w:tc>
        <w:tc>
          <w:tcPr>
            <w:tcW w:w="1063"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施工工期</w:t>
            </w:r>
          </w:p>
        </w:tc>
        <w:tc>
          <w:tcPr>
            <w:tcW w:w="1676"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是否开工建设</w:t>
            </w:r>
          </w:p>
        </w:tc>
        <w:tc>
          <w:tcPr>
            <w:tcW w:w="1218" w:type="pct"/>
            <w:vAlign w:val="center"/>
          </w:tcPr>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w:char="00FE"/>
            </w:r>
            <w:r>
              <w:rPr>
                <w:rFonts w:hint="default" w:ascii="Times New Roman" w:hAnsi="Times New Roman" w:cs="Times New Roman"/>
                <w:color w:val="auto"/>
                <w:szCs w:val="21"/>
                <w:highlight w:val="none"/>
              </w:rPr>
              <w:t>否</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w:char="00A8"/>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u w:val="single"/>
              </w:rPr>
              <w:t xml:space="preserve">             </w:t>
            </w:r>
          </w:p>
        </w:tc>
        <w:tc>
          <w:tcPr>
            <w:tcW w:w="1063"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用地（用海）</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面积（m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w:t>
            </w:r>
          </w:p>
        </w:tc>
        <w:tc>
          <w:tcPr>
            <w:tcW w:w="1676"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128（现有危废暂存间44.5，本次扩建</w:t>
            </w:r>
            <w:r>
              <w:rPr>
                <w:rFonts w:hint="default" w:ascii="Times New Roman" w:hAnsi="Times New Roman" w:cs="Times New Roman"/>
                <w:color w:val="auto"/>
                <w:szCs w:val="21"/>
                <w:highlight w:val="none"/>
                <w:lang w:val="en-US" w:eastAsia="zh-CN"/>
              </w:rPr>
              <w:t>83.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本项目不新增用地）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1"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3958" w:type="pct"/>
            <w:gridSpan w:val="3"/>
            <w:vAlign w:val="center"/>
          </w:tcPr>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表1-1专项评价设置一览表</w:t>
            </w:r>
          </w:p>
          <w:tbl>
            <w:tblPr>
              <w:tblStyle w:val="31"/>
              <w:tblW w:w="4988" w:type="pct"/>
              <w:tblInd w:w="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2390"/>
              <w:gridCol w:w="2545"/>
              <w:gridCol w:w="10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专项评价类别</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设置原则</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是否设置专项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排放废气含有毒有害污染物 、二噁英、苯并[a]芘、氰化物、氯气，且厂界外500米范围内有环境空气保护目标的建设项目</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本项目废气主要为</w:t>
                  </w:r>
                  <w:r>
                    <w:rPr>
                      <w:rFonts w:hint="default" w:ascii="Times New Roman" w:hAnsi="Times New Roman" w:cs="Times New Roman"/>
                      <w:color w:val="auto"/>
                      <w:szCs w:val="21"/>
                      <w:lang w:eastAsia="zh-CN"/>
                    </w:rPr>
                    <w:t>非甲烷总烃、甲醇、甲苯、臭气浓度</w:t>
                  </w:r>
                  <w:r>
                    <w:rPr>
                      <w:rFonts w:hint="default" w:ascii="Times New Roman" w:hAnsi="Times New Roman" w:cs="Times New Roman"/>
                      <w:color w:val="auto"/>
                      <w:szCs w:val="21"/>
                    </w:rPr>
                    <w:t>，不涉及有毒有害污染物、二噁英、苯并[a]芘、氰化物、氯气等</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新增工业废水直排建设项目（槽罐车外送污水处理厂的除外）；新增废水直排的污水集中处理厂</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为危废暂存间项目，不涉及废水及废水处理</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有毒有害和易燃易爆危险物质存储量超过临界量的建设项目</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w:t>
                  </w:r>
                  <w:r>
                    <w:rPr>
                      <w:rFonts w:hint="default" w:ascii="Times New Roman" w:hAnsi="Times New Roman" w:cs="Times New Roman"/>
                      <w:color w:val="auto"/>
                      <w:szCs w:val="21"/>
                    </w:rPr>
                    <w:t>所涉及的环境风险物质未超过临界量</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取水口下游500米范围内有重要水生生物的自然产卵场、索饵场、越冬场和 洄游通道的新增河道取水的污染类建设项目</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本项目不涉及取水口</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海洋</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直接向海排放污染物的海洋工程建设项目</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本项目不涉及海洋工程</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bl>
          <w:p>
            <w:pPr>
              <w:autoSpaceDE w:val="0"/>
              <w:autoSpaceDN w:val="0"/>
              <w:adjustRightInd w:val="0"/>
              <w:snapToGrid w:val="0"/>
              <w:jc w:val="center"/>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1"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szCs w:val="21"/>
              </w:rPr>
              <w:t>规划情况</w:t>
            </w:r>
          </w:p>
        </w:tc>
        <w:tc>
          <w:tcPr>
            <w:tcW w:w="3958" w:type="pct"/>
            <w:gridSpan w:val="3"/>
            <w:vAlign w:val="center"/>
          </w:tcPr>
          <w:p>
            <w:pPr>
              <w:keepNext w:val="0"/>
              <w:keepLines w:val="0"/>
              <w:pageBreakBefore w:val="0"/>
              <w:widowControl w:val="0"/>
              <w:numPr>
                <w:ilvl w:val="0"/>
                <w:numId w:val="0"/>
              </w:numPr>
              <w:kinsoku/>
              <w:wordWrap/>
              <w:overflowPunct/>
              <w:topLinePunct w:val="0"/>
              <w:bidi w:val="0"/>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rPr>
              <w:t>渭南国家高新技术产业开发区（简称“渭南高新区”）是1988年经陕西省人民政府批准设立的省级经济开发区，1992年又经省政府批准设立渭南高新技术产业开发试验区，2010年9月经国务院批准晋升为国家级高新技术产业开发区。渭南市人民政府2006年批准了《渭南高新技术产业开发试验区中西部控制性详细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041"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规划环境影响</w:t>
            </w:r>
          </w:p>
          <w:p>
            <w:pPr>
              <w:adjustRightInd w:val="0"/>
              <w:snapToGrid w:val="0"/>
              <w:jc w:val="center"/>
              <w:rPr>
                <w:rFonts w:ascii="宋体" w:hAnsi="宋体" w:cs="宋体"/>
                <w:color w:val="auto"/>
                <w:kern w:val="0"/>
                <w:szCs w:val="21"/>
              </w:rPr>
            </w:pPr>
            <w:r>
              <w:rPr>
                <w:rFonts w:hint="eastAsia" w:ascii="宋体" w:hAnsi="宋体" w:cs="宋体"/>
                <w:color w:val="auto"/>
                <w:szCs w:val="21"/>
              </w:rPr>
              <w:t>评价情况</w:t>
            </w:r>
          </w:p>
        </w:tc>
        <w:tc>
          <w:tcPr>
            <w:tcW w:w="3958" w:type="pct"/>
            <w:gridSpan w:val="3"/>
            <w:vAlign w:val="center"/>
          </w:tcPr>
          <w:p>
            <w:pPr>
              <w:pStyle w:val="7"/>
              <w:keepNext w:val="0"/>
              <w:keepLines w:val="0"/>
              <w:pageBreakBefore w:val="0"/>
              <w:widowControl w:val="0"/>
              <w:kinsoku/>
              <w:wordWrap/>
              <w:overflowPunct/>
              <w:topLinePunct w:val="0"/>
              <w:bidi w:val="0"/>
              <w:ind w:firstLine="480" w:firstLineChars="200"/>
              <w:textAlignment w:val="auto"/>
              <w:rPr>
                <w:color w:val="auto"/>
                <w:sz w:val="24"/>
                <w:szCs w:val="24"/>
              </w:rPr>
            </w:pPr>
            <w:r>
              <w:rPr>
                <w:rFonts w:hint="eastAsia"/>
                <w:color w:val="auto"/>
                <w:sz w:val="24"/>
                <w:szCs w:val="24"/>
              </w:rPr>
              <w:t>规划环境影响评价文件名称：《渭南高新技术产业开发试验区规划环境影响报告书》</w:t>
            </w:r>
            <w:r>
              <w:rPr>
                <w:color w:val="auto"/>
                <w:sz w:val="24"/>
                <w:szCs w:val="24"/>
              </w:rPr>
              <w:t>（2009）</w:t>
            </w:r>
            <w:r>
              <w:rPr>
                <w:rFonts w:hint="eastAsia"/>
                <w:color w:val="auto"/>
                <w:sz w:val="24"/>
                <w:szCs w:val="24"/>
              </w:rPr>
              <w:t>；</w:t>
            </w:r>
          </w:p>
          <w:p>
            <w:pPr>
              <w:pStyle w:val="7"/>
              <w:keepNext w:val="0"/>
              <w:keepLines w:val="0"/>
              <w:pageBreakBefore w:val="0"/>
              <w:widowControl w:val="0"/>
              <w:kinsoku/>
              <w:wordWrap/>
              <w:overflowPunct/>
              <w:topLinePunct w:val="0"/>
              <w:bidi w:val="0"/>
              <w:ind w:firstLine="480" w:firstLineChars="200"/>
              <w:textAlignment w:val="auto"/>
              <w:rPr>
                <w:rFonts w:hint="eastAsia"/>
                <w:color w:val="auto"/>
                <w:sz w:val="24"/>
                <w:szCs w:val="24"/>
              </w:rPr>
            </w:pPr>
            <w:r>
              <w:rPr>
                <w:rFonts w:hint="eastAsia"/>
                <w:color w:val="auto"/>
                <w:sz w:val="24"/>
                <w:szCs w:val="24"/>
              </w:rPr>
              <w:t>召集审查机关</w:t>
            </w:r>
            <w:r>
              <w:rPr>
                <w:rFonts w:hint="eastAsia"/>
                <w:color w:val="auto"/>
                <w:sz w:val="24"/>
                <w:szCs w:val="24"/>
                <w:lang w:eastAsia="zh-CN"/>
              </w:rPr>
              <w:t>：</w:t>
            </w:r>
            <w:r>
              <w:rPr>
                <w:rFonts w:hint="eastAsia"/>
                <w:color w:val="auto"/>
                <w:sz w:val="24"/>
                <w:szCs w:val="24"/>
                <w:lang w:val="en-US" w:eastAsia="zh-CN"/>
              </w:rPr>
              <w:t>渭南市生态环境局（</w:t>
            </w:r>
            <w:r>
              <w:rPr>
                <w:rFonts w:hint="eastAsia"/>
                <w:color w:val="auto"/>
                <w:sz w:val="24"/>
                <w:szCs w:val="24"/>
              </w:rPr>
              <w:t>渭南市环境保护局</w:t>
            </w:r>
            <w:r>
              <w:rPr>
                <w:rFonts w:hint="eastAsia"/>
                <w:color w:val="auto"/>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color w:val="auto"/>
                <w:sz w:val="24"/>
                <w:szCs w:val="24"/>
                <w:lang w:val="en-US" w:eastAsia="zh-CN"/>
              </w:rPr>
            </w:pPr>
            <w:r>
              <w:rPr>
                <w:rFonts w:hint="eastAsia"/>
                <w:color w:val="auto"/>
                <w:sz w:val="24"/>
                <w:szCs w:val="24"/>
              </w:rPr>
              <w:t>审查文件名称及文号：《关于渭南高新技术产业开发试验区规划环境影响报告书的审查意见》（渭环审发〔20</w:t>
            </w:r>
            <w:r>
              <w:rPr>
                <w:rFonts w:hint="eastAsia"/>
                <w:color w:val="auto"/>
                <w:sz w:val="24"/>
                <w:szCs w:val="24"/>
                <w:lang w:val="en-US" w:eastAsia="zh-CN"/>
              </w:rPr>
              <w:t>09</w:t>
            </w:r>
            <w:r>
              <w:rPr>
                <w:rFonts w:hint="eastAsia"/>
                <w:color w:val="auto"/>
                <w:sz w:val="24"/>
                <w:szCs w:val="24"/>
              </w:rPr>
              <w:t>〕25号）。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041"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规划及规划环境</w:t>
            </w:r>
          </w:p>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影响评价符合性分析</w:t>
            </w:r>
          </w:p>
        </w:tc>
        <w:tc>
          <w:tcPr>
            <w:tcW w:w="3958" w:type="pct"/>
            <w:gridSpan w:val="3"/>
            <w:vAlign w:val="top"/>
          </w:tcPr>
          <w:p>
            <w:pPr>
              <w:pStyle w:val="7"/>
              <w:bidi w:val="0"/>
              <w:rPr>
                <w:rFonts w:hint="eastAsia" w:eastAsia="宋体"/>
                <w:color w:val="auto"/>
                <w:sz w:val="24"/>
                <w:szCs w:val="24"/>
                <w:lang w:val="en-US" w:eastAsia="zh-CN"/>
              </w:rPr>
            </w:pPr>
            <w:r>
              <w:rPr>
                <w:rFonts w:hint="default"/>
                <w:color w:val="auto"/>
                <w:sz w:val="24"/>
                <w:szCs w:val="24"/>
                <w:lang w:val="en-US" w:eastAsia="zh-CN"/>
              </w:rPr>
              <w:t>项目与《渭南高新技术产业开发试验区中西部控制性详细规划》、《渭南高新技术产业开发试验区规划环境影响报告书》及其审查意见的符合性分析见表</w:t>
            </w:r>
            <w:r>
              <w:rPr>
                <w:rFonts w:hint="eastAsia"/>
                <w:color w:val="auto"/>
                <w:sz w:val="24"/>
                <w:szCs w:val="24"/>
                <w:lang w:val="en-US" w:eastAsia="zh-CN"/>
              </w:rPr>
              <w:t>1-2。</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82" w:firstLineChars="200"/>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宋体"/>
                <w:b/>
                <w:color w:val="auto"/>
                <w:kern w:val="0"/>
                <w:sz w:val="24"/>
                <w:szCs w:val="24"/>
                <w:lang w:val="en-US" w:eastAsia="zh-CN" w:bidi="zh-CN"/>
              </w:rPr>
              <w:t>表</w:t>
            </w:r>
            <w:r>
              <w:rPr>
                <w:rFonts w:hint="eastAsia" w:ascii="Times New Roman" w:hAnsi="Times New Roman" w:eastAsia="宋体" w:cs="宋体"/>
                <w:b/>
                <w:color w:val="auto"/>
                <w:kern w:val="0"/>
                <w:sz w:val="24"/>
                <w:szCs w:val="24"/>
                <w:lang w:val="en-US" w:eastAsia="zh-CN" w:bidi="zh-CN"/>
              </w:rPr>
              <w:t xml:space="preserve">1-2  </w:t>
            </w:r>
            <w:r>
              <w:rPr>
                <w:rFonts w:hint="default" w:ascii="Times New Roman" w:hAnsi="Times New Roman" w:eastAsia="宋体" w:cs="宋体"/>
                <w:b/>
                <w:color w:val="auto"/>
                <w:kern w:val="0"/>
                <w:sz w:val="24"/>
                <w:szCs w:val="24"/>
                <w:lang w:val="en-US" w:eastAsia="zh-CN" w:bidi="zh-CN"/>
              </w:rPr>
              <w:t>项目与规划环评及其审查意见符合性分析</w:t>
            </w:r>
          </w:p>
          <w:tbl>
            <w:tblPr>
              <w:tblStyle w:val="32"/>
              <w:tblW w:w="4978"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20"/>
              <w:gridCol w:w="665"/>
              <w:gridCol w:w="2680"/>
              <w:gridCol w:w="2511"/>
              <w:gridCol w:w="4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69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229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规划要求</w:t>
                  </w:r>
                </w:p>
              </w:tc>
              <w:tc>
                <w:tcPr>
                  <w:tcW w:w="171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项目情况</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69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《渭南高新区技术产业开发试验区中西部控制性详细规划》</w:t>
                  </w:r>
                </w:p>
              </w:tc>
              <w:tc>
                <w:tcPr>
                  <w:tcW w:w="456" w:type="pct"/>
                  <w:tcBorders>
                    <w:tl2br w:val="nil"/>
                    <w:tr2bl w:val="nil"/>
                  </w:tcBorders>
                  <w:noWrap w:val="0"/>
                  <w:vAlign w:val="center"/>
                </w:tcPr>
                <w:p>
                  <w:pPr>
                    <w:autoSpaceDE w:val="0"/>
                    <w:autoSpaceDN w:val="0"/>
                    <w:spacing w:line="276"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szCs w:val="21"/>
                    </w:rPr>
                    <w:t>用地范围</w:t>
                  </w: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szCs w:val="21"/>
                    </w:rPr>
                    <w:t>渭南市高新区规划范围，东起渭青路，西到渭南市西环路，南起华山大街，北到乐天大街</w:t>
                  </w:r>
                  <w:r>
                    <w:rPr>
                      <w:rFonts w:hint="eastAsia"/>
                      <w:color w:val="auto"/>
                      <w:szCs w:val="21"/>
                      <w:lang w:eastAsia="zh-CN"/>
                    </w:rPr>
                    <w:t>。</w:t>
                  </w:r>
                </w:p>
              </w:tc>
              <w:tc>
                <w:tcPr>
                  <w:tcW w:w="1719" w:type="pct"/>
                  <w:tcBorders>
                    <w:tl2br w:val="nil"/>
                    <w:tr2bl w:val="nil"/>
                  </w:tcBorders>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项目位于</w:t>
                  </w:r>
                  <w:r>
                    <w:rPr>
                      <w:rFonts w:hint="default"/>
                      <w:color w:val="auto"/>
                      <w:sz w:val="21"/>
                      <w:szCs w:val="21"/>
                      <w:lang w:val="en-US" w:eastAsia="zh-CN"/>
                    </w:rPr>
                    <w:t>陕西省渭南市高新区朝阳大街</w:t>
                  </w:r>
                  <w:r>
                    <w:rPr>
                      <w:rFonts w:hint="eastAsia"/>
                      <w:color w:val="auto"/>
                      <w:sz w:val="21"/>
                      <w:szCs w:val="21"/>
                      <w:lang w:val="en-US" w:eastAsia="zh-CN"/>
                    </w:rPr>
                    <w:t>和崇业路交口西南角，</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现有厂区内，项目用地为工业用地。</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5" w:hRule="atLeast"/>
              </w:trPr>
              <w:tc>
                <w:tcPr>
                  <w:tcW w:w="69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56" w:type="pct"/>
                  <w:tcBorders>
                    <w:tl2br w:val="nil"/>
                    <w:tr2bl w:val="nil"/>
                  </w:tcBorders>
                  <w:noWrap w:val="0"/>
                  <w:vAlign w:val="center"/>
                </w:tcPr>
                <w:p>
                  <w:pPr>
                    <w:autoSpaceDE w:val="0"/>
                    <w:autoSpaceDN w:val="0"/>
                    <w:spacing w:line="276"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szCs w:val="21"/>
                    </w:rPr>
                    <w:t>功能分区</w:t>
                  </w: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渭南高新区入驻的行业和产业为：煤化工和精细化工产业、现代医药制造、机械制造加工、高科技产业、产品食品加工产业、科研、教育、物流公共施及居住区。</w:t>
                  </w:r>
                </w:p>
              </w:tc>
              <w:tc>
                <w:tcPr>
                  <w:tcW w:w="1719" w:type="pct"/>
                  <w:tcBorders>
                    <w:tl2br w:val="nil"/>
                    <w:tr2bl w:val="nil"/>
                  </w:tcBorders>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为危废暂存间项目，位于</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现有厂区内，项目用地为工业用地，</w:t>
                  </w:r>
                  <w:r>
                    <w:rPr>
                      <w:rFonts w:hint="default"/>
                      <w:color w:val="auto"/>
                      <w:sz w:val="21"/>
                      <w:szCs w:val="21"/>
                      <w:lang w:val="en-US" w:eastAsia="zh-CN"/>
                    </w:rPr>
                    <w:t>符合规划要求</w:t>
                  </w:r>
                  <w:r>
                    <w:rPr>
                      <w:rFonts w:hint="eastAsia"/>
                      <w:color w:val="auto"/>
                      <w:sz w:val="21"/>
                      <w:szCs w:val="21"/>
                      <w:lang w:val="en-US" w:eastAsia="zh-CN"/>
                    </w:rPr>
                    <w:t>。</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69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《渭南高新技术产业开发试验区规划环境影响报告书》及其审查意见</w:t>
                  </w:r>
                </w:p>
              </w:tc>
              <w:tc>
                <w:tcPr>
                  <w:tcW w:w="456"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大气环境</w:t>
                  </w: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Cs/>
                      <w:color w:val="auto"/>
                      <w:sz w:val="21"/>
                      <w:szCs w:val="21"/>
                      <w:lang w:val="en-US" w:eastAsia="zh-CN"/>
                    </w:rPr>
                  </w:pPr>
                  <w:r>
                    <w:rPr>
                      <w:rFonts w:hint="default"/>
                      <w:bCs/>
                      <w:color w:val="auto"/>
                      <w:sz w:val="21"/>
                      <w:szCs w:val="21"/>
                      <w:lang w:val="en-US" w:eastAsia="zh-CN"/>
                    </w:rPr>
                    <w:t>①对没有达标排放的现有企业、限期治理，达标排放。对新入区企业严格执行</w:t>
                  </w:r>
                  <w:r>
                    <w:rPr>
                      <w:rFonts w:hint="eastAsia"/>
                      <w:bCs/>
                      <w:color w:val="auto"/>
                      <w:sz w:val="21"/>
                      <w:szCs w:val="21"/>
                      <w:lang w:val="en-US" w:eastAsia="zh-CN"/>
                    </w:rPr>
                    <w:t>“</w:t>
                  </w:r>
                  <w:r>
                    <w:rPr>
                      <w:rFonts w:hint="default"/>
                      <w:bCs/>
                      <w:color w:val="auto"/>
                      <w:sz w:val="21"/>
                      <w:szCs w:val="21"/>
                      <w:lang w:val="en-US" w:eastAsia="zh-CN"/>
                    </w:rPr>
                    <w:t>环境影响评价制度</w:t>
                  </w:r>
                  <w:r>
                    <w:rPr>
                      <w:rFonts w:hint="eastAsia"/>
                      <w:bCs/>
                      <w:color w:val="auto"/>
                      <w:sz w:val="21"/>
                      <w:szCs w:val="21"/>
                      <w:lang w:val="en-US" w:eastAsia="zh-CN"/>
                    </w:rPr>
                    <w:t>”</w:t>
                  </w:r>
                  <w:r>
                    <w:rPr>
                      <w:rFonts w:hint="default"/>
                      <w:bCs/>
                      <w:color w:val="auto"/>
                      <w:sz w:val="21"/>
                      <w:szCs w:val="21"/>
                      <w:lang w:val="en-US" w:eastAsia="zh-CN"/>
                    </w:rPr>
                    <w:t>和</w:t>
                  </w:r>
                  <w:r>
                    <w:rPr>
                      <w:rFonts w:hint="eastAsia"/>
                      <w:bCs/>
                      <w:color w:val="auto"/>
                      <w:sz w:val="21"/>
                      <w:szCs w:val="21"/>
                      <w:lang w:val="en-US" w:eastAsia="zh-CN"/>
                    </w:rPr>
                    <w:t>“</w:t>
                  </w:r>
                  <w:r>
                    <w:rPr>
                      <w:rFonts w:hint="default"/>
                      <w:bCs/>
                      <w:color w:val="auto"/>
                      <w:sz w:val="21"/>
                      <w:szCs w:val="21"/>
                      <w:lang w:val="en-US" w:eastAsia="zh-CN"/>
                    </w:rPr>
                    <w:t>三同时</w:t>
                  </w:r>
                  <w:r>
                    <w:rPr>
                      <w:rFonts w:hint="eastAsia"/>
                      <w:bCs/>
                      <w:color w:val="auto"/>
                      <w:sz w:val="21"/>
                      <w:szCs w:val="21"/>
                      <w:lang w:val="en-US" w:eastAsia="zh-CN"/>
                    </w:rPr>
                    <w:t>”</w:t>
                  </w:r>
                  <w:r>
                    <w:rPr>
                      <w:rFonts w:hint="default"/>
                      <w:bCs/>
                      <w:color w:val="auto"/>
                      <w:sz w:val="21"/>
                      <w:szCs w:val="21"/>
                      <w:lang w:val="en-US" w:eastAsia="zh-CN"/>
                    </w:rPr>
                    <w:t xml:space="preserve">及建设项目竣工环境保护验收，使大气污染源达标排放，做到不欠新帐。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Cs/>
                      <w:color w:val="auto"/>
                      <w:sz w:val="21"/>
                      <w:szCs w:val="21"/>
                      <w:lang w:val="en-US" w:eastAsia="zh-CN"/>
                    </w:rPr>
                  </w:pPr>
                  <w:r>
                    <w:rPr>
                      <w:rFonts w:hint="default"/>
                      <w:bCs/>
                      <w:color w:val="auto"/>
                      <w:sz w:val="21"/>
                      <w:szCs w:val="21"/>
                      <w:lang w:val="en-US" w:eastAsia="zh-CN"/>
                    </w:rPr>
                    <w:t xml:space="preserve">②推广采用清洁能源，减少燃煤量，减少烟尘和二氧化硫排放量。 </w:t>
                  </w:r>
                </w:p>
              </w:tc>
              <w:tc>
                <w:tcPr>
                  <w:tcW w:w="17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Cs/>
                      <w:color w:val="auto"/>
                      <w:sz w:val="21"/>
                      <w:szCs w:val="21"/>
                      <w:lang w:val="en-US" w:eastAsia="zh-CN"/>
                    </w:rPr>
                  </w:pPr>
                  <w:r>
                    <w:rPr>
                      <w:rFonts w:hint="default"/>
                      <w:bCs/>
                      <w:color w:val="auto"/>
                      <w:sz w:val="21"/>
                      <w:szCs w:val="21"/>
                      <w:lang w:val="en-US" w:eastAsia="zh-CN"/>
                    </w:rPr>
                    <w:t>①</w:t>
                  </w:r>
                  <w:r>
                    <w:rPr>
                      <w:rFonts w:hint="eastAsia"/>
                      <w:bCs/>
                      <w:color w:val="auto"/>
                      <w:sz w:val="21"/>
                      <w:szCs w:val="21"/>
                      <w:lang w:val="en-US" w:eastAsia="zh-CN"/>
                    </w:rPr>
                    <w:t>根据检测数据，现有危废暂存间有组织污染物排放和无组织污染物排放均达标</w:t>
                  </w:r>
                  <w:r>
                    <w:rPr>
                      <w:rFonts w:hint="default"/>
                      <w:bCs/>
                      <w:color w:val="auto"/>
                      <w:sz w:val="21"/>
                      <w:szCs w:val="21"/>
                      <w:lang w:val="en-US" w:eastAsia="zh-CN"/>
                    </w:rPr>
                    <w:t>排放。</w:t>
                  </w:r>
                  <w:r>
                    <w:rPr>
                      <w:rFonts w:hint="eastAsia"/>
                      <w:bCs/>
                      <w:color w:val="auto"/>
                      <w:sz w:val="21"/>
                      <w:szCs w:val="21"/>
                      <w:lang w:val="en-US" w:eastAsia="zh-CN"/>
                    </w:rPr>
                    <w:t>本次扩建危废暂存间</w:t>
                  </w:r>
                  <w:r>
                    <w:rPr>
                      <w:rFonts w:hint="default"/>
                      <w:bCs/>
                      <w:color w:val="auto"/>
                      <w:sz w:val="21"/>
                      <w:szCs w:val="21"/>
                      <w:lang w:val="en-US" w:eastAsia="zh-CN"/>
                    </w:rPr>
                    <w:t>严格执行</w:t>
                  </w:r>
                  <w:r>
                    <w:rPr>
                      <w:rFonts w:hint="eastAsia"/>
                      <w:bCs/>
                      <w:color w:val="auto"/>
                      <w:sz w:val="21"/>
                      <w:szCs w:val="21"/>
                      <w:lang w:val="en-US" w:eastAsia="zh-CN"/>
                    </w:rPr>
                    <w:t>“</w:t>
                  </w:r>
                  <w:r>
                    <w:rPr>
                      <w:rFonts w:hint="default"/>
                      <w:bCs/>
                      <w:color w:val="auto"/>
                      <w:sz w:val="21"/>
                      <w:szCs w:val="21"/>
                      <w:lang w:val="en-US" w:eastAsia="zh-CN"/>
                    </w:rPr>
                    <w:t>环境影响评价制度</w:t>
                  </w:r>
                  <w:r>
                    <w:rPr>
                      <w:rFonts w:hint="eastAsia"/>
                      <w:bCs/>
                      <w:color w:val="auto"/>
                      <w:sz w:val="21"/>
                      <w:szCs w:val="21"/>
                      <w:lang w:val="en-US" w:eastAsia="zh-CN"/>
                    </w:rPr>
                    <w:t>”</w:t>
                  </w:r>
                  <w:r>
                    <w:rPr>
                      <w:rFonts w:hint="default"/>
                      <w:bCs/>
                      <w:color w:val="auto"/>
                      <w:sz w:val="21"/>
                      <w:szCs w:val="21"/>
                      <w:lang w:val="en-US" w:eastAsia="zh-CN"/>
                    </w:rPr>
                    <w:t>和</w:t>
                  </w:r>
                  <w:r>
                    <w:rPr>
                      <w:rFonts w:hint="eastAsia"/>
                      <w:bCs/>
                      <w:color w:val="auto"/>
                      <w:sz w:val="21"/>
                      <w:szCs w:val="21"/>
                      <w:lang w:val="en-US" w:eastAsia="zh-CN"/>
                    </w:rPr>
                    <w:t>“</w:t>
                  </w:r>
                  <w:r>
                    <w:rPr>
                      <w:rFonts w:hint="default"/>
                      <w:bCs/>
                      <w:color w:val="auto"/>
                      <w:sz w:val="21"/>
                      <w:szCs w:val="21"/>
                      <w:lang w:val="en-US" w:eastAsia="zh-CN"/>
                    </w:rPr>
                    <w:t>三同时</w:t>
                  </w:r>
                  <w:r>
                    <w:rPr>
                      <w:rFonts w:hint="eastAsia"/>
                      <w:bCs/>
                      <w:color w:val="auto"/>
                      <w:sz w:val="21"/>
                      <w:szCs w:val="21"/>
                      <w:lang w:val="en-US" w:eastAsia="zh-CN"/>
                    </w:rPr>
                    <w:t>”</w:t>
                  </w:r>
                  <w:r>
                    <w:rPr>
                      <w:rFonts w:hint="default"/>
                      <w:bCs/>
                      <w:color w:val="auto"/>
                      <w:sz w:val="21"/>
                      <w:szCs w:val="21"/>
                      <w:lang w:val="en-US" w:eastAsia="zh-CN"/>
                    </w:rPr>
                    <w:t xml:space="preserve">及建设项目竣工环境保护验收，使大气污染源达标排放，做到不欠新帐。 </w:t>
                  </w:r>
                </w:p>
                <w:p>
                  <w:pPr>
                    <w:keepNext w:val="0"/>
                    <w:keepLines w:val="0"/>
                    <w:pageBreakBefore w:val="0"/>
                    <w:widowControl w:val="0"/>
                    <w:kinsoku/>
                    <w:wordWrap/>
                    <w:overflowPunct/>
                    <w:topLinePunct/>
                    <w:bidi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bCs/>
                      <w:color w:val="auto"/>
                      <w:sz w:val="21"/>
                      <w:szCs w:val="21"/>
                      <w:lang w:val="en-US" w:eastAsia="zh-CN"/>
                    </w:rPr>
                    <w:t>②</w:t>
                  </w: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w:t>
                  </w:r>
                  <w:r>
                    <w:rPr>
                      <w:rFonts w:hint="default"/>
                      <w:bCs/>
                      <w:color w:val="auto"/>
                      <w:sz w:val="21"/>
                      <w:szCs w:val="21"/>
                      <w:lang w:val="en-US" w:eastAsia="zh-CN"/>
                    </w:rPr>
                    <w:t>，</w:t>
                  </w:r>
                  <w:r>
                    <w:rPr>
                      <w:rFonts w:hint="eastAsia"/>
                      <w:bCs/>
                      <w:color w:val="auto"/>
                      <w:sz w:val="21"/>
                      <w:szCs w:val="21"/>
                      <w:lang w:val="en-US" w:eastAsia="zh-CN"/>
                    </w:rPr>
                    <w:t>不涉及</w:t>
                  </w:r>
                  <w:r>
                    <w:rPr>
                      <w:rFonts w:hint="default"/>
                      <w:bCs/>
                      <w:color w:val="auto"/>
                      <w:sz w:val="21"/>
                      <w:szCs w:val="21"/>
                      <w:lang w:val="en-US" w:eastAsia="zh-CN"/>
                    </w:rPr>
                    <w:t>烟尘</w:t>
                  </w:r>
                  <w:r>
                    <w:rPr>
                      <w:rFonts w:hint="eastAsia"/>
                      <w:bCs/>
                      <w:color w:val="auto"/>
                      <w:sz w:val="21"/>
                      <w:szCs w:val="21"/>
                      <w:lang w:val="en-US" w:eastAsia="zh-CN"/>
                    </w:rPr>
                    <w:t>、</w:t>
                  </w:r>
                  <w:r>
                    <w:rPr>
                      <w:rFonts w:hint="default"/>
                      <w:bCs/>
                      <w:color w:val="auto"/>
                      <w:sz w:val="21"/>
                      <w:szCs w:val="21"/>
                      <w:lang w:val="en-US" w:eastAsia="zh-CN"/>
                    </w:rPr>
                    <w:t>二氧化硫</w:t>
                  </w:r>
                  <w:r>
                    <w:rPr>
                      <w:rFonts w:hint="eastAsia"/>
                      <w:bCs/>
                      <w:color w:val="auto"/>
                      <w:sz w:val="21"/>
                      <w:szCs w:val="21"/>
                      <w:lang w:val="en-US" w:eastAsia="zh-CN"/>
                    </w:rPr>
                    <w:t>和氮氧化物</w:t>
                  </w:r>
                  <w:r>
                    <w:rPr>
                      <w:rFonts w:hint="default"/>
                      <w:bCs/>
                      <w:color w:val="auto"/>
                      <w:sz w:val="21"/>
                      <w:szCs w:val="21"/>
                      <w:lang w:val="en-US" w:eastAsia="zh-CN"/>
                    </w:rPr>
                    <w:t xml:space="preserve">排放。 </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69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56"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Cs/>
                      <w:color w:val="auto"/>
                      <w:sz w:val="21"/>
                      <w:szCs w:val="21"/>
                    </w:rPr>
                  </w:pPr>
                  <w:r>
                    <w:rPr>
                      <w:rFonts w:hint="default"/>
                      <w:bCs/>
                      <w:color w:val="auto"/>
                      <w:sz w:val="21"/>
                      <w:szCs w:val="21"/>
                    </w:rPr>
                    <w:t>工业企业的噪声综合防治主要从四个方面着手，一是厂址的选择；二是厂区平面布置；三是工艺及设备的选择；四是强噪声源的治理。</w:t>
                  </w:r>
                </w:p>
              </w:tc>
              <w:tc>
                <w:tcPr>
                  <w:tcW w:w="1719" w:type="pct"/>
                  <w:tcBorders>
                    <w:tl2br w:val="nil"/>
                    <w:tr2bl w:val="nil"/>
                  </w:tcBorders>
                  <w:noWrap w:val="0"/>
                  <w:vAlign w:val="center"/>
                </w:tcPr>
                <w:p>
                  <w:pPr>
                    <w:keepNext w:val="0"/>
                    <w:keepLines w:val="0"/>
                    <w:pageBreakBefore w:val="0"/>
                    <w:widowControl w:val="0"/>
                    <w:kinsoku/>
                    <w:wordWrap/>
                    <w:overflowPunct/>
                    <w:topLinePunct/>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为危废暂存间项目，位于</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现有厂区内，</w:t>
                  </w:r>
                  <w:r>
                    <w:rPr>
                      <w:rFonts w:hint="default" w:ascii="Times New Roman" w:hAnsi="Times New Roman" w:cs="Times New Roman"/>
                      <w:color w:val="auto"/>
                      <w:kern w:val="0"/>
                      <w:sz w:val="21"/>
                      <w:szCs w:val="21"/>
                    </w:rPr>
                    <w:t>项目平面布置合理，</w:t>
                  </w:r>
                  <w:r>
                    <w:rPr>
                      <w:rFonts w:hint="default" w:ascii="Times New Roman" w:hAnsi="Times New Roman" w:cs="Times New Roman"/>
                      <w:color w:val="auto"/>
                      <w:lang w:val="en-US" w:eastAsia="zh-CN"/>
                    </w:rPr>
                    <w:t>采取低噪声设备、基础减震等措施</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84" w:hRule="atLeast"/>
              </w:trPr>
              <w:tc>
                <w:tcPr>
                  <w:tcW w:w="69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56"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固体废物</w:t>
                  </w: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rPr>
                    <w:t>对生活垃圾进行分类收集，回收其中可综合利用的成分，不能利用的垃圾送往渭南市垃圾填埋场处理。做到日产垃圾日清运。</w:t>
                  </w:r>
                </w:p>
              </w:tc>
              <w:tc>
                <w:tcPr>
                  <w:tcW w:w="1719"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ind w:firstLine="0" w:firstLineChars="0"/>
                    <w:jc w:val="left"/>
                    <w:textAlignment w:val="auto"/>
                    <w:rPr>
                      <w:rFonts w:hint="eastAsia" w:ascii="宋体" w:hAnsi="宋体" w:eastAsia="宋体" w:cs="宋体"/>
                      <w:color w:val="auto"/>
                      <w:szCs w:val="21"/>
                      <w:lang w:val="en-US" w:eastAsia="zh-CN"/>
                    </w:rPr>
                  </w:pP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为危废暂存间项目，位于</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现有厂区内，用于存储</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危险废物，之后由有资质单位转运清理。</w:t>
                  </w:r>
                </w:p>
                <w:p>
                  <w:pPr>
                    <w:keepNext w:val="0"/>
                    <w:keepLines w:val="0"/>
                    <w:pageBreakBefore w:val="0"/>
                    <w:widowControl w:val="0"/>
                    <w:kinsoku/>
                    <w:wordWrap/>
                    <w:overflowPunct/>
                    <w:topLinePunct/>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w:t>
                  </w:r>
                  <w:r>
                    <w:rPr>
                      <w:rFonts w:hint="eastAsia"/>
                      <w:color w:val="auto"/>
                      <w:kern w:val="0"/>
                      <w:sz w:val="21"/>
                      <w:szCs w:val="21"/>
                      <w:lang w:eastAsia="zh-CN"/>
                    </w:rPr>
                    <w:t>本次项目不新增工作人员，不涉及生活垃圾。</w:t>
                  </w:r>
                  <w:r>
                    <w:rPr>
                      <w:rFonts w:hint="default" w:ascii="宋体" w:hAnsi="宋体" w:eastAsia="宋体" w:cs="宋体"/>
                      <w:color w:val="auto"/>
                      <w:szCs w:val="21"/>
                      <w:lang w:val="en-US" w:eastAsia="zh-CN"/>
                    </w:rPr>
                    <w:t>海泰新型电子材料有限责任公司</w:t>
                  </w:r>
                  <w:r>
                    <w:rPr>
                      <w:color w:val="auto"/>
                      <w:kern w:val="0"/>
                      <w:sz w:val="21"/>
                      <w:szCs w:val="21"/>
                    </w:rPr>
                    <w:t>产生的生活垃圾，分类收集后定期交由环卫部门清运</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62" w:hRule="atLeast"/>
              </w:trPr>
              <w:tc>
                <w:tcPr>
                  <w:tcW w:w="69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rPr>
                  </w:pP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rPr>
                    <w:t>渭南高新区的医疗危险废物由渭南市医疗废物集中处理站到各医疗点收集，按质分装，密闭运输。采用A、B炉焚烧工艺，处理医疗废物。其他危险废物送有资质的单位处理。</w:t>
                  </w:r>
                </w:p>
              </w:tc>
              <w:tc>
                <w:tcPr>
                  <w:tcW w:w="1719"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为危废暂存间项目，位于</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现有厂区内，用于暂存</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危险废物，之后由有资质单位转运清理处置。</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pPr>
              <w:tabs>
                <w:tab w:val="left" w:pos="2324"/>
              </w:tabs>
              <w:bidi w:val="0"/>
              <w:jc w:val="left"/>
              <w:rPr>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041" w:type="pct"/>
            <w:vAlign w:val="center"/>
          </w:tcPr>
          <w:p>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其他符合性分析</w:t>
            </w:r>
          </w:p>
        </w:tc>
        <w:tc>
          <w:tcPr>
            <w:tcW w:w="3958" w:type="pct"/>
            <w:gridSpan w:val="3"/>
            <w:vAlign w:val="top"/>
          </w:tcPr>
          <w:p>
            <w:pPr>
              <w:adjustRightInd w:val="0"/>
              <w:snapToGrid w:val="0"/>
              <w:spacing w:line="360" w:lineRule="auto"/>
              <w:rPr>
                <w:b/>
                <w:bCs/>
                <w:color w:val="auto"/>
                <w:sz w:val="24"/>
              </w:rPr>
            </w:pPr>
            <w:r>
              <w:rPr>
                <w:rFonts w:hint="eastAsia"/>
                <w:b/>
                <w:bCs/>
                <w:color w:val="auto"/>
                <w:sz w:val="24"/>
              </w:rPr>
              <w:t>1、与产业政策符合性分析</w:t>
            </w:r>
          </w:p>
          <w:p>
            <w:pPr>
              <w:autoSpaceDE w:val="0"/>
              <w:autoSpaceDN w:val="0"/>
              <w:adjustRightInd w:val="0"/>
              <w:snapToGrid w:val="0"/>
              <w:spacing w:line="360" w:lineRule="auto"/>
              <w:ind w:firstLine="480" w:firstLineChars="200"/>
              <w:rPr>
                <w:color w:val="auto"/>
                <w:sz w:val="24"/>
              </w:rPr>
            </w:pPr>
            <w:r>
              <w:rPr>
                <w:rFonts w:hint="eastAsia"/>
                <w:color w:val="auto"/>
                <w:sz w:val="24"/>
              </w:rPr>
              <w:t>本项目行业类别为其他危险品仓储</w:t>
            </w:r>
            <w:r>
              <w:rPr>
                <w:rFonts w:hint="eastAsia"/>
                <w:color w:val="auto"/>
                <w:sz w:val="24"/>
                <w:lang w:eastAsia="zh-CN"/>
              </w:rPr>
              <w:t>，</w:t>
            </w:r>
            <w:r>
              <w:rPr>
                <w:rFonts w:hint="eastAsia"/>
                <w:color w:val="auto"/>
                <w:sz w:val="24"/>
              </w:rPr>
              <w:t>根据《产业结构调整指导目录（2019年本）》（2021年修改），均不属于其中的鼓励类，也不在其限制类和禁止类，视为允许类；同时本项目也不属于《市场准入负面清单（2022年版）》中禁止准入类和许可准入类项目，不属于禁止新建、扩建《环境保护综合名录（2021年版）》及其最新名录所列“高污染、高风险”管控项目，不属于《陕西省“两高”项目管理暂行目录（2022年版）》中规定的高耗能、高污染建设项目。</w:t>
            </w:r>
          </w:p>
          <w:p>
            <w:pPr>
              <w:autoSpaceDE w:val="0"/>
              <w:autoSpaceDN w:val="0"/>
              <w:adjustRightInd w:val="0"/>
              <w:snapToGrid w:val="0"/>
              <w:spacing w:line="360" w:lineRule="auto"/>
              <w:ind w:firstLine="480" w:firstLineChars="200"/>
              <w:rPr>
                <w:color w:val="auto"/>
                <w:sz w:val="24"/>
              </w:rPr>
            </w:pPr>
            <w:r>
              <w:rPr>
                <w:rFonts w:hint="eastAsia"/>
                <w:color w:val="auto"/>
                <w:sz w:val="24"/>
              </w:rPr>
              <w:t>因此本项目的建设符合国家产业政策。</w:t>
            </w:r>
          </w:p>
          <w:p>
            <w:pPr>
              <w:numPr>
                <w:ilvl w:val="0"/>
                <w:numId w:val="2"/>
              </w:numPr>
              <w:adjustRightInd w:val="0"/>
              <w:snapToGrid w:val="0"/>
              <w:spacing w:line="360" w:lineRule="auto"/>
              <w:rPr>
                <w:b/>
                <w:bCs/>
                <w:color w:val="auto"/>
                <w:sz w:val="24"/>
                <w:szCs w:val="24"/>
              </w:rPr>
            </w:pPr>
            <w:r>
              <w:rPr>
                <w:rFonts w:hint="eastAsia"/>
                <w:b/>
                <w:bCs/>
                <w:color w:val="auto"/>
                <w:sz w:val="24"/>
                <w:szCs w:val="24"/>
              </w:rPr>
              <w:t>与“三线一单”符合性分析</w:t>
            </w:r>
          </w:p>
          <w:p>
            <w:pPr>
              <w:bidi w:val="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表1</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本项目与相关政策符合性分析</w:t>
            </w:r>
          </w:p>
          <w:tbl>
            <w:tblPr>
              <w:tblStyle w:val="32"/>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4038"/>
              <w:gridCol w:w="2163"/>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2752"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分析判定内容</w:t>
                  </w:r>
                </w:p>
              </w:tc>
              <w:tc>
                <w:tcPr>
                  <w:tcW w:w="1474"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拟建项目情况</w:t>
                  </w: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restar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706" w:type="pct"/>
                  <w:gridSpan w:val="3"/>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《陕西省人民政府关于加快实施“三线一单”生态环境分区管控的意见》陕政发</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lang w:val="en-US" w:eastAsia="zh-CN"/>
                    </w:rPr>
                    <w:t>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优先保护单元。指以生态环境保护为主的区域，主要包括生态保护红线、自然保护地、集中式饮用水水源保护区等生态功能重要区、生态环境敏感区。全省划分优先保护单元895个，面积8.47万平方公里，占全省国土面积的41.2%，主要分布在秦巴山区、黄河流域重点生态功能区等。</w:t>
                  </w:r>
                </w:p>
              </w:tc>
              <w:tc>
                <w:tcPr>
                  <w:tcW w:w="1474" w:type="pct"/>
                  <w:vMerge w:val="restart"/>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项目位于</w:t>
                  </w:r>
                  <w:r>
                    <w:rPr>
                      <w:rFonts w:hint="default"/>
                      <w:color w:val="auto"/>
                      <w:sz w:val="21"/>
                      <w:szCs w:val="21"/>
                      <w:lang w:val="en-US" w:eastAsia="zh-CN"/>
                    </w:rPr>
                    <w:t>陕西省渭南市高新区朝阳大街</w:t>
                  </w:r>
                  <w:r>
                    <w:rPr>
                      <w:rFonts w:hint="eastAsia"/>
                      <w:color w:val="auto"/>
                      <w:sz w:val="21"/>
                      <w:szCs w:val="21"/>
                      <w:lang w:val="en-US" w:eastAsia="zh-CN"/>
                    </w:rPr>
                    <w:t>和崇业路交口西南角，</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现有厂区内，项目用地为工业用地</w:t>
                  </w:r>
                  <w:r>
                    <w:rPr>
                      <w:rFonts w:hint="default" w:ascii="Times New Roman" w:hAnsi="Times New Roman" w:eastAsia="宋体" w:cs="Times New Roman"/>
                      <w:color w:val="auto"/>
                      <w:sz w:val="21"/>
                      <w:szCs w:val="21"/>
                      <w:lang w:val="en-US" w:eastAsia="zh-CN"/>
                    </w:rPr>
                    <w:t>，项目属于重点管控单元，按环评要求</w:t>
                  </w:r>
                  <w:r>
                    <w:rPr>
                      <w:rFonts w:hint="default" w:ascii="Times New Roman" w:hAnsi="Times New Roman" w:eastAsia="宋体" w:cs="Times New Roman"/>
                      <w:color w:val="auto"/>
                      <w:kern w:val="0"/>
                      <w:sz w:val="21"/>
                      <w:szCs w:val="21"/>
                      <w:lang w:val="en-US" w:eastAsia="zh-CN"/>
                    </w:rPr>
                    <w:t>建设污染物处理措施，减少污染物排放量</w:t>
                  </w:r>
                  <w:r>
                    <w:rPr>
                      <w:rFonts w:hint="default" w:ascii="Times New Roman" w:hAnsi="Times New Roman" w:eastAsia="宋体" w:cs="Times New Roman"/>
                      <w:color w:val="auto"/>
                      <w:sz w:val="21"/>
                      <w:szCs w:val="21"/>
                      <w:lang w:val="en-US" w:eastAsia="zh-CN"/>
                    </w:rPr>
                    <w:t>。</w:t>
                  </w:r>
                </w:p>
              </w:tc>
              <w:tc>
                <w:tcPr>
                  <w:tcW w:w="479" w:type="pct"/>
                  <w:vMerge w:val="restar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重点管控单元。指涉及大气、水、土壤、自然资源等资源环境要素重点管控的区域，主要包括城镇规划区、重点开发区等开发强度高和污染物排放强度大的区域。全省划分重点管控单元406个，面积4.88万平方公里，占全省国土面积的23.72%，主要分布在关中平原、陕北能源重化工产业聚集区、陕南重点城镇区以及环境问题相对集中的区域。</w:t>
                  </w:r>
                </w:p>
              </w:tc>
              <w:tc>
                <w:tcPr>
                  <w:tcW w:w="1474" w:type="pct"/>
                  <w:vMerge w:val="continue"/>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p>
              </w:tc>
              <w:tc>
                <w:tcPr>
                  <w:tcW w:w="479"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一般管控单元。指除优先保护单元、重点管控单元以外的其他区域。全省划分一般管控单元80个，面积7.21万平方公里，占全省国土面积的35.08%。</w:t>
                  </w:r>
                </w:p>
              </w:tc>
              <w:tc>
                <w:tcPr>
                  <w:tcW w:w="1474" w:type="pct"/>
                  <w:vMerge w:val="continue"/>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p>
              </w:tc>
              <w:tc>
                <w:tcPr>
                  <w:tcW w:w="479"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明确生态环境分区管控要求。确定优先保护、重点管控、一般管控单元的总体管控要求。优先保护单元以生态优先为原则，突出空间布局约束，依法禁止或限制大规模、高强度工业开发和城镇建设活动，开展生态功能受损区域生态保护修复活动，确保重要生态环境功能不降低。重点管控单元以提升资源利用效率、加强污染物减排治理和环境风险防控为重点，解决突出生态环境问题。一般管控单元主要落实生态环境保护基本要求。</w:t>
                  </w:r>
                </w:p>
              </w:tc>
              <w:tc>
                <w:tcPr>
                  <w:tcW w:w="1474" w:type="pct"/>
                  <w:vMerge w:val="continue"/>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p>
              </w:tc>
              <w:tc>
                <w:tcPr>
                  <w:tcW w:w="479"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restar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706" w:type="pct"/>
                  <w:gridSpan w:val="3"/>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《渭南市人民政府关于印发渭南市</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三线一单</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生态环境分区管控方案的通知》渭政发〔2021〕35号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3"/>
                    </w:numPr>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划定环境管控单元</w:t>
                  </w:r>
                </w:p>
                <w:p>
                  <w:pPr>
                    <w:pStyle w:val="26"/>
                    <w:numPr>
                      <w:ilvl w:val="0"/>
                      <w:numId w:val="0"/>
                    </w:numPr>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按照“保护优先、衔接整合、有效管理”的原则，全市共划定环境管控单元149个（不含韩城市），分为优先保护单元、重点管控单元和一般管控单元三类，实施生态环境分区管控。</w:t>
                  </w:r>
                </w:p>
                <w:p>
                  <w:pPr>
                    <w:pStyle w:val="26"/>
                    <w:numPr>
                      <w:ilvl w:val="0"/>
                      <w:numId w:val="0"/>
                    </w:numPr>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重点管控单元。共56个，主要是大气、水、土壤、自然资源等资源环境要素重点管控的区域，包括城镇建成区、工业园区、主要农业区等。该单元面积6133.93平方公里，占全市国土面积的53.62%。</w:t>
                  </w:r>
                </w:p>
              </w:tc>
              <w:tc>
                <w:tcPr>
                  <w:tcW w:w="1474" w:type="pct"/>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项目位于</w:t>
                  </w:r>
                  <w:r>
                    <w:rPr>
                      <w:rFonts w:hint="default"/>
                      <w:color w:val="auto"/>
                      <w:sz w:val="21"/>
                      <w:szCs w:val="21"/>
                      <w:lang w:val="en-US" w:eastAsia="zh-CN"/>
                    </w:rPr>
                    <w:t>陕西省渭南市高新区朝阳大街</w:t>
                  </w:r>
                  <w:r>
                    <w:rPr>
                      <w:rFonts w:hint="eastAsia"/>
                      <w:color w:val="auto"/>
                      <w:sz w:val="21"/>
                      <w:szCs w:val="21"/>
                      <w:lang w:val="en-US" w:eastAsia="zh-CN"/>
                    </w:rPr>
                    <w:t>和崇业路交口西南角，</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现有厂区内，项目用地为工业用地。</w:t>
                  </w:r>
                  <w:r>
                    <w:rPr>
                      <w:rFonts w:hint="default" w:ascii="Times New Roman" w:hAnsi="Times New Roman" w:eastAsia="宋体" w:cs="Times New Roman"/>
                      <w:color w:val="auto"/>
                      <w:sz w:val="21"/>
                      <w:szCs w:val="21"/>
                      <w:lang w:val="en-US" w:eastAsia="zh-CN"/>
                    </w:rPr>
                    <w:t>根据图1</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1渭南市生态环境管控单元分布示意图，本项目属于渭南市</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三线一单</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生态环境分区管控中的重点管控单元。</w:t>
                  </w: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（二）明确生态环境分区管控要求</w:t>
                  </w:r>
                </w:p>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重点管控单元：以</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双碳</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战略为突破口，进一步优化产业布局，持续推进能源化工产业转型升级，加强污染物排放控制和环境风险防控，不断提升资源能源利用效率，解决生态环境质量不优、生态环境风险高等问题。</w:t>
                  </w:r>
                </w:p>
              </w:tc>
              <w:tc>
                <w:tcPr>
                  <w:tcW w:w="1474" w:type="pct"/>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本项目按要求做好污染防治，各项污染物达标排放。</w:t>
                  </w: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附件2渭南市生态环境准入清单</w:t>
                  </w:r>
                </w:p>
                <w:p>
                  <w:pPr>
                    <w:pStyle w:val="26"/>
                    <w:bidi w:val="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总体要求-污染排放管控</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1.调整优化产业、能源、运输和用地结构，有效控制温室气体排放。</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2.开展汾渭平原及关中地区大气污染联防联控行动；落实工业污染源减排，加强工业炉窑综合整治和煤炭清洁利用，推进挥发性有机物污染防治，全面管控移动污染源排放，优化路网结构，推进清洁取暖改造。</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3.加强工业污水排放监管和治理；完善城镇污水收集配套管网和乡村排水管网设施；加大入河排污口、饮用水水源地和黑臭水体治理力度。</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4.以有色金属矿采选冶炼、煤化工、焦化、电镀等行业为重点，开展重点污染源及周边区域土壤污染风险管控；高效 安全使用化肥农药；加大畜禽粪污、农作物秸秆等农业废弃物资源化利用和无害化处理。</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5.推进金、钼等尾矿及工业副产石膏、冶炼和煤化工废渣等工业固体废弃物综合利用。</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6.新建“两高”项目应依据区域环境质量改善目标，落实区域削减要求。</w:t>
                  </w:r>
                </w:p>
              </w:tc>
              <w:tc>
                <w:tcPr>
                  <w:tcW w:w="1474" w:type="pct"/>
                  <w:vMerge w:val="restart"/>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两高</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项目，不属于有色金属矿采选冶炼、煤化工、焦化、电镀等行业；不涉及工业炉窑及燃煤；废气按环评提出的防治措施实施，控制污染物排放量；</w:t>
                  </w:r>
                  <w:r>
                    <w:rPr>
                      <w:rFonts w:hint="default" w:ascii="Times New Roman" w:hAnsi="Times New Roman" w:eastAsia="宋体" w:cs="Times New Roman"/>
                      <w:color w:val="auto"/>
                      <w:sz w:val="21"/>
                      <w:szCs w:val="21"/>
                    </w:rPr>
                    <w:t>项目无生产废水产生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项目定期开展监测。</w:t>
                  </w: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重点管控单元-污染排放管控</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 大气环境高排放区</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1.控制氮氧化物、颗粒物、挥发性有机物的排放。</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2.对高能耗高污染行业企业采用更加先进高效的污染控制措施。</w:t>
                  </w:r>
                </w:p>
              </w:tc>
              <w:tc>
                <w:tcPr>
                  <w:tcW w:w="1474" w:type="pct"/>
                  <w:vMerge w:val="continue"/>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bidi w:val="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环境风险防控：</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1.坚持预防为主原则，将环境风险纳入常态化管理。 </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2.完善市县镇生态环境统筹协调机制，健全突发环境事件快速响应机制。 </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3.加强饮用水水源地环境风险管控。 </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4.加强土壤污染重点监管单位排污许可管理，严格控制有毒有害物质排放，落实壤污染隐患排查制度。 </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5.以化工园区、尾矿库、冶炼企业等为重点加强环境风险防控。</w:t>
                  </w:r>
                </w:p>
              </w:tc>
              <w:tc>
                <w:tcPr>
                  <w:tcW w:w="1474" w:type="pct"/>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为危废暂存间项目，位于</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现有厂区内，用于暂存</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危险废物，之后由有资质单位转运清理处置。</w:t>
                  </w:r>
                  <w:r>
                    <w:rPr>
                      <w:rFonts w:hint="eastAsia" w:ascii="宋体" w:hAnsi="宋体" w:eastAsia="宋体" w:cs="宋体"/>
                      <w:color w:val="auto"/>
                      <w:kern w:val="0"/>
                      <w:sz w:val="21"/>
                      <w:szCs w:val="21"/>
                      <w:lang w:val="en-US" w:eastAsia="zh-CN" w:bidi="ar"/>
                    </w:rPr>
                    <w:t>已提出环境风险防范措施，将环境风险管理纳入常态化管理。</w:t>
                  </w: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pPr>
              <w:bidi w:val="0"/>
              <w:jc w:val="both"/>
              <w:rPr>
                <w:rFonts w:hint="default"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default"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rPr>
                <w:rFonts w:hint="eastAsia" w:ascii="Times New Roman" w:hAnsi="Times New Roman" w:cs="Times New Roman"/>
                <w:color w:val="auto"/>
                <w:lang w:eastAsia="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1473200</wp:posOffset>
                      </wp:positionH>
                      <wp:positionV relativeFrom="paragraph">
                        <wp:posOffset>4079875</wp:posOffset>
                      </wp:positionV>
                      <wp:extent cx="76200" cy="81280"/>
                      <wp:effectExtent l="12700" t="12700" r="25400" b="20320"/>
                      <wp:wrapNone/>
                      <wp:docPr id="3" name="等腰三角形 3"/>
                      <wp:cNvGraphicFramePr/>
                      <a:graphic xmlns:a="http://schemas.openxmlformats.org/drawingml/2006/main">
                        <a:graphicData uri="http://schemas.microsoft.com/office/word/2010/wordprocessingShape">
                          <wps:wsp>
                            <wps:cNvSpPr/>
                            <wps:spPr>
                              <a:xfrm>
                                <a:off x="3799840" y="5213985"/>
                                <a:ext cx="76200" cy="81280"/>
                              </a:xfrm>
                              <a:prstGeom prst="triangle">
                                <a:avLst/>
                              </a:prstGeom>
                              <a:solidFill>
                                <a:srgbClr val="4526F0"/>
                              </a:solidFill>
                              <a:ln>
                                <a:solidFill>
                                  <a:srgbClr val="4526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6pt;margin-top:321.25pt;height:6.4pt;width:6pt;z-index:251661312;v-text-anchor:middle;mso-width-relative:page;mso-height-relative:page;" fillcolor="#4526F0" filled="t" stroked="t" coordsize="21600,21600" o:gfxdata="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uCHwl2QAAAAsBAAAPAAAAAAAAAAEA&#10;IAAAACIAAABkcnMvZG93bnJldi54bWxQSwECFAAUAAAACACHTuJA6AE7O4ACAADzBAAADgAAAAAA&#10;AAABACAAAAAoAQAAZHJzL2Uyb0RvYy54bWxQSwUGAAAAAAYABgBZAQAAGgYAAAAA&#10;" adj="10800">
                      <v:fill on="t" focussize="0,0"/>
                      <v:stroke weight="2pt" color="#4526F0 [3204]" joinstyle="round"/>
                      <v:imagedata o:title=""/>
                      <o:lock v:ext="edit" aspectratio="f"/>
                    </v:shape>
                  </w:pict>
                </mc:Fallback>
              </mc:AlternateContent>
            </w:r>
            <w:r>
              <w:rPr>
                <w:rFonts w:hint="default" w:ascii="Times New Roman" w:hAnsi="Times New Roman" w:cs="Times New Roman"/>
                <w:color w:val="auto"/>
              </w:rPr>
              <w:drawing>
                <wp:inline distT="0" distB="0" distL="114300" distR="114300">
                  <wp:extent cx="4301490" cy="6035040"/>
                  <wp:effectExtent l="0" t="0" r="381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4301490" cy="6035040"/>
                          </a:xfrm>
                          <a:prstGeom prst="rect">
                            <a:avLst/>
                          </a:prstGeom>
                          <a:noFill/>
                          <a:ln>
                            <a:noFill/>
                          </a:ln>
                        </pic:spPr>
                      </pic:pic>
                    </a:graphicData>
                  </a:graphic>
                </wp:inline>
              </w:drawing>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3610610</wp:posOffset>
                      </wp:positionV>
                      <wp:extent cx="677545" cy="349885"/>
                      <wp:effectExtent l="9525" t="9525" r="494030" b="173990"/>
                      <wp:wrapNone/>
                      <wp:docPr id="2" name="圆角矩形标注 2"/>
                      <wp:cNvGraphicFramePr/>
                      <a:graphic xmlns:a="http://schemas.openxmlformats.org/drawingml/2006/main">
                        <a:graphicData uri="http://schemas.microsoft.com/office/word/2010/wordprocessingShape">
                          <wps:wsp>
                            <wps:cNvSpPr/>
                            <wps:spPr>
                              <a:xfrm>
                                <a:off x="2625090" y="4967605"/>
                                <a:ext cx="677545" cy="349885"/>
                              </a:xfrm>
                              <a:prstGeom prst="wedgeRoundRectCallout">
                                <a:avLst>
                                  <a:gd name="adj1" fmla="val 119929"/>
                                  <a:gd name="adj2" fmla="val 97005"/>
                                  <a:gd name="adj3" fmla="val 16667"/>
                                </a:avLst>
                              </a:prstGeom>
                              <a:solidFill>
                                <a:schemeClr val="bg1"/>
                              </a:solidFill>
                              <a:ln w="19050" cmpd="sng">
                                <a:solidFill>
                                  <a:srgbClr val="4526F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color w:val="4526F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4526F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7pt;margin-top:284.3pt;height:27.55pt;width:53.35pt;z-index:251660288;v-text-anchor:middle;mso-width-relative:page;mso-height-relative:page;" fillcolor="#FFFFFF [3212]" filled="t" stroked="t" coordsize="21600,21600" o:gfxdata="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S/0a&#10;UdgAAAAKAQAADwAAAAAAAAABACAAAAAiAAAAZHJzL2Rvd25yZXYueG1sUEsBAhQAFAAAAAgAh07i&#10;QBGguQbNAgAAhgUAAA4AAAAAAAAAAQAgAAAAJwEAAGRycy9lMm9Eb2MueG1sUEsFBgAAAAAGAAYA&#10;WQEAAGYGAAAAAA==&#10;" adj="36705,31753,14400">
                      <v:fill on="t" focussize="0,0"/>
                      <v:stroke weight="1.5pt" color="#4526F0 [3204]" joinstyle="round"/>
                      <v:imagedata o:title=""/>
                      <o:lock v:ext="edit" aspectratio="f"/>
                      <v:textbox>
                        <w:txbxContent>
                          <w:p>
                            <w:pPr>
                              <w:jc w:val="both"/>
                              <w:rPr>
                                <w:rFonts w:hint="eastAsia" w:eastAsia="宋体"/>
                                <w:color w:val="4526F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4526F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v:textbox>
                    </v:shape>
                  </w:pict>
                </mc:Fallback>
              </mc:AlternateContent>
            </w:r>
          </w:p>
          <w:p>
            <w:pPr>
              <w:pStyle w:val="7"/>
              <w:bidi w:val="0"/>
              <w:ind w:left="0" w:leftChars="0" w:firstLine="0" w:firstLineChars="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图1</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 xml:space="preserve">  渭南市生态环境管控单元分布示意图</w:t>
            </w:r>
          </w:p>
          <w:p>
            <w:pPr>
              <w:pStyle w:val="7"/>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根据陕西省生态环境厅文件陕环办发【2022】76 文件，《陕西省“三线一单”生态环境分区管理应用技术指南》：环境影响评价（试行）通知，进行建设项目与“三线一单”生态环境分区管控符合性分析，采用一图、一表、一说明的形式表达。本项目采用陕西省“三线一单”数据应用系统平台查询后，具体数据及符合性分析如下</w:t>
            </w:r>
            <w:r>
              <w:rPr>
                <w:rFonts w:hint="eastAsia" w:cs="Times New Roman"/>
                <w:b w:val="0"/>
                <w:bCs w:val="0"/>
                <w:color w:val="auto"/>
                <w:sz w:val="24"/>
                <w:szCs w:val="24"/>
                <w:lang w:val="en-US" w:eastAsia="zh-CN"/>
              </w:rPr>
              <w:t>（详见附件11关于本项目的《陕西省“三线一单”生态环境管控单元对照分析报告》）</w:t>
            </w:r>
            <w:r>
              <w:rPr>
                <w:rFonts w:hint="default" w:ascii="Times New Roman" w:hAnsi="Times New Roman" w:cs="Times New Roman"/>
                <w:b w:val="0"/>
                <w:bCs w:val="0"/>
                <w:color w:val="auto"/>
                <w:sz w:val="24"/>
                <w:szCs w:val="24"/>
                <w:lang w:val="en-US" w:eastAsia="zh-CN"/>
              </w:rPr>
              <w:t>：</w:t>
            </w:r>
          </w:p>
          <w:p>
            <w:pPr>
              <w:pStyle w:val="67"/>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2"/>
                <w:sz w:val="24"/>
                <w:szCs w:val="24"/>
                <w:lang w:val="en-US" w:eastAsia="zh-CN" w:bidi="ar-SA"/>
              </w:rPr>
            </w:pPr>
          </w:p>
          <w:p>
            <w:pPr>
              <w:pStyle w:val="67"/>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2"/>
                <w:sz w:val="24"/>
                <w:szCs w:val="24"/>
                <w:lang w:val="en-US" w:eastAsia="zh-CN" w:bidi="ar-SA"/>
              </w:rPr>
            </w:pPr>
          </w:p>
          <w:p>
            <w:pPr>
              <w:pStyle w:val="67"/>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w:t>
            </w:r>
            <w:r>
              <w:rPr>
                <w:rFonts w:hint="eastAsia"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 xml:space="preserve"> </w:t>
            </w:r>
            <w:r>
              <w:rPr>
                <w:rFonts w:hint="eastAsia"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en-US" w:eastAsia="zh-CN" w:bidi="ar-SA"/>
              </w:rPr>
              <w:t>环境管控单元涉及情况表</w:t>
            </w:r>
          </w:p>
          <w:tbl>
            <w:tblPr>
              <w:tblStyle w:val="3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57" w:type="dxa"/>
                <w:left w:w="108" w:type="dxa"/>
                <w:bottom w:w="57" w:type="dxa"/>
                <w:right w:w="108" w:type="dxa"/>
              </w:tblCellMar>
            </w:tblPr>
            <w:tblGrid>
              <w:gridCol w:w="2072"/>
              <w:gridCol w:w="2105"/>
              <w:gridCol w:w="31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环境管控单元分类</w:t>
                  </w:r>
                </w:p>
              </w:tc>
              <w:tc>
                <w:tcPr>
                  <w:tcW w:w="1435"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是否涉及</w:t>
                  </w:r>
                </w:p>
              </w:tc>
              <w:tc>
                <w:tcPr>
                  <w:tcW w:w="2150"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面积/长度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优先保护单元</w:t>
                  </w:r>
                </w:p>
              </w:tc>
              <w:tc>
                <w:tcPr>
                  <w:tcW w:w="143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否</w:t>
                  </w:r>
                </w:p>
              </w:tc>
              <w:tc>
                <w:tcPr>
                  <w:tcW w:w="215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重点管控单元</w:t>
                  </w:r>
                </w:p>
              </w:tc>
              <w:tc>
                <w:tcPr>
                  <w:tcW w:w="143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是</w:t>
                  </w:r>
                </w:p>
              </w:tc>
              <w:tc>
                <w:tcPr>
                  <w:tcW w:w="215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128</w:t>
                  </w:r>
                  <w:r>
                    <w:rPr>
                      <w:rFonts w:hint="default" w:ascii="Times New Roman" w:hAnsi="Times New Roman" w:eastAsia="宋体" w:cs="Times New Roman"/>
                      <w:color w:val="auto"/>
                      <w:kern w:val="2"/>
                      <w:sz w:val="21"/>
                      <w:szCs w:val="21"/>
                      <w:lang w:val="en-US" w:eastAsia="zh-CN" w:bidi="ar-SA"/>
                    </w:rPr>
                    <w:t>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一般管控单元</w:t>
                  </w:r>
                </w:p>
              </w:tc>
              <w:tc>
                <w:tcPr>
                  <w:tcW w:w="143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否</w:t>
                  </w:r>
                </w:p>
              </w:tc>
              <w:tc>
                <w:tcPr>
                  <w:tcW w:w="215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平方米</w:t>
                  </w:r>
                </w:p>
              </w:tc>
            </w:tr>
          </w:tbl>
          <w:p>
            <w:pPr>
              <w:pStyle w:val="7"/>
              <w:bidi w:val="0"/>
              <w:ind w:left="0" w:leftChars="0" w:firstLine="0" w:firstLineChars="0"/>
              <w:jc w:val="center"/>
              <w:rPr>
                <w:rFonts w:hint="default" w:ascii="Times New Roman" w:hAnsi="Times New Roman" w:cs="Times New Roman"/>
                <w:b/>
                <w:bCs/>
                <w:color w:val="auto"/>
                <w:sz w:val="24"/>
                <w:szCs w:val="24"/>
              </w:rPr>
            </w:pPr>
            <w:r>
              <w:rPr>
                <w:sz w:val="21"/>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24130</wp:posOffset>
                      </wp:positionV>
                      <wp:extent cx="4619625" cy="3596005"/>
                      <wp:effectExtent l="10795" t="10795" r="17780" b="12700"/>
                      <wp:wrapNone/>
                      <wp:docPr id="13" name="矩形 13"/>
                      <wp:cNvGraphicFramePr/>
                      <a:graphic xmlns:a="http://schemas.openxmlformats.org/drawingml/2006/main">
                        <a:graphicData uri="http://schemas.microsoft.com/office/word/2010/wordprocessingShape">
                          <wps:wsp>
                            <wps:cNvSpPr/>
                            <wps:spPr>
                              <a:xfrm>
                                <a:off x="1851660" y="2343150"/>
                                <a:ext cx="4619625" cy="359600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1.9pt;height:283.15pt;width:363.75pt;z-index:251664384;v-text-anchor:middle;mso-width-relative:page;mso-height-relative:page;" filled="f" stroked="t" coordsize="21600,21600" o:gfxdata="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l5TedQAAAAHAQAADwAAAAAAAAABACAAAAAiAAAAZHJzL2Rvd25yZXYueG1sUEsBAhQA&#10;FAAAAAgAh07iQA2V0ZtoAgAAwwQAAA4AAAAAAAAAAQAgAAAAIwEAAGRycy9lMm9Eb2MueG1sUEsF&#10;BgAAAAAGAAYAWQEAAP0FAAAAAA==&#10;">
                      <v:fill on="f" focussize="0,0"/>
                      <v:stroke weight="1.75pt" color="#000000 [3213]" joinstyle="round"/>
                      <v:imagedata o:title=""/>
                      <o:lock v:ext="edit" aspectratio="f"/>
                    </v:rect>
                  </w:pict>
                </mc:Fallback>
              </mc:AlternateContent>
            </w:r>
            <w:r>
              <w:drawing>
                <wp:inline distT="0" distB="0" distL="114300" distR="114300">
                  <wp:extent cx="4649470" cy="3537585"/>
                  <wp:effectExtent l="0" t="0" r="17780"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4649470" cy="3537585"/>
                          </a:xfrm>
                          <a:prstGeom prst="rect">
                            <a:avLst/>
                          </a:prstGeom>
                          <a:noFill/>
                          <a:ln>
                            <a:noFill/>
                          </a:ln>
                        </pic:spPr>
                      </pic:pic>
                    </a:graphicData>
                  </a:graphic>
                </wp:inline>
              </w:drawing>
            </w:r>
          </w:p>
          <w:p>
            <w:pPr>
              <w:pStyle w:val="7"/>
              <w:bidi w:val="0"/>
              <w:ind w:left="0" w:leftChars="0" w:firstLine="0" w:firstLineChars="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图1-</w:t>
            </w:r>
            <w:r>
              <w:rPr>
                <w:rFonts w:hint="eastAsia"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本项目空间冲突附图</w:t>
            </w:r>
          </w:p>
          <w:p>
            <w:pPr>
              <w:pStyle w:val="7"/>
              <w:bidi w:val="0"/>
              <w:ind w:left="0" w:leftChars="0" w:firstLine="480" w:firstLineChars="200"/>
              <w:jc w:val="both"/>
              <w:rPr>
                <w:rFonts w:hint="default" w:ascii="Times New Roman" w:hAnsi="Times New Roman" w:cs="Times New Roman"/>
                <w:b w:val="0"/>
                <w:bCs w:val="0"/>
                <w:color w:val="auto"/>
                <w:sz w:val="24"/>
                <w:szCs w:val="24"/>
                <w:lang w:val="en-US"/>
              </w:rPr>
            </w:pPr>
            <w:r>
              <w:rPr>
                <w:rFonts w:hint="eastAsia" w:cs="Times New Roman"/>
                <w:b w:val="0"/>
                <w:bCs w:val="0"/>
                <w:color w:val="auto"/>
                <w:sz w:val="24"/>
                <w:szCs w:val="24"/>
                <w:lang w:val="en-US" w:eastAsia="zh-CN"/>
              </w:rPr>
              <w:t>根据</w:t>
            </w:r>
            <w:r>
              <w:rPr>
                <w:rFonts w:hint="default" w:ascii="Times New Roman" w:hAnsi="Times New Roman" w:cs="Times New Roman"/>
                <w:b w:val="0"/>
                <w:bCs w:val="0"/>
                <w:color w:val="auto"/>
                <w:sz w:val="24"/>
                <w:szCs w:val="24"/>
                <w:lang w:val="en-US" w:eastAsia="zh-CN"/>
              </w:rPr>
              <w:t>陕西省“三线一单”数据应用系统平台查询</w:t>
            </w:r>
            <w:r>
              <w:rPr>
                <w:rFonts w:hint="eastAsia" w:cs="Times New Roman"/>
                <w:b w:val="0"/>
                <w:bCs w:val="0"/>
                <w:color w:val="auto"/>
                <w:sz w:val="24"/>
                <w:szCs w:val="24"/>
                <w:lang w:val="en-US" w:eastAsia="zh-CN"/>
              </w:rPr>
              <w:t>的关于本项目的《陕西省“三线一单”生态环境管控单元对照分析报告》可知，本项目位于重点管控单元，不涉及优先保护单元和一般管控单元，跟渭南市生态环境管控单元不冲突，项目实施不会影响区域生态环境管控单元。</w:t>
            </w:r>
          </w:p>
          <w:p>
            <w:pPr>
              <w:adjustRightInd w:val="0"/>
              <w:snapToGrid w:val="0"/>
              <w:spacing w:line="360" w:lineRule="auto"/>
              <w:rPr>
                <w:b/>
                <w:bCs/>
                <w:color w:val="auto"/>
                <w:sz w:val="24"/>
                <w:szCs w:val="24"/>
              </w:rPr>
            </w:pPr>
            <w:r>
              <w:rPr>
                <w:rFonts w:hint="eastAsia"/>
                <w:b/>
                <w:bCs/>
                <w:color w:val="auto"/>
                <w:sz w:val="24"/>
                <w:szCs w:val="24"/>
                <w:lang w:val="en-US" w:eastAsia="zh-CN"/>
              </w:rPr>
              <w:t>3</w:t>
            </w:r>
            <w:r>
              <w:rPr>
                <w:rFonts w:hint="eastAsia"/>
                <w:b/>
                <w:bCs/>
                <w:color w:val="auto"/>
                <w:sz w:val="24"/>
                <w:szCs w:val="24"/>
              </w:rPr>
              <w:t>、与相关规范</w:t>
            </w:r>
            <w:r>
              <w:rPr>
                <w:rFonts w:hint="eastAsia"/>
                <w:b/>
                <w:bCs/>
                <w:color w:val="auto"/>
                <w:sz w:val="24"/>
                <w:szCs w:val="24"/>
                <w:lang w:eastAsia="zh-CN"/>
              </w:rPr>
              <w:t>、</w:t>
            </w:r>
            <w:r>
              <w:rPr>
                <w:rFonts w:hint="eastAsia"/>
                <w:b/>
                <w:bCs/>
                <w:color w:val="auto"/>
                <w:sz w:val="24"/>
                <w:szCs w:val="24"/>
              </w:rPr>
              <w:t>标准相符性分析</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b/>
                <w:bCs/>
                <w:color w:val="auto"/>
                <w:sz w:val="24"/>
                <w:szCs w:val="24"/>
              </w:rPr>
            </w:pPr>
            <w:r>
              <w:rPr>
                <w:rFonts w:hint="eastAsia"/>
                <w:b/>
                <w:bCs/>
                <w:color w:val="auto"/>
                <w:sz w:val="24"/>
                <w:szCs w:val="24"/>
                <w:lang w:val="en-US" w:eastAsia="zh-CN"/>
              </w:rPr>
              <w:t xml:space="preserve">表1-4  </w:t>
            </w:r>
            <w:r>
              <w:rPr>
                <w:b/>
                <w:bCs/>
                <w:color w:val="auto"/>
                <w:sz w:val="24"/>
                <w:szCs w:val="24"/>
              </w:rPr>
              <w:t>本项目与</w:t>
            </w:r>
            <w:r>
              <w:rPr>
                <w:rFonts w:hint="eastAsia"/>
                <w:b/>
                <w:bCs/>
                <w:color w:val="auto"/>
                <w:sz w:val="24"/>
                <w:szCs w:val="24"/>
                <w:lang w:val="en-US" w:eastAsia="zh-CN"/>
              </w:rPr>
              <w:t>相关规范、标准</w:t>
            </w:r>
            <w:r>
              <w:rPr>
                <w:b/>
                <w:bCs/>
                <w:color w:val="auto"/>
                <w:sz w:val="24"/>
                <w:szCs w:val="24"/>
              </w:rPr>
              <w:t>相符性分析</w:t>
            </w:r>
          </w:p>
          <w:tbl>
            <w:tblPr>
              <w:tblStyle w:val="31"/>
              <w:tblW w:w="4956"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48"/>
              <w:gridCol w:w="774"/>
              <w:gridCol w:w="774"/>
              <w:gridCol w:w="759"/>
              <w:gridCol w:w="996"/>
              <w:gridCol w:w="1441"/>
              <w:gridCol w:w="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sz w:val="21"/>
                      <w:szCs w:val="21"/>
                      <w:lang w:val="en" w:eastAsia="zh-CN"/>
                    </w:rPr>
                  </w:pPr>
                  <w:r>
                    <w:rPr>
                      <w:rFonts w:hint="default"/>
                      <w:b/>
                      <w:bCs/>
                      <w:color w:val="auto"/>
                      <w:sz w:val="21"/>
                      <w:szCs w:val="21"/>
                    </w:rPr>
                    <w:t>名称</w:t>
                  </w:r>
                </w:p>
              </w:tc>
              <w:tc>
                <w:tcPr>
                  <w:tcW w:w="158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default" w:ascii="Times New Roman" w:hAnsi="Times New Roman" w:cs="Times New Roman"/>
                      <w:color w:val="auto"/>
                      <w:sz w:val="21"/>
                      <w:szCs w:val="21"/>
                      <w:lang w:val="en" w:eastAsia="zh-CN"/>
                    </w:rPr>
                  </w:pPr>
                  <w:r>
                    <w:rPr>
                      <w:rFonts w:hint="default"/>
                      <w:b/>
                      <w:bCs/>
                      <w:color w:val="auto"/>
                      <w:sz w:val="21"/>
                      <w:szCs w:val="21"/>
                    </w:rPr>
                    <w:t>要求</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eastAsia"/>
                      <w:color w:val="auto"/>
                      <w:sz w:val="21"/>
                      <w:szCs w:val="21"/>
                      <w:lang w:val="en-US" w:eastAsia="zh-CN"/>
                    </w:rPr>
                  </w:pPr>
                  <w:r>
                    <w:rPr>
                      <w:rFonts w:hint="default"/>
                      <w:b/>
                      <w:bCs/>
                      <w:color w:val="auto"/>
                      <w:sz w:val="21"/>
                      <w:szCs w:val="21"/>
                    </w:rPr>
                    <w:t>本项目情况</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sz w:val="21"/>
                      <w:szCs w:val="21"/>
                      <w:lang w:val="en-US" w:eastAsia="zh-CN"/>
                    </w:rPr>
                  </w:pPr>
                  <w:r>
                    <w:rPr>
                      <w:rFonts w:hint="default"/>
                      <w:b/>
                      <w:bCs/>
                      <w:color w:val="auto"/>
                      <w:sz w:val="21"/>
                      <w:szCs w:val="21"/>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eastAsia="宋体"/>
                      <w:color w:val="auto"/>
                      <w:sz w:val="21"/>
                      <w:szCs w:val="21"/>
                      <w:lang w:val="en-US" w:eastAsia="zh-CN"/>
                    </w:rPr>
                  </w:pPr>
                  <w:r>
                    <w:rPr>
                      <w:rFonts w:hint="eastAsia"/>
                      <w:color w:val="auto"/>
                      <w:sz w:val="21"/>
                      <w:szCs w:val="21"/>
                      <w:lang w:val="en-US" w:eastAsia="zh-CN"/>
                    </w:rPr>
                    <w:t>《危险废物贮存污染控制标准》（GB 18597-2023）</w:t>
                  </w: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US" w:eastAsia="zh-CN"/>
                    </w:rPr>
                  </w:pPr>
                  <w:r>
                    <w:rPr>
                      <w:rFonts w:hint="eastAsia" w:eastAsia="宋体"/>
                      <w:color w:val="auto"/>
                      <w:sz w:val="21"/>
                      <w:szCs w:val="21"/>
                      <w:lang w:val="en-US" w:eastAsia="zh-CN"/>
                    </w:rPr>
                    <w:t>总体要求</w:t>
                  </w: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ascii="宋体" w:hAnsi="宋体" w:eastAsia="宋体" w:cs="宋体"/>
                      <w:color w:val="auto"/>
                      <w:spacing w:val="9"/>
                      <w:sz w:val="21"/>
                      <w:szCs w:val="21"/>
                    </w:rPr>
                    <w:t>产生、收集、贮存、利用、处置危险废物的单位应建造危险废物贮存设施或设置贮存场所，并根</w:t>
                  </w:r>
                  <w:r>
                    <w:rPr>
                      <w:rFonts w:ascii="宋体" w:hAnsi="宋体" w:eastAsia="宋体" w:cs="宋体"/>
                      <w:color w:val="auto"/>
                      <w:sz w:val="21"/>
                      <w:szCs w:val="21"/>
                    </w:rPr>
                    <w:t xml:space="preserve"> </w:t>
                  </w:r>
                  <w:r>
                    <w:rPr>
                      <w:rFonts w:ascii="宋体" w:hAnsi="宋体" w:eastAsia="宋体" w:cs="宋体"/>
                      <w:color w:val="auto"/>
                      <w:spacing w:val="13"/>
                      <w:sz w:val="21"/>
                      <w:szCs w:val="21"/>
                    </w:rPr>
                    <w:t>据</w:t>
                  </w:r>
                  <w:r>
                    <w:rPr>
                      <w:rFonts w:ascii="宋体" w:hAnsi="宋体" w:eastAsia="宋体" w:cs="宋体"/>
                      <w:color w:val="auto"/>
                      <w:spacing w:val="8"/>
                      <w:sz w:val="21"/>
                      <w:szCs w:val="21"/>
                    </w:rPr>
                    <w:t>需要选择贮存设施类型。</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eastAsia="宋体"/>
                      <w:color w:val="auto"/>
                      <w:sz w:val="21"/>
                      <w:szCs w:val="21"/>
                      <w:lang w:val="en-US" w:eastAsia="zh-CN"/>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为</w:t>
                  </w:r>
                  <w:r>
                    <w:rPr>
                      <w:rFonts w:hint="default" w:ascii="宋体" w:hAnsi="宋体" w:eastAsia="宋体" w:cs="宋体"/>
                      <w:color w:val="auto"/>
                      <w:sz w:val="21"/>
                      <w:szCs w:val="21"/>
                      <w:lang w:val="en-US" w:eastAsia="zh-CN"/>
                    </w:rPr>
                    <w:t>渭南高新区海泰新型电子材料有限责任公司</w:t>
                  </w:r>
                  <w:r>
                    <w:rPr>
                      <w:rFonts w:hint="eastAsia" w:ascii="Times New Roman" w:hAnsi="Times New Roman" w:cs="Times New Roman"/>
                      <w:color w:val="auto"/>
                      <w:sz w:val="21"/>
                      <w:szCs w:val="21"/>
                      <w:lang w:eastAsia="zh-CN"/>
                    </w:rPr>
                    <w:t>危废暂存间项目，</w:t>
                  </w:r>
                  <w:r>
                    <w:rPr>
                      <w:rFonts w:hint="eastAsia" w:ascii="宋体" w:hAnsi="宋体" w:eastAsia="宋体" w:cs="宋体"/>
                      <w:color w:val="auto"/>
                      <w:sz w:val="21"/>
                      <w:szCs w:val="21"/>
                      <w:lang w:val="en-US" w:eastAsia="zh-CN"/>
                    </w:rPr>
                    <w:t>用于暂存</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危险废物，之后由有资质单位转运清理处置。</w:t>
                  </w:r>
                  <w:r>
                    <w:rPr>
                      <w:rFonts w:hint="eastAsia" w:cs="Times New Roman" w:eastAsiaTheme="minorEastAsia"/>
                      <w:color w:val="auto"/>
                      <w:kern w:val="0"/>
                      <w:sz w:val="21"/>
                      <w:szCs w:val="21"/>
                      <w:lang w:val="en-US" w:eastAsia="zh-CN"/>
                    </w:rPr>
                    <w:t>同时按照危险废物种类和理化性质进行分区单独贮存。按照《</w:t>
                  </w:r>
                  <w:r>
                    <w:rPr>
                      <w:rFonts w:hint="eastAsia"/>
                      <w:color w:val="auto"/>
                      <w:sz w:val="21"/>
                      <w:szCs w:val="21"/>
                      <w:lang w:val="en-US" w:eastAsia="zh-CN"/>
                    </w:rPr>
                    <w:t>《危险废物贮存污染控制标准》（GB 18597-2023）</w:t>
                  </w:r>
                  <w:r>
                    <w:rPr>
                      <w:rFonts w:hint="eastAsia" w:cs="Times New Roman" w:eastAsiaTheme="minorEastAsia"/>
                      <w:color w:val="auto"/>
                      <w:kern w:val="0"/>
                      <w:sz w:val="21"/>
                      <w:szCs w:val="21"/>
                      <w:lang w:val="en-US" w:eastAsia="zh-CN"/>
                    </w:rPr>
                    <w:t>》规定，第7“容器和包装物污染控制要求”</w:t>
                  </w:r>
                  <w:r>
                    <w:rPr>
                      <w:rFonts w:ascii="宋体" w:hAnsi="宋体" w:eastAsia="宋体" w:cs="宋体"/>
                      <w:color w:val="auto"/>
                      <w:spacing w:val="8"/>
                      <w:sz w:val="21"/>
                      <w:szCs w:val="21"/>
                    </w:rPr>
                    <w:t>选择贮存设施类型</w:t>
                  </w:r>
                  <w:r>
                    <w:rPr>
                      <w:rFonts w:hint="eastAsia" w:ascii="宋体" w:hAnsi="宋体" w:cs="宋体"/>
                      <w:color w:val="auto"/>
                      <w:spacing w:val="8"/>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US" w:eastAsia="zh-CN"/>
                    </w:rPr>
                  </w:pPr>
                </w:p>
              </w:tc>
              <w:tc>
                <w:tcPr>
                  <w:tcW w:w="1054" w:type="pct"/>
                  <w:gridSpan w:val="2"/>
                  <w:tcBorders>
                    <w:tl2br w:val="nil"/>
                    <w:tr2bl w:val="nil"/>
                  </w:tcBorders>
                  <w:vAlign w:val="center"/>
                </w:tcPr>
                <w:p>
                  <w:pPr>
                    <w:spacing w:before="65" w:line="258" w:lineRule="auto"/>
                    <w:ind w:left="8" w:right="3" w:hanging="8"/>
                    <w:rPr>
                      <w:rFonts w:ascii="宋体" w:hAnsi="宋体" w:eastAsia="宋体" w:cs="宋体"/>
                      <w:color w:val="auto"/>
                      <w:spacing w:val="9"/>
                      <w:sz w:val="21"/>
                      <w:szCs w:val="21"/>
                    </w:rPr>
                  </w:pPr>
                  <w:r>
                    <w:rPr>
                      <w:rFonts w:ascii="宋体" w:hAnsi="宋体" w:eastAsia="宋体" w:cs="宋体"/>
                      <w:color w:val="auto"/>
                      <w:spacing w:val="9"/>
                      <w:sz w:val="21"/>
                      <w:szCs w:val="21"/>
                    </w:rPr>
                    <w:t>贮存危险废物应根据危险废物的类别、数量、形态、物理化学性质和环境风险等因素，确定贮存</w:t>
                  </w:r>
                  <w:r>
                    <w:rPr>
                      <w:rFonts w:ascii="宋体" w:hAnsi="宋体" w:eastAsia="宋体" w:cs="宋体"/>
                      <w:color w:val="auto"/>
                      <w:spacing w:val="8"/>
                      <w:sz w:val="21"/>
                      <w:szCs w:val="21"/>
                    </w:rPr>
                    <w:t>设施或场所类型和规模</w:t>
                  </w:r>
                  <w:r>
                    <w:rPr>
                      <w:rFonts w:ascii="宋体" w:hAnsi="宋体" w:eastAsia="宋体" w:cs="宋体"/>
                      <w:color w:val="auto"/>
                      <w:spacing w:val="6"/>
                      <w:sz w:val="21"/>
                      <w:szCs w:val="21"/>
                    </w:rPr>
                    <w:t>。</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目前现有危废暂存间的危险废物包括固态危险废物和液态危险废物，储存方式为分区单独贮存，本次环评建议本次扩建的危废暂存间建设完成后，承担固态危险废物的贮存，现有危废暂存间承担液态危险废物的贮存。按照要求实现固液分类单独贮存，按照危险废物种类和理化性质进行了分区单独贮存，严格按照要求实施危险废物台账和转运五联单管理。</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US" w:eastAsia="zh-CN"/>
                    </w:rPr>
                  </w:pPr>
                </w:p>
              </w:tc>
              <w:tc>
                <w:tcPr>
                  <w:tcW w:w="1054" w:type="pct"/>
                  <w:gridSpan w:val="2"/>
                  <w:tcBorders>
                    <w:tl2br w:val="nil"/>
                    <w:tr2bl w:val="nil"/>
                  </w:tcBorders>
                  <w:vAlign w:val="center"/>
                </w:tcPr>
                <w:p>
                  <w:pPr>
                    <w:spacing w:before="66" w:line="257" w:lineRule="auto"/>
                    <w:ind w:left="3" w:right="3" w:hanging="3"/>
                    <w:rPr>
                      <w:rFonts w:ascii="宋体" w:hAnsi="宋体" w:eastAsia="宋体" w:cs="宋体"/>
                      <w:color w:val="auto"/>
                      <w:spacing w:val="9"/>
                      <w:sz w:val="21"/>
                      <w:szCs w:val="21"/>
                    </w:rPr>
                  </w:pPr>
                  <w:r>
                    <w:rPr>
                      <w:rFonts w:ascii="宋体" w:hAnsi="宋体" w:eastAsia="宋体" w:cs="宋体"/>
                      <w:color w:val="auto"/>
                      <w:spacing w:val="9"/>
                      <w:sz w:val="21"/>
                      <w:szCs w:val="21"/>
                    </w:rPr>
                    <w:t>贮存危险废物应根据危险废物的类别、形态、物理化学性质和污染防治要求进行分类贮存，且应</w:t>
                  </w:r>
                  <w:r>
                    <w:rPr>
                      <w:rFonts w:ascii="宋体" w:hAnsi="宋体" w:eastAsia="宋体" w:cs="宋体"/>
                      <w:color w:val="auto"/>
                      <w:sz w:val="21"/>
                      <w:szCs w:val="21"/>
                    </w:rPr>
                    <w:t xml:space="preserve"> </w:t>
                  </w:r>
                  <w:r>
                    <w:rPr>
                      <w:rFonts w:ascii="宋体" w:hAnsi="宋体" w:eastAsia="宋体" w:cs="宋体"/>
                      <w:color w:val="auto"/>
                      <w:spacing w:val="9"/>
                      <w:sz w:val="21"/>
                      <w:szCs w:val="21"/>
                    </w:rPr>
                    <w:t>避免危险废物与不相容的物质或材料接触。</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ascii="宋体" w:hAnsi="宋体" w:eastAsia="宋体" w:cs="宋体"/>
                      <w:color w:val="auto"/>
                      <w:spacing w:val="9"/>
                      <w:sz w:val="21"/>
                      <w:szCs w:val="21"/>
                    </w:rPr>
                    <w:t>根据危险废物的类别、形态、物理化学性质和污染防治要求进行分类贮存，</w:t>
                  </w:r>
                  <w:r>
                    <w:rPr>
                      <w:rFonts w:hint="eastAsia" w:ascii="宋体" w:hAnsi="宋体" w:eastAsia="宋体" w:cs="宋体"/>
                      <w:color w:val="auto"/>
                      <w:spacing w:val="9"/>
                      <w:sz w:val="21"/>
                      <w:szCs w:val="21"/>
                      <w:lang w:eastAsia="zh-CN"/>
                    </w:rPr>
                    <w:t>针对每一种类别的危险废物制定了合理的贮存容器，</w:t>
                  </w:r>
                  <w:r>
                    <w:rPr>
                      <w:rFonts w:hint="eastAsia" w:cs="Times New Roman" w:eastAsiaTheme="minorEastAsia"/>
                      <w:color w:val="auto"/>
                      <w:kern w:val="0"/>
                      <w:sz w:val="21"/>
                      <w:szCs w:val="21"/>
                      <w:lang w:val="en" w:eastAsia="zh-CN"/>
                    </w:rPr>
                    <w:t>禁止将不相容（相互反应）的危险废物在同一容器内混装，</w:t>
                  </w:r>
                  <w:r>
                    <w:rPr>
                      <w:rFonts w:ascii="宋体" w:hAnsi="宋体" w:eastAsia="宋体" w:cs="宋体"/>
                      <w:color w:val="auto"/>
                      <w:spacing w:val="9"/>
                      <w:sz w:val="21"/>
                      <w:szCs w:val="21"/>
                    </w:rPr>
                    <w:t>避免危险废物与不相容的物质或材料接触。</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 w:eastAsia="zh-CN"/>
                    </w:rPr>
                  </w:pPr>
                  <w:r>
                    <w:rPr>
                      <w:rFonts w:ascii="黑体" w:hAnsi="黑体" w:eastAsia="黑体" w:cs="黑体"/>
                      <w:color w:val="auto"/>
                      <w:spacing w:val="9"/>
                      <w:sz w:val="21"/>
                      <w:szCs w:val="21"/>
                    </w:rPr>
                    <w:t xml:space="preserve"> </w:t>
                  </w:r>
                  <w:r>
                    <w:rPr>
                      <w:rFonts w:ascii="宋体" w:hAnsi="宋体" w:eastAsia="宋体" w:cs="宋体"/>
                      <w:color w:val="auto"/>
                      <w:spacing w:val="9"/>
                      <w:sz w:val="21"/>
                      <w:szCs w:val="21"/>
                    </w:rPr>
                    <w:t>贮存危险废物应根据危险废物的形态、物理化学性质、包装形式和污染物迁移途径，采取措施减</w:t>
                  </w:r>
                  <w:r>
                    <w:rPr>
                      <w:rFonts w:ascii="宋体" w:hAnsi="宋体" w:eastAsia="宋体" w:cs="宋体"/>
                      <w:color w:val="auto"/>
                      <w:spacing w:val="16"/>
                      <w:sz w:val="21"/>
                      <w:szCs w:val="21"/>
                    </w:rPr>
                    <w:t>少渗滤</w:t>
                  </w:r>
                  <w:r>
                    <w:rPr>
                      <w:rFonts w:ascii="宋体" w:hAnsi="宋体" w:eastAsia="宋体" w:cs="宋体"/>
                      <w:color w:val="auto"/>
                      <w:spacing w:val="15"/>
                      <w:sz w:val="21"/>
                      <w:szCs w:val="21"/>
                    </w:rPr>
                    <w:t>液</w:t>
                  </w:r>
                  <w:r>
                    <w:rPr>
                      <w:rFonts w:ascii="宋体" w:hAnsi="宋体" w:eastAsia="宋体" w:cs="宋体"/>
                      <w:color w:val="auto"/>
                      <w:spacing w:val="8"/>
                      <w:sz w:val="21"/>
                      <w:szCs w:val="21"/>
                    </w:rPr>
                    <w:t>及其衍生废物、渗漏的液态废物 (简称渗漏液) 、粉尘、</w:t>
                  </w: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8"/>
                      <w:sz w:val="21"/>
                      <w:szCs w:val="21"/>
                    </w:rPr>
                    <w:t xml:space="preserve"> </w:t>
                  </w:r>
                  <w:r>
                    <w:rPr>
                      <w:rFonts w:ascii="宋体" w:hAnsi="宋体" w:eastAsia="宋体" w:cs="宋体"/>
                      <w:color w:val="auto"/>
                      <w:spacing w:val="8"/>
                      <w:sz w:val="21"/>
                      <w:szCs w:val="21"/>
                    </w:rPr>
                    <w:t>、酸雾、有毒有害大气污染物</w:t>
                  </w:r>
                  <w:r>
                    <w:rPr>
                      <w:rFonts w:ascii="宋体" w:hAnsi="宋体" w:eastAsia="宋体" w:cs="宋体"/>
                      <w:color w:val="auto"/>
                      <w:spacing w:val="12"/>
                      <w:sz w:val="21"/>
                      <w:szCs w:val="21"/>
                    </w:rPr>
                    <w:t>和</w:t>
                  </w:r>
                  <w:r>
                    <w:rPr>
                      <w:rFonts w:ascii="宋体" w:hAnsi="宋体" w:eastAsia="宋体" w:cs="宋体"/>
                      <w:color w:val="auto"/>
                      <w:spacing w:val="9"/>
                      <w:sz w:val="21"/>
                      <w:szCs w:val="21"/>
                    </w:rPr>
                    <w:t>刺激性气味气体等污染物的产生，防止其污染环境。</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本项目扩建完成后，暂存的危废废物根据危险类型分别贮存，扩建的危废暂存间和现有的危废暂存间的废气利用现有的废气处理设施，处理达标后由排气筒有组织排放。</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ascii="黑体" w:hAnsi="黑体" w:eastAsia="黑体" w:cs="黑体"/>
                      <w:color w:val="auto"/>
                      <w:spacing w:val="9"/>
                      <w:sz w:val="21"/>
                      <w:szCs w:val="21"/>
                    </w:rPr>
                  </w:pPr>
                  <w:r>
                    <w:rPr>
                      <w:rFonts w:ascii="宋体" w:hAnsi="宋体" w:eastAsia="宋体" w:cs="宋体"/>
                      <w:color w:val="auto"/>
                      <w:spacing w:val="9"/>
                      <w:sz w:val="21"/>
                      <w:szCs w:val="21"/>
                    </w:rPr>
                    <w:t>危险废物贮存过程产生的液态废物和固态废物应分类收集，按其环境管理要求妥善处理。</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针对危险废物进行固、液单独分类收集。建议本次扩建的危废暂存间建设完成后，承担固态危险废物的贮存，现有危废暂存间承担液态危险废物的贮存。</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58" w:lineRule="auto"/>
                    <w:ind w:left="6" w:right="1" w:hanging="6"/>
                    <w:rPr>
                      <w:rFonts w:ascii="宋体" w:hAnsi="宋体" w:eastAsia="宋体" w:cs="宋体"/>
                      <w:color w:val="auto"/>
                      <w:spacing w:val="9"/>
                      <w:sz w:val="21"/>
                      <w:szCs w:val="21"/>
                    </w:rPr>
                  </w:pPr>
                  <w:r>
                    <w:rPr>
                      <w:rFonts w:ascii="宋体" w:hAnsi="宋体" w:eastAsia="宋体" w:cs="宋体"/>
                      <w:color w:val="auto"/>
                      <w:spacing w:val="8"/>
                      <w:sz w:val="21"/>
                      <w:szCs w:val="21"/>
                    </w:rPr>
                    <w:t>贮存设施或场所、容器和包装物应</w:t>
                  </w:r>
                  <w:r>
                    <w:rPr>
                      <w:rFonts w:hint="eastAsia" w:ascii="宋体" w:hAnsi="宋体" w:eastAsia="宋体" w:cs="宋体"/>
                      <w:color w:val="auto"/>
                      <w:spacing w:val="8"/>
                      <w:sz w:val="21"/>
                      <w:szCs w:val="21"/>
                      <w:lang w:eastAsia="zh-CN"/>
                    </w:rPr>
                    <w:t>严格按照《</w:t>
                  </w:r>
                  <w:r>
                    <w:rPr>
                      <w:rFonts w:ascii="宋体" w:hAnsi="宋体" w:eastAsia="宋体" w:cs="宋体"/>
                      <w:color w:val="auto"/>
                      <w:spacing w:val="8"/>
                      <w:sz w:val="21"/>
                      <w:szCs w:val="21"/>
                    </w:rPr>
                    <w:t>危险废物识别标志设置技术规范</w:t>
                  </w:r>
                  <w:r>
                    <w:rPr>
                      <w:rFonts w:hint="eastAsia" w:ascii="宋体" w:hAnsi="宋体" w:eastAsia="宋体" w:cs="宋体"/>
                      <w:color w:val="auto"/>
                      <w:spacing w:val="8"/>
                      <w:sz w:val="21"/>
                      <w:szCs w:val="21"/>
                      <w:lang w:eastAsia="zh-CN"/>
                    </w:rPr>
                    <w:t>》（</w:t>
                  </w:r>
                  <w:r>
                    <w:rPr>
                      <w:rFonts w:hint="default" w:ascii="Times New Roman" w:hAnsi="Times New Roman" w:eastAsia="宋体" w:cs="Times New Roman"/>
                      <w:color w:val="auto"/>
                      <w:spacing w:val="8"/>
                      <w:sz w:val="21"/>
                      <w:szCs w:val="21"/>
                    </w:rPr>
                    <w:t>HJ 1276</w:t>
                  </w:r>
                  <w:r>
                    <w:rPr>
                      <w:rFonts w:hint="eastAsia" w:ascii="Times New Roman" w:hAnsi="Times New Roman" w:eastAsia="宋体" w:cs="Times New Roman"/>
                      <w:color w:val="auto"/>
                      <w:spacing w:val="8"/>
                      <w:sz w:val="21"/>
                      <w:szCs w:val="21"/>
                      <w:lang w:val="en-US" w:eastAsia="zh-CN"/>
                    </w:rPr>
                    <w:t>-</w:t>
                  </w:r>
                  <w:r>
                    <w:rPr>
                      <w:rFonts w:hint="default" w:ascii="Times New Roman" w:hAnsi="Times New Roman" w:eastAsia="宋体" w:cs="Times New Roman"/>
                      <w:color w:val="auto"/>
                      <w:spacing w:val="8"/>
                      <w:sz w:val="21"/>
                      <w:szCs w:val="21"/>
                    </w:rPr>
                    <w:t>2022</w:t>
                  </w:r>
                  <w:r>
                    <w:rPr>
                      <w:rFonts w:hint="eastAsia" w:ascii="宋体" w:hAnsi="宋体" w:eastAsia="宋体" w:cs="宋体"/>
                      <w:color w:val="auto"/>
                      <w:spacing w:val="8"/>
                      <w:sz w:val="21"/>
                      <w:szCs w:val="21"/>
                      <w:lang w:eastAsia="zh-CN"/>
                    </w:rPr>
                    <w:t>）</w:t>
                  </w:r>
                  <w:r>
                    <w:rPr>
                      <w:rFonts w:ascii="宋体" w:hAnsi="宋体" w:eastAsia="宋体" w:cs="宋体"/>
                      <w:color w:val="auto"/>
                      <w:spacing w:val="8"/>
                      <w:sz w:val="21"/>
                      <w:szCs w:val="21"/>
                    </w:rPr>
                    <w:t>要求</w:t>
                  </w:r>
                  <w:r>
                    <w:rPr>
                      <w:rFonts w:hint="eastAsia" w:ascii="宋体" w:hAnsi="宋体" w:eastAsia="宋体" w:cs="宋体"/>
                      <w:color w:val="auto"/>
                      <w:spacing w:val="8"/>
                      <w:sz w:val="21"/>
                      <w:szCs w:val="21"/>
                      <w:lang w:eastAsia="zh-CN"/>
                    </w:rPr>
                    <w:t>，</w:t>
                  </w:r>
                  <w:r>
                    <w:rPr>
                      <w:rFonts w:ascii="宋体" w:hAnsi="宋体" w:eastAsia="宋体" w:cs="宋体"/>
                      <w:color w:val="auto"/>
                      <w:spacing w:val="8"/>
                      <w:sz w:val="21"/>
                      <w:szCs w:val="21"/>
                    </w:rPr>
                    <w:t>设置危险废物贮存设施或场所标志、危险废物</w:t>
                  </w:r>
                  <w:r>
                    <w:rPr>
                      <w:rFonts w:ascii="宋体" w:hAnsi="宋体" w:eastAsia="宋体" w:cs="宋体"/>
                      <w:color w:val="auto"/>
                      <w:spacing w:val="10"/>
                      <w:sz w:val="21"/>
                      <w:szCs w:val="21"/>
                    </w:rPr>
                    <w:t>贮</w:t>
                  </w:r>
                  <w:r>
                    <w:rPr>
                      <w:rFonts w:ascii="宋体" w:hAnsi="宋体" w:eastAsia="宋体" w:cs="宋体"/>
                      <w:color w:val="auto"/>
                      <w:spacing w:val="9"/>
                      <w:sz w:val="21"/>
                      <w:szCs w:val="21"/>
                    </w:rPr>
                    <w:t>存分区标志和危险废物标签等危险废物识别标志。</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hint="eastAsia" w:ascii="宋体" w:hAnsi="宋体" w:eastAsia="宋体" w:cs="宋体"/>
                      <w:color w:val="auto"/>
                      <w:spacing w:val="8"/>
                      <w:sz w:val="21"/>
                      <w:szCs w:val="21"/>
                      <w:lang w:eastAsia="zh-CN"/>
                    </w:rPr>
                    <w:t>本项目</w:t>
                  </w:r>
                  <w:r>
                    <w:rPr>
                      <w:rFonts w:hint="eastAsia" w:ascii="宋体" w:hAnsi="宋体" w:cs="宋体"/>
                      <w:color w:val="auto"/>
                      <w:spacing w:val="8"/>
                      <w:sz w:val="21"/>
                      <w:szCs w:val="21"/>
                      <w:lang w:eastAsia="zh-CN"/>
                    </w:rPr>
                    <w:t>现有危废暂存间和扩建危废暂存间，均</w:t>
                  </w:r>
                  <w:r>
                    <w:rPr>
                      <w:rFonts w:hint="eastAsia" w:ascii="宋体" w:hAnsi="宋体" w:eastAsia="宋体" w:cs="宋体"/>
                      <w:color w:val="auto"/>
                      <w:spacing w:val="8"/>
                      <w:sz w:val="21"/>
                      <w:szCs w:val="21"/>
                      <w:lang w:eastAsia="zh-CN"/>
                    </w:rPr>
                    <w:t>严格按照《</w:t>
                  </w:r>
                  <w:r>
                    <w:rPr>
                      <w:rFonts w:ascii="宋体" w:hAnsi="宋体" w:eastAsia="宋体" w:cs="宋体"/>
                      <w:color w:val="auto"/>
                      <w:spacing w:val="8"/>
                      <w:sz w:val="21"/>
                      <w:szCs w:val="21"/>
                    </w:rPr>
                    <w:t>危险废物识别标志设置技术规范</w:t>
                  </w:r>
                  <w:r>
                    <w:rPr>
                      <w:rFonts w:hint="eastAsia" w:ascii="宋体" w:hAnsi="宋体" w:eastAsia="宋体" w:cs="宋体"/>
                      <w:color w:val="auto"/>
                      <w:spacing w:val="8"/>
                      <w:sz w:val="21"/>
                      <w:szCs w:val="21"/>
                      <w:lang w:eastAsia="zh-CN"/>
                    </w:rPr>
                    <w:t>》（</w:t>
                  </w:r>
                  <w:r>
                    <w:rPr>
                      <w:rFonts w:hint="default" w:ascii="Times New Roman" w:hAnsi="Times New Roman" w:eastAsia="宋体" w:cs="Times New Roman"/>
                      <w:color w:val="auto"/>
                      <w:spacing w:val="8"/>
                      <w:sz w:val="21"/>
                      <w:szCs w:val="21"/>
                    </w:rPr>
                    <w:t>HJ 1276</w:t>
                  </w:r>
                  <w:r>
                    <w:rPr>
                      <w:rFonts w:hint="eastAsia" w:ascii="Times New Roman" w:hAnsi="Times New Roman" w:eastAsia="宋体" w:cs="Times New Roman"/>
                      <w:color w:val="auto"/>
                      <w:spacing w:val="8"/>
                      <w:sz w:val="21"/>
                      <w:szCs w:val="21"/>
                      <w:lang w:val="en-US" w:eastAsia="zh-CN"/>
                    </w:rPr>
                    <w:t>-</w:t>
                  </w:r>
                  <w:r>
                    <w:rPr>
                      <w:rFonts w:hint="default" w:ascii="Times New Roman" w:hAnsi="Times New Roman" w:eastAsia="宋体" w:cs="Times New Roman"/>
                      <w:color w:val="auto"/>
                      <w:spacing w:val="8"/>
                      <w:sz w:val="21"/>
                      <w:szCs w:val="21"/>
                    </w:rPr>
                    <w:t>2022</w:t>
                  </w:r>
                  <w:r>
                    <w:rPr>
                      <w:rFonts w:hint="eastAsia" w:ascii="宋体" w:hAnsi="宋体" w:eastAsia="宋体" w:cs="宋体"/>
                      <w:color w:val="auto"/>
                      <w:spacing w:val="8"/>
                      <w:sz w:val="21"/>
                      <w:szCs w:val="21"/>
                      <w:lang w:eastAsia="zh-CN"/>
                    </w:rPr>
                    <w:t>）</w:t>
                  </w:r>
                  <w:r>
                    <w:rPr>
                      <w:rFonts w:ascii="宋体" w:hAnsi="宋体" w:eastAsia="宋体" w:cs="宋体"/>
                      <w:color w:val="auto"/>
                      <w:spacing w:val="8"/>
                      <w:sz w:val="21"/>
                      <w:szCs w:val="21"/>
                    </w:rPr>
                    <w:t>要求</w:t>
                  </w:r>
                  <w:r>
                    <w:rPr>
                      <w:rFonts w:hint="eastAsia" w:ascii="宋体" w:hAnsi="宋体" w:eastAsia="宋体" w:cs="宋体"/>
                      <w:color w:val="auto"/>
                      <w:spacing w:val="8"/>
                      <w:sz w:val="21"/>
                      <w:szCs w:val="21"/>
                      <w:lang w:eastAsia="zh-CN"/>
                    </w:rPr>
                    <w:t>，</w:t>
                  </w:r>
                  <w:r>
                    <w:rPr>
                      <w:rFonts w:ascii="宋体" w:hAnsi="宋体" w:eastAsia="宋体" w:cs="宋体"/>
                      <w:color w:val="auto"/>
                      <w:spacing w:val="8"/>
                      <w:sz w:val="21"/>
                      <w:szCs w:val="21"/>
                    </w:rPr>
                    <w:t>设置危险废物贮存设施或场所标志、危险废物</w:t>
                  </w:r>
                  <w:r>
                    <w:rPr>
                      <w:rFonts w:ascii="宋体" w:hAnsi="宋体" w:eastAsia="宋体" w:cs="宋体"/>
                      <w:color w:val="auto"/>
                      <w:spacing w:val="10"/>
                      <w:sz w:val="21"/>
                      <w:szCs w:val="21"/>
                    </w:rPr>
                    <w:t>贮</w:t>
                  </w:r>
                  <w:r>
                    <w:rPr>
                      <w:rFonts w:ascii="宋体" w:hAnsi="宋体" w:eastAsia="宋体" w:cs="宋体"/>
                      <w:color w:val="auto"/>
                      <w:spacing w:val="9"/>
                      <w:sz w:val="21"/>
                      <w:szCs w:val="21"/>
                    </w:rPr>
                    <w:t>存分区标志和危险废物标签等危险废物识别标志。</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58" w:lineRule="auto"/>
                    <w:ind w:left="6" w:right="1" w:hanging="6"/>
                    <w:rPr>
                      <w:rFonts w:ascii="宋体" w:hAnsi="宋体" w:eastAsia="宋体" w:cs="宋体"/>
                      <w:color w:val="auto"/>
                      <w:spacing w:val="8"/>
                      <w:sz w:val="21"/>
                      <w:szCs w:val="21"/>
                    </w:rPr>
                  </w:pPr>
                  <w:r>
                    <w:rPr>
                      <w:rFonts w:hint="eastAsia" w:ascii="宋体" w:hAnsi="宋体" w:eastAsia="宋体" w:cs="宋体"/>
                      <w:color w:val="auto"/>
                      <w:spacing w:val="16"/>
                      <w:sz w:val="21"/>
                      <w:szCs w:val="21"/>
                      <w:lang w:eastAsia="zh-CN"/>
                    </w:rPr>
                    <w:t>《</w:t>
                  </w:r>
                  <w:r>
                    <w:rPr>
                      <w:rFonts w:ascii="宋体" w:hAnsi="宋体" w:eastAsia="宋体" w:cs="宋体"/>
                      <w:color w:val="auto"/>
                      <w:spacing w:val="16"/>
                      <w:sz w:val="21"/>
                      <w:szCs w:val="21"/>
                    </w:rPr>
                    <w:t>危</w:t>
                  </w:r>
                  <w:r>
                    <w:rPr>
                      <w:rFonts w:ascii="宋体" w:hAnsi="宋体" w:eastAsia="宋体" w:cs="宋体"/>
                      <w:color w:val="auto"/>
                      <w:spacing w:val="9"/>
                      <w:sz w:val="21"/>
                      <w:szCs w:val="21"/>
                    </w:rPr>
                    <w:t>险废物管理计划和管理台账制定技术导则</w:t>
                  </w:r>
                  <w:r>
                    <w:rPr>
                      <w:rFonts w:hint="eastAsia" w:ascii="宋体" w:hAnsi="宋体" w:eastAsia="宋体" w:cs="宋体"/>
                      <w:color w:val="auto"/>
                      <w:spacing w:val="9"/>
                      <w:sz w:val="21"/>
                      <w:szCs w:val="21"/>
                      <w:lang w:eastAsia="zh-CN"/>
                    </w:rPr>
                    <w:t>》（</w:t>
                  </w:r>
                  <w:r>
                    <w:rPr>
                      <w:rFonts w:ascii="Times New Roman" w:hAnsi="Times New Roman" w:eastAsia="Times New Roman" w:cs="Times New Roman"/>
                      <w:color w:val="auto"/>
                      <w:sz w:val="21"/>
                      <w:szCs w:val="21"/>
                    </w:rPr>
                    <w:t>HJ</w:t>
                  </w:r>
                  <w:r>
                    <w:rPr>
                      <w:rFonts w:ascii="Times New Roman" w:hAnsi="Times New Roman" w:eastAsia="Times New Roman" w:cs="Times New Roman"/>
                      <w:color w:val="auto"/>
                      <w:spacing w:val="6"/>
                      <w:sz w:val="21"/>
                      <w:szCs w:val="21"/>
                    </w:rPr>
                    <w:t xml:space="preserve"> 1259</w:t>
                  </w:r>
                  <w:r>
                    <w:rPr>
                      <w:rFonts w:hint="eastAsia" w:ascii="宋体" w:hAnsi="宋体" w:eastAsia="宋体" w:cs="宋体"/>
                      <w:color w:val="auto"/>
                      <w:spacing w:val="9"/>
                      <w:sz w:val="21"/>
                      <w:szCs w:val="21"/>
                      <w:lang w:eastAsia="zh-CN"/>
                    </w:rPr>
                    <w:t>）</w:t>
                  </w:r>
                  <w:r>
                    <w:rPr>
                      <w:rFonts w:ascii="Times New Roman" w:hAnsi="Times New Roman" w:eastAsia="Times New Roman" w:cs="Times New Roman"/>
                      <w:color w:val="auto"/>
                      <w:spacing w:val="6"/>
                      <w:sz w:val="21"/>
                      <w:szCs w:val="21"/>
                    </w:rPr>
                    <w:t xml:space="preserve"> </w:t>
                  </w:r>
                  <w:r>
                    <w:rPr>
                      <w:rFonts w:ascii="宋体" w:hAnsi="宋体" w:eastAsia="宋体" w:cs="宋体"/>
                      <w:color w:val="auto"/>
                      <w:spacing w:val="6"/>
                      <w:sz w:val="21"/>
                      <w:szCs w:val="21"/>
                    </w:rPr>
                    <w:t>规定的危险废物环境重点监管单位，应采用电子地磅、电子标签、电子管理台账等技术</w:t>
                  </w:r>
                  <w:r>
                    <w:rPr>
                      <w:rFonts w:ascii="宋体" w:hAnsi="宋体" w:eastAsia="宋体" w:cs="宋体"/>
                      <w:color w:val="auto"/>
                      <w:spacing w:val="14"/>
                      <w:sz w:val="21"/>
                      <w:szCs w:val="21"/>
                    </w:rPr>
                    <w:t>手段对危</w:t>
                  </w:r>
                  <w:r>
                    <w:rPr>
                      <w:rFonts w:ascii="宋体" w:hAnsi="宋体" w:eastAsia="宋体" w:cs="宋体"/>
                      <w:color w:val="auto"/>
                      <w:spacing w:val="8"/>
                      <w:sz w:val="21"/>
                      <w:szCs w:val="21"/>
                    </w:rPr>
                    <w:t>险</w:t>
                  </w:r>
                  <w:r>
                    <w:rPr>
                      <w:rFonts w:ascii="宋体" w:hAnsi="宋体" w:eastAsia="宋体" w:cs="宋体"/>
                      <w:color w:val="auto"/>
                      <w:spacing w:val="7"/>
                      <w:sz w:val="21"/>
                      <w:szCs w:val="21"/>
                    </w:rPr>
                    <w:t>废物贮存过程进行信息化管理，确保数据完整、真实、准确；采用视频监控的应确保监控画</w:t>
                  </w:r>
                  <w:r>
                    <w:rPr>
                      <w:rFonts w:ascii="宋体" w:hAnsi="宋体" w:eastAsia="宋体" w:cs="宋体"/>
                      <w:color w:val="auto"/>
                      <w:sz w:val="21"/>
                      <w:szCs w:val="21"/>
                    </w:rPr>
                    <w:t xml:space="preserve"> </w:t>
                  </w:r>
                  <w:r>
                    <w:rPr>
                      <w:rFonts w:ascii="宋体" w:hAnsi="宋体" w:eastAsia="宋体" w:cs="宋体"/>
                      <w:color w:val="auto"/>
                      <w:spacing w:val="10"/>
                      <w:sz w:val="21"/>
                      <w:szCs w:val="21"/>
                    </w:rPr>
                    <w:t>面清</w:t>
                  </w:r>
                  <w:r>
                    <w:rPr>
                      <w:rFonts w:ascii="宋体" w:hAnsi="宋体" w:eastAsia="宋体" w:cs="宋体"/>
                      <w:color w:val="auto"/>
                      <w:spacing w:val="9"/>
                      <w:sz w:val="21"/>
                      <w:szCs w:val="21"/>
                    </w:rPr>
                    <w:t>晰</w:t>
                  </w:r>
                  <w:r>
                    <w:rPr>
                      <w:rFonts w:ascii="宋体" w:hAnsi="宋体" w:eastAsia="宋体" w:cs="宋体"/>
                      <w:color w:val="auto"/>
                      <w:spacing w:val="5"/>
                      <w:sz w:val="21"/>
                      <w:szCs w:val="21"/>
                    </w:rPr>
                    <w:t>，视频记录保存时间至少为</w:t>
                  </w:r>
                  <w:r>
                    <w:rPr>
                      <w:rFonts w:ascii="Times New Roman" w:hAnsi="Times New Roman" w:eastAsia="Times New Roman" w:cs="Times New Roman"/>
                      <w:color w:val="auto"/>
                      <w:spacing w:val="5"/>
                      <w:sz w:val="21"/>
                      <w:szCs w:val="21"/>
                    </w:rPr>
                    <w:t>3</w:t>
                  </w:r>
                  <w:r>
                    <w:rPr>
                      <w:rFonts w:ascii="宋体" w:hAnsi="宋体" w:eastAsia="宋体" w:cs="宋体"/>
                      <w:color w:val="auto"/>
                      <w:spacing w:val="5"/>
                      <w:sz w:val="21"/>
                      <w:szCs w:val="21"/>
                    </w:rPr>
                    <w:t>个月。</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hint="eastAsia" w:ascii="宋体" w:hAnsi="宋体" w:cs="宋体"/>
                      <w:color w:val="auto"/>
                      <w:spacing w:val="16"/>
                      <w:sz w:val="21"/>
                      <w:szCs w:val="21"/>
                      <w:highlight w:val="none"/>
                      <w:lang w:eastAsia="zh-CN"/>
                    </w:rPr>
                    <w:t>本次环评要求企业，</w:t>
                  </w:r>
                  <w:r>
                    <w:rPr>
                      <w:rFonts w:hint="eastAsia" w:ascii="宋体" w:hAnsi="宋体" w:eastAsia="宋体" w:cs="宋体"/>
                      <w:color w:val="auto"/>
                      <w:spacing w:val="16"/>
                      <w:sz w:val="21"/>
                      <w:szCs w:val="21"/>
                      <w:highlight w:val="none"/>
                      <w:lang w:eastAsia="zh-CN"/>
                    </w:rPr>
                    <w:t>按照《</w:t>
                  </w:r>
                  <w:r>
                    <w:rPr>
                      <w:rFonts w:ascii="宋体" w:hAnsi="宋体" w:eastAsia="宋体" w:cs="宋体"/>
                      <w:color w:val="auto"/>
                      <w:spacing w:val="16"/>
                      <w:sz w:val="21"/>
                      <w:szCs w:val="21"/>
                      <w:highlight w:val="none"/>
                    </w:rPr>
                    <w:t>危</w:t>
                  </w:r>
                  <w:r>
                    <w:rPr>
                      <w:rFonts w:ascii="宋体" w:hAnsi="宋体" w:eastAsia="宋体" w:cs="宋体"/>
                      <w:color w:val="auto"/>
                      <w:spacing w:val="9"/>
                      <w:sz w:val="21"/>
                      <w:szCs w:val="21"/>
                      <w:highlight w:val="none"/>
                    </w:rPr>
                    <w:t>险废物管理计划和管理台账制定技术导则</w:t>
                  </w:r>
                  <w:r>
                    <w:rPr>
                      <w:rFonts w:hint="eastAsia" w:ascii="宋体" w:hAnsi="宋体" w:eastAsia="宋体" w:cs="宋体"/>
                      <w:color w:val="auto"/>
                      <w:spacing w:val="9"/>
                      <w:sz w:val="21"/>
                      <w:szCs w:val="21"/>
                      <w:highlight w:val="none"/>
                      <w:lang w:eastAsia="zh-CN"/>
                    </w:rPr>
                    <w:t>》（</w:t>
                  </w:r>
                  <w:r>
                    <w:rPr>
                      <w:rFonts w:ascii="Times New Roman" w:hAnsi="Times New Roman" w:eastAsia="Times New Roman" w:cs="Times New Roman"/>
                      <w:color w:val="auto"/>
                      <w:sz w:val="21"/>
                      <w:szCs w:val="21"/>
                      <w:highlight w:val="none"/>
                    </w:rPr>
                    <w:t>HJ</w:t>
                  </w:r>
                  <w:r>
                    <w:rPr>
                      <w:rFonts w:ascii="Times New Roman" w:hAnsi="Times New Roman" w:eastAsia="Times New Roman" w:cs="Times New Roman"/>
                      <w:color w:val="auto"/>
                      <w:spacing w:val="6"/>
                      <w:sz w:val="21"/>
                      <w:szCs w:val="21"/>
                      <w:highlight w:val="none"/>
                    </w:rPr>
                    <w:t>1259</w:t>
                  </w:r>
                  <w:r>
                    <w:rPr>
                      <w:rFonts w:hint="eastAsia" w:eastAsia="宋体" w:cs="Times New Roman"/>
                      <w:color w:val="auto"/>
                      <w:spacing w:val="6"/>
                      <w:sz w:val="21"/>
                      <w:szCs w:val="21"/>
                      <w:highlight w:val="none"/>
                      <w:lang w:val="en-US" w:eastAsia="zh-CN"/>
                    </w:rPr>
                    <w:t>-2022</w:t>
                  </w:r>
                  <w:r>
                    <w:rPr>
                      <w:rFonts w:hint="eastAsia" w:ascii="宋体" w:hAnsi="宋体" w:eastAsia="宋体" w:cs="宋体"/>
                      <w:color w:val="auto"/>
                      <w:spacing w:val="9"/>
                      <w:sz w:val="21"/>
                      <w:szCs w:val="21"/>
                      <w:highlight w:val="none"/>
                      <w:lang w:eastAsia="zh-CN"/>
                    </w:rPr>
                    <w:t>）</w:t>
                  </w:r>
                  <w:r>
                    <w:rPr>
                      <w:rFonts w:ascii="Times New Roman" w:hAnsi="Times New Roman" w:eastAsia="Times New Roman" w:cs="Times New Roman"/>
                      <w:color w:val="auto"/>
                      <w:spacing w:val="6"/>
                      <w:sz w:val="21"/>
                      <w:szCs w:val="21"/>
                      <w:highlight w:val="none"/>
                    </w:rPr>
                    <w:t xml:space="preserve"> </w:t>
                  </w:r>
                  <w:r>
                    <w:rPr>
                      <w:rFonts w:hint="eastAsia" w:ascii="宋体" w:hAnsi="宋体" w:eastAsia="宋体" w:cs="宋体"/>
                      <w:color w:val="auto"/>
                      <w:spacing w:val="6"/>
                      <w:sz w:val="21"/>
                      <w:szCs w:val="21"/>
                      <w:highlight w:val="none"/>
                      <w:lang w:eastAsia="zh-CN"/>
                    </w:rPr>
                    <w:t>，本项目属于</w:t>
                  </w:r>
                  <w:r>
                    <w:rPr>
                      <w:rFonts w:ascii="宋体" w:hAnsi="宋体" w:eastAsia="宋体" w:cs="宋体"/>
                      <w:color w:val="auto"/>
                      <w:spacing w:val="6"/>
                      <w:sz w:val="21"/>
                      <w:szCs w:val="21"/>
                      <w:highlight w:val="none"/>
                    </w:rPr>
                    <w:t>危险废物环境重点监管单位，采用电子地磅、 电子标签、电子管理台账等技术</w:t>
                  </w:r>
                  <w:r>
                    <w:rPr>
                      <w:rFonts w:ascii="宋体" w:hAnsi="宋体" w:eastAsia="宋体" w:cs="宋体"/>
                      <w:color w:val="auto"/>
                      <w:spacing w:val="14"/>
                      <w:sz w:val="21"/>
                      <w:szCs w:val="21"/>
                      <w:highlight w:val="none"/>
                    </w:rPr>
                    <w:t>手段对危</w:t>
                  </w:r>
                  <w:r>
                    <w:rPr>
                      <w:rFonts w:ascii="宋体" w:hAnsi="宋体" w:eastAsia="宋体" w:cs="宋体"/>
                      <w:color w:val="auto"/>
                      <w:spacing w:val="8"/>
                      <w:sz w:val="21"/>
                      <w:szCs w:val="21"/>
                      <w:highlight w:val="none"/>
                    </w:rPr>
                    <w:t>险</w:t>
                  </w:r>
                  <w:r>
                    <w:rPr>
                      <w:rFonts w:ascii="宋体" w:hAnsi="宋体" w:eastAsia="宋体" w:cs="宋体"/>
                      <w:color w:val="auto"/>
                      <w:spacing w:val="7"/>
                      <w:sz w:val="21"/>
                      <w:szCs w:val="21"/>
                      <w:highlight w:val="none"/>
                    </w:rPr>
                    <w:t>废物贮存过程进行信息化管理，确保数据完整、真实、准确；采用视频监控</w:t>
                  </w:r>
                  <w:r>
                    <w:rPr>
                      <w:rFonts w:hint="eastAsia" w:ascii="宋体" w:hAnsi="宋体" w:eastAsia="宋体" w:cs="宋体"/>
                      <w:color w:val="auto"/>
                      <w:spacing w:val="7"/>
                      <w:sz w:val="21"/>
                      <w:szCs w:val="21"/>
                      <w:highlight w:val="none"/>
                      <w:lang w:eastAsia="zh-CN"/>
                    </w:rPr>
                    <w:t>，确</w:t>
                  </w:r>
                  <w:r>
                    <w:rPr>
                      <w:rFonts w:ascii="宋体" w:hAnsi="宋体" w:eastAsia="宋体" w:cs="宋体"/>
                      <w:color w:val="auto"/>
                      <w:spacing w:val="7"/>
                      <w:sz w:val="21"/>
                      <w:szCs w:val="21"/>
                      <w:highlight w:val="none"/>
                    </w:rPr>
                    <w:t>保监控画</w:t>
                  </w:r>
                  <w:r>
                    <w:rPr>
                      <w:rFonts w:ascii="宋体" w:hAnsi="宋体" w:eastAsia="宋体" w:cs="宋体"/>
                      <w:color w:val="auto"/>
                      <w:spacing w:val="10"/>
                      <w:sz w:val="21"/>
                      <w:szCs w:val="21"/>
                      <w:highlight w:val="none"/>
                    </w:rPr>
                    <w:t>面清</w:t>
                  </w:r>
                  <w:r>
                    <w:rPr>
                      <w:rFonts w:ascii="宋体" w:hAnsi="宋体" w:eastAsia="宋体" w:cs="宋体"/>
                      <w:color w:val="auto"/>
                      <w:spacing w:val="9"/>
                      <w:sz w:val="21"/>
                      <w:szCs w:val="21"/>
                      <w:highlight w:val="none"/>
                    </w:rPr>
                    <w:t>晰</w:t>
                  </w:r>
                  <w:r>
                    <w:rPr>
                      <w:rFonts w:ascii="宋体" w:hAnsi="宋体" w:eastAsia="宋体" w:cs="宋体"/>
                      <w:color w:val="auto"/>
                      <w:spacing w:val="5"/>
                      <w:sz w:val="21"/>
                      <w:szCs w:val="21"/>
                      <w:highlight w:val="none"/>
                    </w:rPr>
                    <w:t>，视频记录保存时间至少为</w:t>
                  </w:r>
                  <w:r>
                    <w:rPr>
                      <w:rFonts w:ascii="Times New Roman" w:hAnsi="Times New Roman" w:eastAsia="Times New Roman" w:cs="Times New Roman"/>
                      <w:color w:val="auto"/>
                      <w:spacing w:val="5"/>
                      <w:sz w:val="21"/>
                      <w:szCs w:val="21"/>
                      <w:highlight w:val="none"/>
                    </w:rPr>
                    <w:t>3</w:t>
                  </w:r>
                  <w:r>
                    <w:rPr>
                      <w:rFonts w:ascii="宋体" w:hAnsi="宋体" w:eastAsia="宋体" w:cs="宋体"/>
                      <w:color w:val="auto"/>
                      <w:spacing w:val="5"/>
                      <w:sz w:val="21"/>
                      <w:szCs w:val="21"/>
                      <w:highlight w:val="none"/>
                    </w:rPr>
                    <w:t>个月。</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58" w:lineRule="auto"/>
                    <w:ind w:left="6" w:right="1" w:hanging="6"/>
                    <w:rPr>
                      <w:rFonts w:ascii="Times New Roman" w:hAnsi="Times New Roman" w:eastAsia="Times New Roman" w:cs="Times New Roman"/>
                      <w:color w:val="auto"/>
                      <w:sz w:val="21"/>
                      <w:szCs w:val="21"/>
                    </w:rPr>
                  </w:pPr>
                  <w:r>
                    <w:rPr>
                      <w:rFonts w:ascii="宋体" w:hAnsi="宋体" w:eastAsia="宋体" w:cs="宋体"/>
                      <w:color w:val="auto"/>
                      <w:spacing w:val="9"/>
                      <w:sz w:val="21"/>
                      <w:szCs w:val="21"/>
                    </w:rPr>
                    <w:t>贮存设施退役时，所有者或运营者应依法履行环境保护责任，退役前应妥善处理处置贮存设施内</w:t>
                  </w:r>
                  <w:r>
                    <w:rPr>
                      <w:rFonts w:ascii="宋体" w:hAnsi="宋体" w:eastAsia="宋体" w:cs="宋体"/>
                      <w:color w:val="auto"/>
                      <w:spacing w:val="14"/>
                      <w:sz w:val="21"/>
                      <w:szCs w:val="21"/>
                    </w:rPr>
                    <w:t>剩余的危</w:t>
                  </w:r>
                  <w:r>
                    <w:rPr>
                      <w:rFonts w:ascii="宋体" w:hAnsi="宋体" w:eastAsia="宋体" w:cs="宋体"/>
                      <w:color w:val="auto"/>
                      <w:spacing w:val="8"/>
                      <w:sz w:val="21"/>
                      <w:szCs w:val="21"/>
                    </w:rPr>
                    <w:t>险</w:t>
                  </w:r>
                  <w:r>
                    <w:rPr>
                      <w:rFonts w:ascii="宋体" w:hAnsi="宋体" w:eastAsia="宋体" w:cs="宋体"/>
                      <w:color w:val="auto"/>
                      <w:spacing w:val="7"/>
                      <w:sz w:val="21"/>
                      <w:szCs w:val="21"/>
                    </w:rPr>
                    <w:t>废物，并对贮存设施进行清理，消除污染；还应依据土壤污染防治相关法律法规履行场地环</w:t>
                  </w:r>
                  <w:r>
                    <w:rPr>
                      <w:rFonts w:ascii="宋体" w:hAnsi="宋体" w:eastAsia="宋体" w:cs="宋体"/>
                      <w:color w:val="auto"/>
                      <w:sz w:val="21"/>
                      <w:szCs w:val="21"/>
                    </w:rPr>
                    <w:t xml:space="preserve"> </w:t>
                  </w:r>
                  <w:r>
                    <w:rPr>
                      <w:rFonts w:ascii="宋体" w:hAnsi="宋体" w:eastAsia="宋体" w:cs="宋体"/>
                      <w:color w:val="auto"/>
                      <w:spacing w:val="11"/>
                      <w:sz w:val="21"/>
                      <w:szCs w:val="21"/>
                    </w:rPr>
                    <w:t>境</w:t>
                  </w:r>
                  <w:r>
                    <w:rPr>
                      <w:rFonts w:ascii="宋体" w:hAnsi="宋体" w:eastAsia="宋体" w:cs="宋体"/>
                      <w:color w:val="auto"/>
                      <w:spacing w:val="7"/>
                      <w:sz w:val="21"/>
                      <w:szCs w:val="21"/>
                    </w:rPr>
                    <w:t>风险防控责任。</w:t>
                  </w:r>
                </w:p>
              </w:tc>
              <w:tc>
                <w:tcPr>
                  <w:tcW w:w="1676" w:type="pct"/>
                  <w:gridSpan w:val="2"/>
                  <w:tcBorders>
                    <w:tl2br w:val="nil"/>
                    <w:tr2bl w:val="nil"/>
                  </w:tcBorders>
                  <w:vAlign w:val="center"/>
                </w:tcPr>
                <w:p>
                  <w:pPr>
                    <w:spacing w:before="65" w:line="258" w:lineRule="auto"/>
                    <w:ind w:left="6" w:leftChars="0" w:right="1" w:rightChars="0" w:hanging="6" w:firstLineChars="0"/>
                    <w:rPr>
                      <w:rFonts w:hint="eastAsia" w:ascii="Times New Roman" w:hAnsi="Times New Roman" w:eastAsia="Times New Roman" w:cs="Times New Roman"/>
                      <w:color w:val="auto"/>
                      <w:kern w:val="2"/>
                      <w:sz w:val="21"/>
                      <w:szCs w:val="21"/>
                      <w:lang w:val="en-US" w:eastAsia="zh-CN" w:bidi="ar-SA"/>
                    </w:rPr>
                  </w:pPr>
                  <w:r>
                    <w:rPr>
                      <w:rFonts w:hint="eastAsia" w:ascii="宋体" w:hAnsi="宋体" w:eastAsia="宋体" w:cs="宋体"/>
                      <w:color w:val="auto"/>
                      <w:spacing w:val="9"/>
                      <w:sz w:val="21"/>
                      <w:szCs w:val="21"/>
                      <w:lang w:eastAsia="zh-CN"/>
                    </w:rPr>
                    <w:t>建设单位承诺：</w:t>
                  </w:r>
                  <w:r>
                    <w:rPr>
                      <w:rFonts w:ascii="宋体" w:hAnsi="宋体" w:eastAsia="宋体" w:cs="宋体"/>
                      <w:color w:val="auto"/>
                      <w:spacing w:val="9"/>
                      <w:sz w:val="21"/>
                      <w:szCs w:val="21"/>
                    </w:rPr>
                    <w:t>贮存设施退役时，所有者或运营者应依法履行环境保护责任，退役前应妥善处理处置贮存设施内</w:t>
                  </w:r>
                  <w:r>
                    <w:rPr>
                      <w:rFonts w:ascii="宋体" w:hAnsi="宋体" w:eastAsia="宋体" w:cs="宋体"/>
                      <w:color w:val="auto"/>
                      <w:spacing w:val="14"/>
                      <w:sz w:val="21"/>
                      <w:szCs w:val="21"/>
                    </w:rPr>
                    <w:t>剩余的危</w:t>
                  </w:r>
                  <w:r>
                    <w:rPr>
                      <w:rFonts w:ascii="宋体" w:hAnsi="宋体" w:eastAsia="宋体" w:cs="宋体"/>
                      <w:color w:val="auto"/>
                      <w:spacing w:val="8"/>
                      <w:sz w:val="21"/>
                      <w:szCs w:val="21"/>
                    </w:rPr>
                    <w:t>险</w:t>
                  </w:r>
                  <w:r>
                    <w:rPr>
                      <w:rFonts w:ascii="宋体" w:hAnsi="宋体" w:eastAsia="宋体" w:cs="宋体"/>
                      <w:color w:val="auto"/>
                      <w:spacing w:val="7"/>
                      <w:sz w:val="21"/>
                      <w:szCs w:val="21"/>
                    </w:rPr>
                    <w:t>废物，并对贮存设施进行清理，消除污染；依据土壤污染防治相关法律法规履行场地环</w:t>
                  </w:r>
                  <w:r>
                    <w:rPr>
                      <w:rFonts w:ascii="宋体" w:hAnsi="宋体" w:eastAsia="宋体" w:cs="宋体"/>
                      <w:color w:val="auto"/>
                      <w:spacing w:val="11"/>
                      <w:sz w:val="21"/>
                      <w:szCs w:val="21"/>
                    </w:rPr>
                    <w:t>境</w:t>
                  </w:r>
                  <w:r>
                    <w:rPr>
                      <w:rFonts w:ascii="宋体" w:hAnsi="宋体" w:eastAsia="宋体" w:cs="宋体"/>
                      <w:color w:val="auto"/>
                      <w:spacing w:val="7"/>
                      <w:sz w:val="21"/>
                      <w:szCs w:val="21"/>
                    </w:rPr>
                    <w:t>风险防控责任。</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在常温常压下易爆、易燃及排出有毒气体的危险废物应进行预处理，使之稳定后贮存，否则应按</w:t>
                  </w:r>
                  <w:r>
                    <w:rPr>
                      <w:rFonts w:ascii="宋体" w:hAnsi="宋体" w:eastAsia="宋体" w:cs="宋体"/>
                      <w:color w:val="auto"/>
                      <w:spacing w:val="7"/>
                      <w:sz w:val="21"/>
                      <w:szCs w:val="21"/>
                    </w:rPr>
                    <w:t>易爆、易燃危险品贮存</w:t>
                  </w:r>
                  <w:r>
                    <w:rPr>
                      <w:rFonts w:ascii="宋体" w:hAnsi="宋体" w:eastAsia="宋体" w:cs="宋体"/>
                      <w:color w:val="auto"/>
                      <w:spacing w:val="5"/>
                      <w:sz w:val="21"/>
                      <w:szCs w:val="21"/>
                    </w:rPr>
                    <w:t>。</w:t>
                  </w:r>
                </w:p>
              </w:tc>
              <w:tc>
                <w:tcPr>
                  <w:tcW w:w="1676" w:type="pct"/>
                  <w:gridSpan w:val="2"/>
                  <w:tcBorders>
                    <w:tl2br w:val="nil"/>
                    <w:tr2bl w:val="nil"/>
                  </w:tcBorders>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cs="宋体"/>
                      <w:color w:val="auto"/>
                      <w:spacing w:val="9"/>
                      <w:sz w:val="21"/>
                      <w:szCs w:val="21"/>
                      <w:lang w:eastAsia="zh-CN"/>
                    </w:rPr>
                    <w:t>本项目不涉及易爆危险废物贮存。产生</w:t>
                  </w:r>
                  <w:r>
                    <w:rPr>
                      <w:rFonts w:ascii="宋体" w:hAnsi="宋体" w:eastAsia="宋体" w:cs="宋体"/>
                      <w:color w:val="auto"/>
                      <w:spacing w:val="9"/>
                      <w:sz w:val="21"/>
                      <w:szCs w:val="21"/>
                    </w:rPr>
                    <w:t>的危险废物</w:t>
                  </w:r>
                  <w:r>
                    <w:rPr>
                      <w:rFonts w:hint="eastAsia" w:ascii="宋体" w:hAnsi="宋体" w:cs="宋体"/>
                      <w:color w:val="auto"/>
                      <w:spacing w:val="9"/>
                      <w:sz w:val="21"/>
                      <w:szCs w:val="21"/>
                      <w:lang w:eastAsia="zh-CN"/>
                    </w:rPr>
                    <w:t>进入危废暂存间之前，根据其易燃性和毒性进行分析，采取必要的预处理措施</w:t>
                  </w:r>
                  <w:r>
                    <w:rPr>
                      <w:rFonts w:ascii="宋体" w:hAnsi="宋体" w:eastAsia="宋体" w:cs="宋体"/>
                      <w:color w:val="auto"/>
                      <w:spacing w:val="9"/>
                      <w:sz w:val="21"/>
                      <w:szCs w:val="21"/>
                    </w:rPr>
                    <w:t>应进行预处理</w:t>
                  </w:r>
                  <w:r>
                    <w:rPr>
                      <w:rFonts w:hint="eastAsia" w:ascii="宋体" w:hAnsi="宋体" w:cs="宋体"/>
                      <w:color w:val="auto"/>
                      <w:spacing w:val="9"/>
                      <w:sz w:val="21"/>
                      <w:szCs w:val="21"/>
                      <w:lang w:eastAsia="zh-CN"/>
                    </w:rPr>
                    <w:t>和预防</w:t>
                  </w:r>
                  <w:r>
                    <w:rPr>
                      <w:rFonts w:ascii="宋体" w:hAnsi="宋体" w:eastAsia="宋体" w:cs="宋体"/>
                      <w:color w:val="auto"/>
                      <w:spacing w:val="9"/>
                      <w:sz w:val="21"/>
                      <w:szCs w:val="21"/>
                    </w:rPr>
                    <w:t>，使之稳定后贮存，</w:t>
                  </w:r>
                  <w:r>
                    <w:rPr>
                      <w:rFonts w:hint="eastAsia" w:ascii="宋体" w:hAnsi="宋体" w:cs="宋体"/>
                      <w:color w:val="auto"/>
                      <w:spacing w:val="9"/>
                      <w:sz w:val="21"/>
                      <w:szCs w:val="21"/>
                      <w:lang w:eastAsia="zh-CN"/>
                    </w:rPr>
                    <w:t>包括：采用合理的不相容性的容器、</w:t>
                  </w:r>
                  <w:r>
                    <w:rPr>
                      <w:rFonts w:hint="eastAsia" w:ascii="宋体" w:hAnsi="宋体" w:eastAsia="宋体" w:cs="宋体"/>
                      <w:color w:val="auto"/>
                      <w:kern w:val="0"/>
                      <w:sz w:val="21"/>
                      <w:szCs w:val="21"/>
                      <w:lang w:val="en-US" w:eastAsia="zh-CN" w:bidi="ar"/>
                    </w:rPr>
                    <w:t>柔性容器和包装物堆叠码放时应封口严密，无破损泄漏、使用容器盛装液态、半固态危险废物时，容器内部应留有适当的空间，以适应因温度变化等可能引发的收缩和膨胀，防止其导致容器渗漏或永久变形等。</w:t>
                  </w:r>
                </w:p>
                <w:p>
                  <w:pPr>
                    <w:keepNext w:val="0"/>
                    <w:keepLines w:val="0"/>
                    <w:widowControl/>
                    <w:suppressLineNumbers w:val="0"/>
                    <w:jc w:val="left"/>
                    <w:rPr>
                      <w:rFonts w:hint="eastAsia" w:cs="Times New Roman" w:eastAsiaTheme="minorEastAsia"/>
                      <w:color w:val="auto"/>
                      <w:kern w:val="0"/>
                      <w:sz w:val="21"/>
                      <w:szCs w:val="21"/>
                      <w:lang w:val="en-US" w:eastAsia="zh-CN"/>
                    </w:rPr>
                  </w:pPr>
                  <w:r>
                    <w:rPr>
                      <w:rFonts w:hint="eastAsia" w:ascii="宋体" w:hAnsi="宋体" w:eastAsia="宋体" w:cs="宋体"/>
                      <w:color w:val="auto"/>
                      <w:kern w:val="0"/>
                      <w:sz w:val="21"/>
                      <w:szCs w:val="21"/>
                      <w:lang w:val="en-US" w:eastAsia="zh-CN" w:bidi="ar"/>
                    </w:rPr>
                    <w:t>同时，</w:t>
                  </w:r>
                  <w:r>
                    <w:rPr>
                      <w:rFonts w:hint="eastAsia" w:cs="Times New Roman" w:eastAsiaTheme="minorEastAsia"/>
                      <w:color w:val="auto"/>
                      <w:kern w:val="0"/>
                      <w:sz w:val="21"/>
                      <w:szCs w:val="21"/>
                      <w:lang w:val="en-US" w:eastAsia="zh-CN"/>
                    </w:rPr>
                    <w:t>按照危险废物类型，将本项目暂存的危废物分别单独贮存，设置了非甲烷总烃、甲醇、甲苯、臭气浓度等废气收集处理设施，处理达标后由17m高排气筒有组织排放。</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00"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7" w:line="258" w:lineRule="auto"/>
                    <w:ind w:left="17" w:right="1" w:hanging="18"/>
                    <w:rPr>
                      <w:rFonts w:ascii="宋体" w:hAnsi="宋体" w:eastAsia="宋体" w:cs="宋体"/>
                      <w:color w:val="auto"/>
                      <w:sz w:val="21"/>
                      <w:szCs w:val="21"/>
                    </w:rPr>
                  </w:pPr>
                  <w:r>
                    <w:rPr>
                      <w:rFonts w:ascii="宋体" w:hAnsi="宋体" w:eastAsia="宋体" w:cs="宋体"/>
                      <w:color w:val="auto"/>
                      <w:spacing w:val="7"/>
                      <w:sz w:val="21"/>
                      <w:szCs w:val="21"/>
                    </w:rPr>
                    <w:t>危险废物贮存除应满足环境保护相关要求外，还应执行国家安全生产、职业健康、交通运输、消</w:t>
                  </w:r>
                  <w:r>
                    <w:rPr>
                      <w:rFonts w:ascii="宋体" w:hAnsi="宋体" w:eastAsia="宋体" w:cs="宋体"/>
                      <w:color w:val="auto"/>
                      <w:spacing w:val="14"/>
                      <w:sz w:val="21"/>
                      <w:szCs w:val="21"/>
                    </w:rPr>
                    <w:t>防</w:t>
                  </w:r>
                  <w:r>
                    <w:rPr>
                      <w:rFonts w:ascii="宋体" w:hAnsi="宋体" w:eastAsia="宋体" w:cs="宋体"/>
                      <w:color w:val="auto"/>
                      <w:spacing w:val="11"/>
                      <w:sz w:val="21"/>
                      <w:szCs w:val="21"/>
                    </w:rPr>
                    <w:t>等</w:t>
                  </w:r>
                  <w:r>
                    <w:rPr>
                      <w:rFonts w:ascii="宋体" w:hAnsi="宋体" w:eastAsia="宋体" w:cs="宋体"/>
                      <w:color w:val="auto"/>
                      <w:spacing w:val="7"/>
                      <w:sz w:val="21"/>
                      <w:szCs w:val="21"/>
                    </w:rPr>
                    <w:t>法律法规和标准的相关要求。</w:t>
                  </w:r>
                </w:p>
                <w:p>
                  <w:pPr>
                    <w:spacing w:before="68" w:line="257" w:lineRule="auto"/>
                    <w:ind w:left="18" w:right="3" w:hanging="19"/>
                    <w:rPr>
                      <w:rFonts w:ascii="宋体" w:hAnsi="宋体" w:eastAsia="宋体" w:cs="宋体"/>
                      <w:color w:val="auto"/>
                      <w:spacing w:val="9"/>
                      <w:sz w:val="21"/>
                      <w:szCs w:val="21"/>
                    </w:rPr>
                  </w:pP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hint="eastAsia" w:ascii="宋体" w:hAnsi="宋体" w:eastAsia="宋体" w:cs="宋体"/>
                      <w:color w:val="auto"/>
                      <w:spacing w:val="7"/>
                      <w:sz w:val="21"/>
                      <w:szCs w:val="21"/>
                      <w:lang w:eastAsia="zh-CN"/>
                    </w:rPr>
                    <w:t>本次环评要求建设单位严格按照要求，切实做到</w:t>
                  </w:r>
                  <w:r>
                    <w:rPr>
                      <w:rFonts w:ascii="宋体" w:hAnsi="宋体" w:eastAsia="宋体" w:cs="宋体"/>
                      <w:color w:val="auto"/>
                      <w:spacing w:val="7"/>
                      <w:sz w:val="21"/>
                      <w:szCs w:val="21"/>
                    </w:rPr>
                    <w:t>危险废物贮存满足环境保护相关要求，</w:t>
                  </w:r>
                  <w:r>
                    <w:rPr>
                      <w:rFonts w:hint="eastAsia" w:ascii="宋体" w:hAnsi="宋体" w:eastAsia="宋体" w:cs="宋体"/>
                      <w:color w:val="auto"/>
                      <w:spacing w:val="7"/>
                      <w:sz w:val="21"/>
                      <w:szCs w:val="21"/>
                      <w:lang w:eastAsia="zh-CN"/>
                    </w:rPr>
                    <w:t>还要</w:t>
                  </w:r>
                  <w:r>
                    <w:rPr>
                      <w:rFonts w:ascii="宋体" w:hAnsi="宋体" w:eastAsia="宋体" w:cs="宋体"/>
                      <w:color w:val="auto"/>
                      <w:spacing w:val="7"/>
                      <w:sz w:val="21"/>
                      <w:szCs w:val="21"/>
                    </w:rPr>
                    <w:t>执行国家安全生产、职业健康、交通运输、消</w:t>
                  </w:r>
                  <w:r>
                    <w:rPr>
                      <w:rFonts w:ascii="宋体" w:hAnsi="宋体" w:eastAsia="宋体" w:cs="宋体"/>
                      <w:color w:val="auto"/>
                      <w:sz w:val="21"/>
                      <w:szCs w:val="21"/>
                    </w:rPr>
                    <w:t xml:space="preserve"> </w:t>
                  </w:r>
                  <w:r>
                    <w:rPr>
                      <w:rFonts w:ascii="宋体" w:hAnsi="宋体" w:eastAsia="宋体" w:cs="宋体"/>
                      <w:color w:val="auto"/>
                      <w:spacing w:val="14"/>
                      <w:sz w:val="21"/>
                      <w:szCs w:val="21"/>
                    </w:rPr>
                    <w:t>防</w:t>
                  </w:r>
                  <w:r>
                    <w:rPr>
                      <w:rFonts w:ascii="宋体" w:hAnsi="宋体" w:eastAsia="宋体" w:cs="宋体"/>
                      <w:color w:val="auto"/>
                      <w:spacing w:val="11"/>
                      <w:sz w:val="21"/>
                      <w:szCs w:val="21"/>
                    </w:rPr>
                    <w:t>等</w:t>
                  </w:r>
                  <w:r>
                    <w:rPr>
                      <w:rFonts w:ascii="宋体" w:hAnsi="宋体" w:eastAsia="宋体" w:cs="宋体"/>
                      <w:color w:val="auto"/>
                      <w:spacing w:val="7"/>
                      <w:sz w:val="21"/>
                      <w:szCs w:val="21"/>
                    </w:rPr>
                    <w:t>法律法规和标准的相关要求。</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1"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hint="eastAsia" w:eastAsia="宋体"/>
                      <w:color w:val="auto"/>
                      <w:sz w:val="21"/>
                      <w:szCs w:val="21"/>
                      <w:lang w:val="en"/>
                    </w:rPr>
                    <w:t>贮存设施选址要求</w:t>
                  </w: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贮存设施选址应满足生态环境保护法律法规、规划和“三线一单”生态环境分区管控的要求，建设项目应依法进行环境影响评价。</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为危废暂存间项目，位于</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现有厂区内，用于暂存</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危险废物，之后由有资质单位转运清理处置。</w:t>
                  </w:r>
                  <w:r>
                    <w:rPr>
                      <w:rFonts w:ascii="宋体" w:hAnsi="宋体" w:eastAsia="宋体" w:cs="宋体"/>
                      <w:color w:val="auto"/>
                      <w:spacing w:val="9"/>
                      <w:sz w:val="21"/>
                      <w:szCs w:val="21"/>
                    </w:rPr>
                    <w:t>满足生态环境保护法律法规、规划和“三线一单”生态环境分区管控的要求</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集中贮存设施不应选在生态保护红线区域、永久基本农田和其他需要特别保护的区域内，不应建</w:t>
                  </w:r>
                  <w:r>
                    <w:rPr>
                      <w:rFonts w:ascii="宋体" w:hAnsi="宋体" w:eastAsia="宋体" w:cs="宋体"/>
                      <w:color w:val="auto"/>
                      <w:spacing w:val="18"/>
                      <w:sz w:val="21"/>
                      <w:szCs w:val="21"/>
                    </w:rPr>
                    <w:t>在</w:t>
                  </w:r>
                  <w:r>
                    <w:rPr>
                      <w:rFonts w:ascii="宋体" w:hAnsi="宋体" w:eastAsia="宋体" w:cs="宋体"/>
                      <w:color w:val="auto"/>
                      <w:spacing w:val="13"/>
                      <w:sz w:val="21"/>
                      <w:szCs w:val="21"/>
                    </w:rPr>
                    <w:t>溶</w:t>
                  </w:r>
                  <w:r>
                    <w:rPr>
                      <w:rFonts w:ascii="宋体" w:hAnsi="宋体" w:eastAsia="宋体" w:cs="宋体"/>
                      <w:color w:val="auto"/>
                      <w:spacing w:val="9"/>
                      <w:sz w:val="21"/>
                      <w:szCs w:val="21"/>
                    </w:rPr>
                    <w:t>洞区或易遭受洪水、滑坡、泥石流、潮汐等严重自然灾害影响的地区。</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为危废暂存间项目，位于</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现有厂区内，用于暂存</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危险废物，之后由有资质单位转运清理处置。</w:t>
                  </w:r>
                  <w:r>
                    <w:rPr>
                      <w:rFonts w:hint="eastAsia" w:ascii="宋体" w:hAnsi="宋体" w:eastAsia="宋体" w:cs="宋体"/>
                      <w:color w:val="auto"/>
                      <w:spacing w:val="9"/>
                      <w:sz w:val="21"/>
                      <w:szCs w:val="21"/>
                      <w:lang w:eastAsia="zh-CN"/>
                    </w:rPr>
                    <w:t>选址不在</w:t>
                  </w:r>
                  <w:r>
                    <w:rPr>
                      <w:rFonts w:ascii="宋体" w:hAnsi="宋体" w:eastAsia="宋体" w:cs="宋体"/>
                      <w:color w:val="auto"/>
                      <w:spacing w:val="9"/>
                      <w:sz w:val="21"/>
                      <w:szCs w:val="21"/>
                    </w:rPr>
                    <w:t>生态保护红线区域、永久基本农田和其他需要特别保护的区域内，不</w:t>
                  </w:r>
                  <w:r>
                    <w:rPr>
                      <w:rFonts w:ascii="宋体" w:hAnsi="宋体" w:eastAsia="宋体" w:cs="宋体"/>
                      <w:color w:val="auto"/>
                      <w:spacing w:val="18"/>
                      <w:sz w:val="21"/>
                      <w:szCs w:val="21"/>
                    </w:rPr>
                    <w:t>在</w:t>
                  </w:r>
                  <w:r>
                    <w:rPr>
                      <w:rFonts w:ascii="宋体" w:hAnsi="宋体" w:eastAsia="宋体" w:cs="宋体"/>
                      <w:color w:val="auto"/>
                      <w:spacing w:val="13"/>
                      <w:sz w:val="21"/>
                      <w:szCs w:val="21"/>
                    </w:rPr>
                    <w:t>溶</w:t>
                  </w:r>
                  <w:r>
                    <w:rPr>
                      <w:rFonts w:ascii="宋体" w:hAnsi="宋体" w:eastAsia="宋体" w:cs="宋体"/>
                      <w:color w:val="auto"/>
                      <w:spacing w:val="9"/>
                      <w:sz w:val="21"/>
                      <w:szCs w:val="21"/>
                    </w:rPr>
                    <w:t>洞区或易遭受洪水、滑坡、泥石流、潮汐等严重自然灾害影响的地区。</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贮存设施不应选在江河、湖泊、运河、渠道、水库及其最高水位线以下的滩地和岸坡，以及法律法规规定禁止贮存危险废物的其他地点</w:t>
                  </w:r>
                  <w:r>
                    <w:rPr>
                      <w:rFonts w:ascii="宋体" w:hAnsi="宋体" w:eastAsia="宋体" w:cs="宋体"/>
                      <w:color w:val="auto"/>
                      <w:spacing w:val="6"/>
                      <w:sz w:val="21"/>
                      <w:szCs w:val="21"/>
                    </w:rPr>
                    <w:t>。</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为危废暂存间项目，位于</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现有厂区内，用于暂存</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危险废物，之后由有资质单位转运清理处置。</w:t>
                  </w:r>
                  <w:r>
                    <w:rPr>
                      <w:rFonts w:ascii="宋体" w:hAnsi="宋体" w:eastAsia="宋体" w:cs="宋体"/>
                      <w:color w:val="auto"/>
                      <w:spacing w:val="9"/>
                      <w:sz w:val="21"/>
                      <w:szCs w:val="21"/>
                    </w:rPr>
                    <w:t>不在江河、湖泊、运河、渠道、水库及其最高水位线以下的滩地和岸坡，以及法律法规规定禁止贮存危险废物的其他地点</w:t>
                  </w:r>
                  <w:r>
                    <w:rPr>
                      <w:rFonts w:ascii="宋体" w:hAnsi="宋体" w:eastAsia="宋体" w:cs="宋体"/>
                      <w:color w:val="auto"/>
                      <w:spacing w:val="6"/>
                      <w:sz w:val="21"/>
                      <w:szCs w:val="21"/>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贮存设施场址的位置以及其与周围环境敏感目标的距离应依据环境影响评价文件确定。</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default" w:ascii="宋体" w:hAnsi="宋体" w:eastAsia="宋体" w:cs="宋体"/>
                      <w:color w:val="auto"/>
                      <w:spacing w:val="7"/>
                      <w:sz w:val="21"/>
                      <w:szCs w:val="21"/>
                      <w:lang w:val="en-US" w:eastAsia="zh-CN"/>
                    </w:rPr>
                  </w:pPr>
                  <w:r>
                    <w:rPr>
                      <w:rFonts w:hint="eastAsia" w:ascii="宋体" w:hAnsi="宋体" w:eastAsia="宋体" w:cs="宋体"/>
                      <w:color w:val="auto"/>
                      <w:spacing w:val="7"/>
                      <w:sz w:val="21"/>
                      <w:szCs w:val="21"/>
                      <w:lang w:eastAsia="zh-CN"/>
                    </w:rPr>
                    <w:t>本项</w:t>
                  </w:r>
                  <w:r>
                    <w:rPr>
                      <w:rFonts w:hint="default" w:ascii="Times New Roman" w:hAnsi="Times New Roman" w:eastAsia="宋体" w:cs="Times New Roman"/>
                      <w:color w:val="auto"/>
                      <w:spacing w:val="7"/>
                      <w:sz w:val="21"/>
                      <w:szCs w:val="21"/>
                      <w:lang w:eastAsia="zh-CN"/>
                    </w:rPr>
                    <w:t>目距离东南</w:t>
                  </w:r>
                  <w:r>
                    <w:rPr>
                      <w:rFonts w:hint="eastAsia" w:cs="Times New Roman"/>
                      <w:color w:val="auto"/>
                      <w:spacing w:val="7"/>
                      <w:sz w:val="21"/>
                      <w:szCs w:val="21"/>
                      <w:lang w:eastAsia="zh-CN"/>
                    </w:rPr>
                    <w:t>侧的姚家</w:t>
                  </w:r>
                  <w:r>
                    <w:rPr>
                      <w:rFonts w:hint="default" w:ascii="Times New Roman" w:hAnsi="Times New Roman" w:eastAsia="宋体" w:cs="Times New Roman"/>
                      <w:color w:val="auto"/>
                      <w:spacing w:val="7"/>
                      <w:sz w:val="21"/>
                      <w:szCs w:val="21"/>
                      <w:lang w:eastAsia="zh-CN"/>
                    </w:rPr>
                    <w:t>村</w:t>
                  </w:r>
                  <w:r>
                    <w:rPr>
                      <w:rFonts w:hint="default" w:ascii="Times New Roman" w:hAnsi="Times New Roman" w:eastAsia="宋体" w:cs="Times New Roman"/>
                      <w:color w:val="auto"/>
                      <w:spacing w:val="7"/>
                      <w:sz w:val="21"/>
                      <w:szCs w:val="21"/>
                      <w:lang w:val="en-US" w:eastAsia="zh-CN"/>
                    </w:rPr>
                    <w:t>2</w:t>
                  </w:r>
                  <w:r>
                    <w:rPr>
                      <w:rFonts w:hint="eastAsia" w:cs="Times New Roman"/>
                      <w:color w:val="auto"/>
                      <w:spacing w:val="7"/>
                      <w:sz w:val="21"/>
                      <w:szCs w:val="21"/>
                      <w:lang w:val="en-US" w:eastAsia="zh-CN"/>
                    </w:rPr>
                    <w:t>4</w:t>
                  </w:r>
                  <w:r>
                    <w:rPr>
                      <w:rFonts w:hint="default" w:ascii="Times New Roman" w:hAnsi="Times New Roman" w:eastAsia="宋体" w:cs="Times New Roman"/>
                      <w:color w:val="auto"/>
                      <w:spacing w:val="7"/>
                      <w:sz w:val="21"/>
                      <w:szCs w:val="21"/>
                      <w:lang w:val="en-US" w:eastAsia="zh-CN"/>
                    </w:rPr>
                    <w:t>0m，</w:t>
                  </w:r>
                  <w:r>
                    <w:rPr>
                      <w:rFonts w:hint="eastAsia" w:cs="Times New Roman" w:eastAsiaTheme="minorEastAsia"/>
                      <w:color w:val="auto"/>
                      <w:kern w:val="0"/>
                      <w:sz w:val="21"/>
                      <w:szCs w:val="21"/>
                      <w:lang w:val="en-US" w:eastAsia="zh-CN"/>
                    </w:rPr>
                    <w:t>非甲烷总烃、甲醇、甲苯、臭气浓度等废气收集处理设施，处理达标后由17m高排气筒有组织排放。经检测有组织和无组织大气污染物均可达标排放，对敏感点没有明显影响。</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hint="eastAsia" w:eastAsia="宋体"/>
                      <w:color w:val="auto"/>
                      <w:sz w:val="21"/>
                      <w:szCs w:val="21"/>
                      <w:lang w:val="en"/>
                    </w:rPr>
                    <w:t>贮存设施污染控制要求</w:t>
                  </w: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贮存设施应根据危险废物的形态、物理化学性质、包装形式和污染物迁移途径，采取必要的防</w:t>
                  </w:r>
                  <w:r>
                    <w:rPr>
                      <w:rFonts w:ascii="宋体" w:hAnsi="宋体" w:eastAsia="宋体" w:cs="宋体"/>
                      <w:color w:val="auto"/>
                      <w:sz w:val="21"/>
                      <w:szCs w:val="21"/>
                    </w:rPr>
                    <w:t xml:space="preserve"> </w:t>
                  </w:r>
                  <w:r>
                    <w:rPr>
                      <w:rFonts w:ascii="宋体" w:hAnsi="宋体" w:eastAsia="宋体" w:cs="宋体"/>
                      <w:color w:val="auto"/>
                      <w:spacing w:val="18"/>
                      <w:sz w:val="21"/>
                      <w:szCs w:val="21"/>
                    </w:rPr>
                    <w:t>风、</w:t>
                  </w:r>
                  <w:r>
                    <w:rPr>
                      <w:rFonts w:ascii="宋体" w:hAnsi="宋体" w:eastAsia="宋体" w:cs="宋体"/>
                      <w:color w:val="auto"/>
                      <w:spacing w:val="10"/>
                      <w:sz w:val="21"/>
                      <w:szCs w:val="21"/>
                    </w:rPr>
                    <w:t>防</w:t>
                  </w:r>
                  <w:r>
                    <w:rPr>
                      <w:rFonts w:ascii="宋体" w:hAnsi="宋体" w:eastAsia="宋体" w:cs="宋体"/>
                      <w:color w:val="auto"/>
                      <w:spacing w:val="9"/>
                      <w:sz w:val="21"/>
                      <w:szCs w:val="21"/>
                    </w:rPr>
                    <w:t>晒、防雨、防漏、防渗、防腐以及其他环境污染防治措施，不应露天堆放危险废物。</w:t>
                  </w:r>
                </w:p>
              </w:tc>
              <w:tc>
                <w:tcPr>
                  <w:tcW w:w="1676" w:type="pct"/>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eastAsia"/>
                      <w:color w:val="auto"/>
                      <w:sz w:val="21"/>
                      <w:szCs w:val="21"/>
                      <w:lang w:val="en-US" w:eastAsia="zh-CN"/>
                    </w:rPr>
                    <w:t>按照《危险废物贮存污染控制标准》（GB 18597-2023），规范建设现有和扩建的危险废物暂存间。</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28" w:lineRule="auto"/>
                    <w:ind w:left="2"/>
                    <w:rPr>
                      <w:rFonts w:ascii="宋体" w:hAnsi="宋体" w:eastAsia="宋体" w:cs="宋体"/>
                      <w:color w:val="auto"/>
                      <w:spacing w:val="9"/>
                      <w:sz w:val="21"/>
                      <w:szCs w:val="21"/>
                    </w:rPr>
                  </w:pPr>
                  <w:r>
                    <w:rPr>
                      <w:rFonts w:ascii="宋体" w:hAnsi="宋体" w:eastAsia="宋体" w:cs="宋体"/>
                      <w:color w:val="auto"/>
                      <w:spacing w:val="9"/>
                      <w:sz w:val="21"/>
                      <w:szCs w:val="21"/>
                    </w:rPr>
                    <w:t>贮存设施应根据危险废物的类别、数量、形态、物理化学性质和污染防治等要求设置必要的贮</w:t>
                  </w:r>
                  <w:r>
                    <w:rPr>
                      <w:rFonts w:ascii="宋体" w:hAnsi="宋体" w:eastAsia="宋体" w:cs="宋体"/>
                      <w:color w:val="auto"/>
                      <w:spacing w:val="10"/>
                      <w:sz w:val="21"/>
                      <w:szCs w:val="21"/>
                    </w:rPr>
                    <w:t>存</w:t>
                  </w:r>
                  <w:r>
                    <w:rPr>
                      <w:rFonts w:ascii="宋体" w:hAnsi="宋体" w:eastAsia="宋体" w:cs="宋体"/>
                      <w:color w:val="auto"/>
                      <w:spacing w:val="9"/>
                      <w:sz w:val="21"/>
                      <w:szCs w:val="21"/>
                    </w:rPr>
                    <w:t>分区，避免不相容的危险废物接触、混合。</w:t>
                  </w:r>
                </w:p>
              </w:tc>
              <w:tc>
                <w:tcPr>
                  <w:tcW w:w="1676"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6" w:line="257" w:lineRule="auto"/>
                    <w:ind w:left="4" w:right="20" w:hanging="2"/>
                    <w:rPr>
                      <w:color w:val="auto"/>
                      <w:sz w:val="21"/>
                      <w:szCs w:val="21"/>
                    </w:rPr>
                  </w:pPr>
                  <w:r>
                    <w:rPr>
                      <w:color w:val="auto"/>
                      <w:sz w:val="21"/>
                      <w:szCs w:val="21"/>
                    </w:rPr>
                    <w:t>贮存设施或贮存分区内地面、墙面裙脚、堵截泄漏的围堰、接触危险废物的隔板和墙体等应采 用坚固的材料建造，表面无裂缝。</w:t>
                  </w:r>
                </w:p>
              </w:tc>
              <w:tc>
                <w:tcPr>
                  <w:tcW w:w="1676"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7" w:line="276" w:lineRule="auto"/>
                    <w:ind w:left="2" w:right="20"/>
                    <w:rPr>
                      <w:color w:val="auto"/>
                      <w:sz w:val="21"/>
                      <w:szCs w:val="21"/>
                    </w:rPr>
                  </w:pPr>
                  <w:r>
                    <w:rPr>
                      <w:rFonts w:ascii="宋体" w:hAnsi="宋体" w:eastAsia="宋体" w:cs="宋体"/>
                      <w:color w:val="auto"/>
                      <w:spacing w:val="9"/>
                      <w:sz w:val="21"/>
                      <w:szCs w:val="21"/>
                    </w:rPr>
                    <w:t>贮存设施地面与裙脚应采取表面防渗措施；表面防渗材料应与所接触的物料或污染物相容，可</w:t>
                  </w:r>
                  <w:r>
                    <w:rPr>
                      <w:rFonts w:ascii="宋体" w:hAnsi="宋体" w:eastAsia="宋体" w:cs="宋体"/>
                      <w:color w:val="auto"/>
                      <w:sz w:val="21"/>
                      <w:szCs w:val="21"/>
                    </w:rPr>
                    <w:t xml:space="preserve"> </w:t>
                  </w:r>
                  <w:r>
                    <w:rPr>
                      <w:rFonts w:ascii="宋体" w:hAnsi="宋体" w:eastAsia="宋体" w:cs="宋体"/>
                      <w:color w:val="auto"/>
                      <w:spacing w:val="14"/>
                      <w:sz w:val="21"/>
                      <w:szCs w:val="21"/>
                    </w:rPr>
                    <w:t>采用抗渗</w:t>
                  </w:r>
                  <w:r>
                    <w:rPr>
                      <w:rFonts w:ascii="宋体" w:hAnsi="宋体" w:eastAsia="宋体" w:cs="宋体"/>
                      <w:color w:val="auto"/>
                      <w:spacing w:val="7"/>
                      <w:sz w:val="21"/>
                      <w:szCs w:val="21"/>
                    </w:rPr>
                    <w:t>混凝土、高密度聚乙烯膜、钠基膨润土防水毯或其他防渗性能等效的材料。贮存的危险废物直</w:t>
                  </w:r>
                  <w:r>
                    <w:rPr>
                      <w:rFonts w:ascii="宋体" w:hAnsi="宋体" w:eastAsia="宋体" w:cs="宋体"/>
                      <w:color w:val="auto"/>
                      <w:sz w:val="21"/>
                      <w:szCs w:val="21"/>
                    </w:rPr>
                    <w:t xml:space="preserve"> </w:t>
                  </w:r>
                  <w:r>
                    <w:rPr>
                      <w:rFonts w:ascii="宋体" w:hAnsi="宋体" w:eastAsia="宋体" w:cs="宋体"/>
                      <w:color w:val="auto"/>
                      <w:spacing w:val="8"/>
                      <w:sz w:val="21"/>
                      <w:szCs w:val="21"/>
                    </w:rPr>
                    <w:t>接接</w:t>
                  </w:r>
                  <w:r>
                    <w:rPr>
                      <w:rFonts w:ascii="宋体" w:hAnsi="宋体" w:eastAsia="宋体" w:cs="宋体"/>
                      <w:color w:val="auto"/>
                      <w:spacing w:val="5"/>
                      <w:sz w:val="21"/>
                      <w:szCs w:val="21"/>
                    </w:rPr>
                    <w:t>触</w:t>
                  </w:r>
                  <w:r>
                    <w:rPr>
                      <w:rFonts w:ascii="宋体" w:hAnsi="宋体" w:eastAsia="宋体" w:cs="宋体"/>
                      <w:color w:val="auto"/>
                      <w:spacing w:val="4"/>
                      <w:sz w:val="21"/>
                      <w:szCs w:val="21"/>
                    </w:rPr>
                    <w:t>地面的，还应进行基础防渗，防渗层为至少</w:t>
                  </w:r>
                  <w:r>
                    <w:rPr>
                      <w:rFonts w:ascii="Times New Roman" w:hAnsi="Times New Roman" w:eastAsia="Times New Roman" w:cs="Times New Roman"/>
                      <w:color w:val="auto"/>
                      <w:spacing w:val="4"/>
                      <w:sz w:val="21"/>
                      <w:szCs w:val="21"/>
                    </w:rPr>
                    <w:t xml:space="preserve">1 </w:t>
                  </w:r>
                  <w:r>
                    <w:rPr>
                      <w:rFonts w:ascii="Times New Roman" w:hAnsi="Times New Roman" w:eastAsia="Times New Roman" w:cs="Times New Roman"/>
                      <w:color w:val="auto"/>
                      <w:sz w:val="21"/>
                      <w:szCs w:val="21"/>
                    </w:rPr>
                    <w:t>m</w:t>
                  </w:r>
                  <w:r>
                    <w:rPr>
                      <w:rFonts w:ascii="Times New Roman" w:hAnsi="Times New Roman" w:eastAsia="Times New Roman" w:cs="Times New Roman"/>
                      <w:color w:val="auto"/>
                      <w:spacing w:val="4"/>
                      <w:sz w:val="21"/>
                      <w:szCs w:val="21"/>
                    </w:rPr>
                    <w:t xml:space="preserve"> </w:t>
                  </w:r>
                  <w:r>
                    <w:rPr>
                      <w:rFonts w:ascii="宋体" w:hAnsi="宋体" w:eastAsia="宋体" w:cs="宋体"/>
                      <w:color w:val="auto"/>
                      <w:spacing w:val="4"/>
                      <w:sz w:val="21"/>
                      <w:szCs w:val="21"/>
                    </w:rPr>
                    <w:t>厚黏土层 (渗透系数不大于</w:t>
                  </w:r>
                  <w:r>
                    <w:rPr>
                      <w:rFonts w:ascii="Times New Roman" w:hAnsi="Times New Roman" w:eastAsia="Times New Roman" w:cs="Times New Roman"/>
                      <w:color w:val="auto"/>
                      <w:spacing w:val="4"/>
                      <w:sz w:val="21"/>
                      <w:szCs w:val="21"/>
                    </w:rPr>
                    <w:t>10</w:t>
                  </w:r>
                  <w:r>
                    <w:rPr>
                      <w:rFonts w:ascii="Times New Roman" w:hAnsi="Times New Roman" w:eastAsia="Times New Roman" w:cs="Times New Roman"/>
                      <w:color w:val="auto"/>
                      <w:spacing w:val="4"/>
                      <w:position w:val="6"/>
                      <w:sz w:val="21"/>
                      <w:szCs w:val="21"/>
                    </w:rPr>
                    <w:t>-</w:t>
                  </w:r>
                  <w:r>
                    <w:rPr>
                      <w:rFonts w:hint="eastAsia" w:eastAsia="宋体" w:cs="Times New Roman"/>
                      <w:color w:val="auto"/>
                      <w:spacing w:val="4"/>
                      <w:position w:val="6"/>
                      <w:sz w:val="21"/>
                      <w:szCs w:val="21"/>
                      <w:lang w:val="en-US" w:eastAsia="zh-CN"/>
                    </w:rPr>
                    <w:t>7</w:t>
                  </w:r>
                  <w:r>
                    <w:rPr>
                      <w:rFonts w:ascii="Times New Roman" w:hAnsi="Times New Roman" w:eastAsia="Times New Roman" w:cs="Times New Roman"/>
                      <w:color w:val="auto"/>
                      <w:spacing w:val="4"/>
                      <w:position w:val="6"/>
                      <w:sz w:val="21"/>
                      <w:szCs w:val="21"/>
                    </w:rPr>
                    <w:t xml:space="preserve"> </w:t>
                  </w:r>
                  <w:r>
                    <w:rPr>
                      <w:rFonts w:ascii="Times New Roman" w:hAnsi="Times New Roman" w:eastAsia="Times New Roman" w:cs="Times New Roman"/>
                      <w:color w:val="auto"/>
                      <w:sz w:val="21"/>
                      <w:szCs w:val="21"/>
                    </w:rPr>
                    <w:t>cm</w:t>
                  </w:r>
                  <w:r>
                    <w:rPr>
                      <w:rFonts w:ascii="Times New Roman" w:hAnsi="Times New Roman" w:eastAsia="Times New Roman" w:cs="Times New Roman"/>
                      <w:color w:val="auto"/>
                      <w:spacing w:val="4"/>
                      <w:sz w:val="21"/>
                      <w:szCs w:val="21"/>
                    </w:rPr>
                    <w:t>/</w:t>
                  </w:r>
                  <w:r>
                    <w:rPr>
                      <w:rFonts w:ascii="Times New Roman" w:hAnsi="Times New Roman" w:eastAsia="Times New Roman" w:cs="Times New Roman"/>
                      <w:color w:val="auto"/>
                      <w:sz w:val="21"/>
                      <w:szCs w:val="21"/>
                    </w:rPr>
                    <w:t>s</w:t>
                  </w:r>
                  <w:r>
                    <w:rPr>
                      <w:rFonts w:ascii="Times New Roman" w:hAnsi="Times New Roman" w:eastAsia="Times New Roman" w:cs="Times New Roman"/>
                      <w:color w:val="auto"/>
                      <w:spacing w:val="4"/>
                      <w:sz w:val="21"/>
                      <w:szCs w:val="21"/>
                    </w:rPr>
                    <w:t xml:space="preserve"> </w:t>
                  </w:r>
                  <w:r>
                    <w:rPr>
                      <w:rFonts w:ascii="宋体" w:hAnsi="宋体" w:eastAsia="宋体" w:cs="宋体"/>
                      <w:color w:val="auto"/>
                      <w:spacing w:val="4"/>
                      <w:sz w:val="21"/>
                      <w:szCs w:val="21"/>
                    </w:rPr>
                    <w:t>) ，或至少</w:t>
                  </w:r>
                  <w:r>
                    <w:rPr>
                      <w:rFonts w:ascii="Times New Roman" w:hAnsi="Times New Roman" w:eastAsia="Times New Roman" w:cs="Times New Roman"/>
                      <w:color w:val="auto"/>
                      <w:spacing w:val="10"/>
                      <w:position w:val="1"/>
                      <w:sz w:val="21"/>
                      <w:szCs w:val="21"/>
                    </w:rPr>
                    <w:t>2</w:t>
                  </w:r>
                  <w:r>
                    <w:rPr>
                      <w:rFonts w:ascii="Times New Roman" w:hAnsi="Times New Roman" w:eastAsia="Times New Roman" w:cs="Times New Roman"/>
                      <w:color w:val="auto"/>
                      <w:position w:val="1"/>
                      <w:sz w:val="21"/>
                      <w:szCs w:val="21"/>
                    </w:rPr>
                    <w:t>mm</w:t>
                  </w:r>
                  <w:r>
                    <w:rPr>
                      <w:rFonts w:ascii="宋体" w:hAnsi="宋体" w:eastAsia="宋体" w:cs="宋体"/>
                      <w:color w:val="auto"/>
                      <w:spacing w:val="10"/>
                      <w:position w:val="1"/>
                      <w:sz w:val="21"/>
                      <w:szCs w:val="21"/>
                    </w:rPr>
                    <w:t>厚高</w:t>
                  </w:r>
                  <w:r>
                    <w:rPr>
                      <w:rFonts w:ascii="宋体" w:hAnsi="宋体" w:eastAsia="宋体" w:cs="宋体"/>
                      <w:color w:val="auto"/>
                      <w:spacing w:val="6"/>
                      <w:position w:val="1"/>
                      <w:sz w:val="21"/>
                      <w:szCs w:val="21"/>
                    </w:rPr>
                    <w:t>密</w:t>
                  </w:r>
                  <w:r>
                    <w:rPr>
                      <w:rFonts w:ascii="宋体" w:hAnsi="宋体" w:eastAsia="宋体" w:cs="宋体"/>
                      <w:color w:val="auto"/>
                      <w:spacing w:val="5"/>
                      <w:position w:val="1"/>
                      <w:sz w:val="21"/>
                      <w:szCs w:val="21"/>
                    </w:rPr>
                    <w:t>度聚乙烯膜等人工防渗材料(渗透系数不大于</w:t>
                  </w:r>
                  <w:r>
                    <w:rPr>
                      <w:rFonts w:ascii="Times New Roman" w:hAnsi="Times New Roman" w:eastAsia="Times New Roman" w:cs="Times New Roman"/>
                      <w:color w:val="auto"/>
                      <w:spacing w:val="5"/>
                      <w:position w:val="1"/>
                      <w:sz w:val="21"/>
                      <w:szCs w:val="21"/>
                    </w:rPr>
                    <w:t>10</w:t>
                  </w:r>
                  <w:r>
                    <w:rPr>
                      <w:rFonts w:hint="eastAsia" w:eastAsia="宋体" w:cs="Times New Roman"/>
                      <w:color w:val="auto"/>
                      <w:spacing w:val="5"/>
                      <w:position w:val="7"/>
                      <w:sz w:val="21"/>
                      <w:szCs w:val="21"/>
                      <w:vertAlign w:val="superscript"/>
                      <w:lang w:val="en-US" w:eastAsia="zh-CN"/>
                    </w:rPr>
                    <w:t>-10</w:t>
                  </w:r>
                  <w:r>
                    <w:rPr>
                      <w:rFonts w:ascii="Times New Roman" w:hAnsi="Times New Roman" w:eastAsia="Times New Roman" w:cs="Times New Roman"/>
                      <w:color w:val="auto"/>
                      <w:spacing w:val="5"/>
                      <w:position w:val="7"/>
                      <w:sz w:val="21"/>
                      <w:szCs w:val="21"/>
                    </w:rPr>
                    <w:t xml:space="preserve"> </w:t>
                  </w:r>
                  <w:r>
                    <w:rPr>
                      <w:rFonts w:ascii="Times New Roman" w:hAnsi="Times New Roman" w:eastAsia="Times New Roman" w:cs="Times New Roman"/>
                      <w:color w:val="auto"/>
                      <w:position w:val="1"/>
                      <w:sz w:val="21"/>
                      <w:szCs w:val="21"/>
                    </w:rPr>
                    <w:t>cm</w:t>
                  </w:r>
                  <w:r>
                    <w:rPr>
                      <w:rFonts w:ascii="Times New Roman" w:hAnsi="Times New Roman" w:eastAsia="Times New Roman" w:cs="Times New Roman"/>
                      <w:color w:val="auto"/>
                      <w:spacing w:val="5"/>
                      <w:position w:val="1"/>
                      <w:sz w:val="21"/>
                      <w:szCs w:val="21"/>
                    </w:rPr>
                    <w:t>/</w:t>
                  </w:r>
                  <w:r>
                    <w:rPr>
                      <w:rFonts w:ascii="Times New Roman" w:hAnsi="Times New Roman" w:eastAsia="Times New Roman" w:cs="Times New Roman"/>
                      <w:color w:val="auto"/>
                      <w:position w:val="1"/>
                      <w:sz w:val="21"/>
                      <w:szCs w:val="21"/>
                    </w:rPr>
                    <w:t>s</w:t>
                  </w:r>
                  <w:r>
                    <w:rPr>
                      <w:rFonts w:ascii="Times New Roman" w:hAnsi="Times New Roman" w:eastAsia="Times New Roman" w:cs="Times New Roman"/>
                      <w:color w:val="auto"/>
                      <w:spacing w:val="5"/>
                      <w:position w:val="1"/>
                      <w:sz w:val="21"/>
                      <w:szCs w:val="21"/>
                    </w:rPr>
                    <w:t xml:space="preserve"> </w:t>
                  </w:r>
                  <w:r>
                    <w:rPr>
                      <w:rFonts w:ascii="宋体" w:hAnsi="宋体" w:eastAsia="宋体" w:cs="宋体"/>
                      <w:color w:val="auto"/>
                      <w:spacing w:val="5"/>
                      <w:position w:val="1"/>
                      <w:sz w:val="21"/>
                      <w:szCs w:val="21"/>
                    </w:rPr>
                    <w:t>) ，或其他防渗性能等效的材料。</w:t>
                  </w:r>
                </w:p>
              </w:tc>
              <w:tc>
                <w:tcPr>
                  <w:tcW w:w="1676"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8" w:line="268" w:lineRule="auto"/>
                    <w:ind w:left="2" w:right="20"/>
                    <w:rPr>
                      <w:color w:val="auto"/>
                      <w:sz w:val="21"/>
                      <w:szCs w:val="21"/>
                    </w:rPr>
                  </w:pPr>
                  <w:r>
                    <w:rPr>
                      <w:rFonts w:ascii="黑体" w:hAnsi="黑体" w:eastAsia="黑体" w:cs="黑体"/>
                      <w:color w:val="auto"/>
                      <w:spacing w:val="9"/>
                      <w:sz w:val="21"/>
                      <w:szCs w:val="21"/>
                    </w:rPr>
                    <w:t xml:space="preserve"> </w:t>
                  </w:r>
                  <w:r>
                    <w:rPr>
                      <w:rFonts w:ascii="宋体" w:hAnsi="宋体" w:eastAsia="宋体" w:cs="宋体"/>
                      <w:color w:val="auto"/>
                      <w:spacing w:val="9"/>
                      <w:sz w:val="21"/>
                      <w:szCs w:val="21"/>
                    </w:rPr>
                    <w:t>同一贮存设施宜采用相同的防渗、防腐工艺 (包括防渗、防腐结构或材料) ，防渗、防腐材</w:t>
                  </w:r>
                  <w:r>
                    <w:rPr>
                      <w:rFonts w:ascii="宋体" w:hAnsi="宋体" w:eastAsia="宋体" w:cs="宋体"/>
                      <w:color w:val="auto"/>
                      <w:spacing w:val="4"/>
                      <w:sz w:val="21"/>
                      <w:szCs w:val="21"/>
                    </w:rPr>
                    <w:t>料</w:t>
                  </w:r>
                  <w:r>
                    <w:rPr>
                      <w:rFonts w:ascii="宋体" w:hAnsi="宋体" w:eastAsia="宋体" w:cs="宋体"/>
                      <w:color w:val="auto"/>
                      <w:sz w:val="21"/>
                      <w:szCs w:val="21"/>
                    </w:rPr>
                    <w:t xml:space="preserve"> </w:t>
                  </w:r>
                  <w:r>
                    <w:rPr>
                      <w:rFonts w:ascii="宋体" w:hAnsi="宋体" w:eastAsia="宋体" w:cs="宋体"/>
                      <w:color w:val="auto"/>
                      <w:spacing w:val="14"/>
                      <w:sz w:val="21"/>
                      <w:szCs w:val="21"/>
                    </w:rPr>
                    <w:t>应覆盖所</w:t>
                  </w:r>
                  <w:r>
                    <w:rPr>
                      <w:rFonts w:ascii="宋体" w:hAnsi="宋体" w:eastAsia="宋体" w:cs="宋体"/>
                      <w:color w:val="auto"/>
                      <w:spacing w:val="8"/>
                      <w:sz w:val="21"/>
                      <w:szCs w:val="21"/>
                    </w:rPr>
                    <w:t>有</w:t>
                  </w:r>
                  <w:r>
                    <w:rPr>
                      <w:rFonts w:ascii="宋体" w:hAnsi="宋体" w:eastAsia="宋体" w:cs="宋体"/>
                      <w:color w:val="auto"/>
                      <w:spacing w:val="7"/>
                      <w:sz w:val="21"/>
                      <w:szCs w:val="21"/>
                    </w:rPr>
                    <w:t>可能与废物及其渗滤液、渗漏液等接触的构筑物表面；采用不同防渗、防腐工艺应分别建设</w:t>
                  </w:r>
                  <w:r>
                    <w:rPr>
                      <w:rFonts w:ascii="宋体" w:hAnsi="宋体" w:eastAsia="宋体" w:cs="宋体"/>
                      <w:color w:val="auto"/>
                      <w:spacing w:val="6"/>
                      <w:sz w:val="21"/>
                      <w:szCs w:val="21"/>
                    </w:rPr>
                    <w:t>贮存分区</w:t>
                  </w:r>
                  <w:r>
                    <w:rPr>
                      <w:rFonts w:ascii="宋体" w:hAnsi="宋体" w:eastAsia="宋体" w:cs="宋体"/>
                      <w:color w:val="auto"/>
                      <w:spacing w:val="5"/>
                      <w:sz w:val="21"/>
                      <w:szCs w:val="21"/>
                    </w:rPr>
                    <w:t>。</w:t>
                  </w:r>
                </w:p>
              </w:tc>
              <w:tc>
                <w:tcPr>
                  <w:tcW w:w="1676"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pStyle w:val="4"/>
                    <w:rPr>
                      <w:color w:val="auto"/>
                      <w:sz w:val="21"/>
                      <w:szCs w:val="21"/>
                    </w:rPr>
                  </w:pPr>
                  <w:r>
                    <w:rPr>
                      <w:rFonts w:ascii="宋体" w:hAnsi="宋体" w:eastAsia="宋体" w:cs="宋体"/>
                      <w:color w:val="auto"/>
                      <w:spacing w:val="8"/>
                      <w:sz w:val="21"/>
                      <w:szCs w:val="21"/>
                    </w:rPr>
                    <w:t>贮存设施应采取技术和管理措施防止无关人员进入。</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eastAsia" w:ascii="宋体" w:hAnsi="宋体" w:eastAsia="宋体" w:cs="宋体"/>
                      <w:color w:val="auto"/>
                      <w:spacing w:val="7"/>
                      <w:sz w:val="21"/>
                      <w:szCs w:val="21"/>
                      <w:lang w:eastAsia="zh-CN"/>
                    </w:rPr>
                    <w:t>实施</w:t>
                  </w:r>
                  <w:r>
                    <w:rPr>
                      <w:rFonts w:hint="eastAsia" w:ascii="宋体" w:hAnsi="宋体" w:cs="宋体"/>
                      <w:color w:val="auto"/>
                      <w:spacing w:val="7"/>
                      <w:sz w:val="21"/>
                      <w:szCs w:val="21"/>
                      <w:lang w:eastAsia="zh-CN"/>
                    </w:rPr>
                    <w:t>专人封闭</w:t>
                  </w:r>
                  <w:r>
                    <w:rPr>
                      <w:rFonts w:hint="eastAsia" w:ascii="宋体" w:hAnsi="宋体" w:eastAsia="宋体" w:cs="宋体"/>
                      <w:color w:val="auto"/>
                      <w:spacing w:val="7"/>
                      <w:sz w:val="21"/>
                      <w:szCs w:val="21"/>
                      <w:lang w:eastAsia="zh-CN"/>
                    </w:rPr>
                    <w:t>管理。</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ascii="宋体" w:hAnsi="宋体" w:eastAsia="宋体" w:cs="宋体"/>
                      <w:color w:val="auto"/>
                      <w:spacing w:val="8"/>
                      <w:sz w:val="21"/>
                      <w:szCs w:val="21"/>
                      <w:lang w:val="en-US" w:eastAsia="zh-CN"/>
                    </w:rPr>
                    <w:t>贮存库</w:t>
                  </w:r>
                </w:p>
              </w:tc>
              <w:tc>
                <w:tcPr>
                  <w:tcW w:w="1054" w:type="pct"/>
                  <w:gridSpan w:val="2"/>
                  <w:tcBorders>
                    <w:tl2br w:val="nil"/>
                    <w:tr2bl w:val="nil"/>
                  </w:tcBorders>
                  <w:vAlign w:val="center"/>
                </w:tcPr>
                <w:p>
                  <w:pPr>
                    <w:pStyle w:val="4"/>
                    <w:rPr>
                      <w:rFonts w:ascii="宋体" w:hAnsi="宋体" w:eastAsia="宋体" w:cs="宋体"/>
                      <w:color w:val="auto"/>
                      <w:spacing w:val="8"/>
                      <w:sz w:val="21"/>
                      <w:szCs w:val="21"/>
                    </w:rPr>
                  </w:pPr>
                  <w:r>
                    <w:rPr>
                      <w:rFonts w:hint="eastAsia" w:ascii="宋体" w:hAnsi="宋体" w:eastAsia="宋体" w:cs="宋体"/>
                      <w:color w:val="auto"/>
                      <w:spacing w:val="8"/>
                      <w:sz w:val="21"/>
                      <w:szCs w:val="21"/>
                      <w:lang w:val="en-US" w:eastAsia="zh-CN"/>
                    </w:rPr>
                    <w:t xml:space="preserve">贮存库内不同贮存分区之间应采取隔离措施。隔离措施可根据危险废物特性采用过道、隔板或 </w:t>
                  </w:r>
                </w:p>
                <w:p>
                  <w:pPr>
                    <w:pStyle w:val="4"/>
                    <w:rPr>
                      <w:rFonts w:ascii="宋体" w:hAnsi="宋体" w:eastAsia="宋体" w:cs="宋体"/>
                      <w:color w:val="auto"/>
                      <w:spacing w:val="8"/>
                      <w:sz w:val="21"/>
                      <w:szCs w:val="21"/>
                    </w:rPr>
                  </w:pPr>
                  <w:r>
                    <w:rPr>
                      <w:rFonts w:hint="eastAsia" w:ascii="宋体" w:hAnsi="宋体" w:eastAsia="宋体" w:cs="宋体"/>
                      <w:color w:val="auto"/>
                      <w:spacing w:val="8"/>
                      <w:sz w:val="21"/>
                      <w:szCs w:val="21"/>
                      <w:lang w:val="en-US" w:eastAsia="zh-CN"/>
                    </w:rPr>
                    <w:t xml:space="preserve">隔墙等方式。 </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eastAsia"/>
                      <w:color w:val="auto"/>
                      <w:sz w:val="21"/>
                      <w:szCs w:val="21"/>
                      <w:lang w:val="en-US" w:eastAsia="zh-CN"/>
                    </w:rPr>
                    <w:t>按照《危险废物贮存污染控制标准》（GB 18597-2023），规范建设现有和扩建的危险废物暂存间，设置分区隔墙，将不同类型危废按照理化性质进行分区，单独贮存。</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pStyle w:val="4"/>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lang w:val="en-US" w:eastAsia="zh-CN"/>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tc>
              <w:tc>
                <w:tcPr>
                  <w:tcW w:w="1676" w:type="pct"/>
                  <w:gridSpan w:val="2"/>
                  <w:tcBorders>
                    <w:tl2br w:val="nil"/>
                    <w:tr2bl w:val="nil"/>
                  </w:tcBorders>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280" w:lineRule="exact"/>
                    <w:jc w:val="both"/>
                    <w:rPr>
                      <w:rFonts w:hint="default" w:ascii="Times New Roman" w:hAnsi="Times New Roman" w:eastAsia="宋体" w:cs="Times New Roman"/>
                      <w:color w:val="auto"/>
                      <w:spacing w:val="8"/>
                      <w:sz w:val="21"/>
                      <w:szCs w:val="21"/>
                      <w:lang w:val="en-US" w:eastAsia="zh-CN"/>
                    </w:rPr>
                  </w:pPr>
                  <w:r>
                    <w:rPr>
                      <w:rFonts w:hint="default" w:ascii="Times New Roman" w:hAnsi="Times New Roman" w:cs="Times New Roman"/>
                      <w:color w:val="auto"/>
                      <w:spacing w:val="8"/>
                      <w:sz w:val="21"/>
                      <w:szCs w:val="21"/>
                      <w:lang w:val="en-US" w:eastAsia="zh-CN"/>
                    </w:rPr>
                    <w:t>现有危废暂存间承担液态危险废物贮存，现有危废暂存间，设置了导流槽等</w:t>
                  </w:r>
                  <w:r>
                    <w:rPr>
                      <w:rFonts w:hint="default" w:ascii="Times New Roman" w:hAnsi="Times New Roman" w:eastAsia="宋体" w:cs="Times New Roman"/>
                      <w:color w:val="auto"/>
                      <w:spacing w:val="8"/>
                      <w:sz w:val="21"/>
                      <w:szCs w:val="21"/>
                      <w:lang w:val="en-US" w:eastAsia="zh-CN"/>
                    </w:rPr>
                    <w:t>堵截设施，最小容积不低于贮存区域</w:t>
                  </w:r>
                  <w:r>
                    <w:rPr>
                      <w:rFonts w:hint="default" w:ascii="Times New Roman" w:hAnsi="Times New Roman" w:cs="Times New Roman"/>
                      <w:color w:val="auto"/>
                      <w:spacing w:val="8"/>
                      <w:sz w:val="21"/>
                      <w:szCs w:val="21"/>
                      <w:lang w:val="en-US" w:eastAsia="zh-CN"/>
                    </w:rPr>
                    <w:t>贮存周期内</w:t>
                  </w:r>
                  <w:r>
                    <w:rPr>
                      <w:rFonts w:hint="default" w:ascii="Times New Roman" w:hAnsi="Times New Roman" w:eastAsia="宋体" w:cs="Times New Roman"/>
                      <w:color w:val="auto"/>
                      <w:spacing w:val="8"/>
                      <w:sz w:val="21"/>
                      <w:szCs w:val="21"/>
                      <w:lang w:val="en-US" w:eastAsia="zh-CN"/>
                    </w:rPr>
                    <w:t>最大液态废物容器容积或液态废物总储量1/10；</w:t>
                  </w:r>
                </w:p>
                <w:p>
                  <w:pPr>
                    <w:keepNext w:val="0"/>
                    <w:keepLines w:val="0"/>
                    <w:pageBreakBefore w:val="0"/>
                    <w:widowControl w:val="0"/>
                    <w:numPr>
                      <w:ilvl w:val="0"/>
                      <w:numId w:val="4"/>
                    </w:numPr>
                    <w:kinsoku/>
                    <w:wordWrap/>
                    <w:overflowPunct/>
                    <w:topLinePunct w:val="0"/>
                    <w:autoSpaceDE/>
                    <w:autoSpaceDN/>
                    <w:bidi w:val="0"/>
                    <w:adjustRightInd/>
                    <w:snapToGrid/>
                    <w:spacing w:line="280" w:lineRule="exact"/>
                    <w:jc w:val="both"/>
                    <w:rPr>
                      <w:rFonts w:hint="default" w:ascii="Times New Roman" w:hAnsi="Times New Roman" w:eastAsia="宋体" w:cs="Times New Roman"/>
                      <w:color w:val="auto"/>
                      <w:spacing w:val="7"/>
                      <w:sz w:val="21"/>
                      <w:szCs w:val="21"/>
                      <w:lang w:eastAsia="zh-CN"/>
                    </w:rPr>
                  </w:pPr>
                  <w:r>
                    <w:rPr>
                      <w:rFonts w:hint="eastAsia" w:ascii="Times New Roman" w:hAnsi="Times New Roman" w:cs="Times New Roman"/>
                      <w:color w:val="auto"/>
                      <w:spacing w:val="8"/>
                      <w:sz w:val="21"/>
                      <w:szCs w:val="21"/>
                      <w:lang w:val="en-US" w:eastAsia="zh-CN"/>
                    </w:rPr>
                    <w:t>本次扩建</w:t>
                  </w:r>
                  <w:r>
                    <w:rPr>
                      <w:rFonts w:hint="default" w:ascii="Times New Roman" w:hAnsi="Times New Roman" w:cs="Times New Roman"/>
                      <w:color w:val="auto"/>
                      <w:spacing w:val="8"/>
                      <w:sz w:val="21"/>
                      <w:szCs w:val="21"/>
                      <w:lang w:val="en-US" w:eastAsia="zh-CN"/>
                    </w:rPr>
                    <w:t>危废暂存间</w:t>
                  </w:r>
                  <w:r>
                    <w:rPr>
                      <w:rFonts w:hint="eastAsia" w:ascii="Times New Roman" w:hAnsi="Times New Roman" w:cs="Times New Roman"/>
                      <w:color w:val="auto"/>
                      <w:spacing w:val="8"/>
                      <w:sz w:val="21"/>
                      <w:szCs w:val="21"/>
                      <w:lang w:val="en-US" w:eastAsia="zh-CN"/>
                    </w:rPr>
                    <w:t>按照要求，建设</w:t>
                  </w:r>
                  <w:r>
                    <w:rPr>
                      <w:rFonts w:hint="default" w:ascii="Times New Roman" w:hAnsi="Times New Roman" w:cs="Times New Roman"/>
                      <w:color w:val="auto"/>
                      <w:spacing w:val="8"/>
                      <w:sz w:val="21"/>
                      <w:szCs w:val="21"/>
                      <w:lang w:val="en-US" w:eastAsia="zh-CN"/>
                    </w:rPr>
                    <w:t>导流槽等</w:t>
                  </w:r>
                  <w:r>
                    <w:rPr>
                      <w:rFonts w:hint="default" w:ascii="Times New Roman" w:hAnsi="Times New Roman" w:eastAsia="宋体" w:cs="Times New Roman"/>
                      <w:color w:val="auto"/>
                      <w:spacing w:val="8"/>
                      <w:sz w:val="21"/>
                      <w:szCs w:val="21"/>
                      <w:lang w:val="en-US" w:eastAsia="zh-CN"/>
                    </w:rPr>
                    <w:t>堵截设施，最小容积不低于贮存区域</w:t>
                  </w:r>
                  <w:r>
                    <w:rPr>
                      <w:rFonts w:hint="default" w:ascii="Times New Roman" w:hAnsi="Times New Roman" w:cs="Times New Roman"/>
                      <w:color w:val="auto"/>
                      <w:spacing w:val="8"/>
                      <w:sz w:val="21"/>
                      <w:szCs w:val="21"/>
                      <w:lang w:val="en-US" w:eastAsia="zh-CN"/>
                    </w:rPr>
                    <w:t>贮存周期内</w:t>
                  </w:r>
                  <w:r>
                    <w:rPr>
                      <w:rFonts w:hint="default" w:ascii="Times New Roman" w:hAnsi="Times New Roman" w:eastAsia="宋体" w:cs="Times New Roman"/>
                      <w:color w:val="auto"/>
                      <w:spacing w:val="8"/>
                      <w:sz w:val="21"/>
                      <w:szCs w:val="21"/>
                      <w:lang w:val="en-US" w:eastAsia="zh-CN"/>
                    </w:rPr>
                    <w:t>最大液态废物容器容积或液态废物总储量1/10</w:t>
                  </w:r>
                  <w:r>
                    <w:rPr>
                      <w:rFonts w:hint="eastAsia" w:ascii="Times New Roman" w:hAnsi="Times New Roman" w:cs="Times New Roman"/>
                      <w:color w:val="auto"/>
                      <w:spacing w:val="8"/>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226" w:firstLineChars="100"/>
                    <w:jc w:val="both"/>
                    <w:rPr>
                      <w:rFonts w:hint="default" w:ascii="Times New Roman" w:hAnsi="Times New Roman" w:eastAsia="宋体" w:cs="Times New Roman"/>
                      <w:color w:val="auto"/>
                      <w:spacing w:val="7"/>
                      <w:sz w:val="21"/>
                      <w:szCs w:val="21"/>
                      <w:lang w:eastAsia="zh-CN"/>
                    </w:rPr>
                  </w:pPr>
                  <w:r>
                    <w:rPr>
                      <w:rFonts w:hint="eastAsia" w:cs="Times New Roman"/>
                      <w:color w:val="auto"/>
                      <w:spacing w:val="8"/>
                      <w:sz w:val="21"/>
                      <w:szCs w:val="21"/>
                      <w:lang w:val="en-US" w:eastAsia="zh-CN"/>
                    </w:rPr>
                    <w:t>同时，在此基础之上，配套依托渭南高新区海泰新型电子材料有限责任公司现有事故池，危废暂存间和污水站同时事故状态下，事故池仍然有138m</w:t>
                  </w:r>
                  <w:r>
                    <w:rPr>
                      <w:rFonts w:hint="eastAsia" w:cs="Times New Roman"/>
                      <w:color w:val="auto"/>
                      <w:spacing w:val="8"/>
                      <w:sz w:val="21"/>
                      <w:szCs w:val="21"/>
                      <w:vertAlign w:val="superscript"/>
                      <w:lang w:val="en-US" w:eastAsia="zh-CN"/>
                    </w:rPr>
                    <w:t>3</w:t>
                  </w:r>
                  <w:r>
                    <w:rPr>
                      <w:rFonts w:hint="eastAsia" w:cs="Times New Roman"/>
                      <w:color w:val="auto"/>
                      <w:spacing w:val="8"/>
                      <w:sz w:val="21"/>
                      <w:szCs w:val="21"/>
                      <w:lang w:val="en-US" w:eastAsia="zh-CN"/>
                    </w:rPr>
                    <w:t>的有效容积，可满足要求。</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pStyle w:val="4"/>
                    <w:rPr>
                      <w:rFonts w:ascii="宋体" w:hAnsi="宋体" w:eastAsia="宋体" w:cs="宋体"/>
                      <w:color w:val="auto"/>
                      <w:spacing w:val="8"/>
                      <w:sz w:val="21"/>
                      <w:szCs w:val="21"/>
                    </w:rPr>
                  </w:pPr>
                  <w:r>
                    <w:rPr>
                      <w:rFonts w:hint="eastAsia" w:ascii="宋体" w:hAnsi="宋体" w:eastAsia="宋体" w:cs="宋体"/>
                      <w:color w:val="auto"/>
                      <w:spacing w:val="8"/>
                      <w:sz w:val="21"/>
                      <w:szCs w:val="21"/>
                      <w:lang w:val="en-US" w:eastAsia="zh-CN"/>
                    </w:rPr>
                    <w:t>贮</w:t>
                  </w:r>
                  <w:r>
                    <w:rPr>
                      <w:rFonts w:hint="default" w:ascii="Times New Roman" w:hAnsi="Times New Roman" w:eastAsia="宋体" w:cs="Times New Roman"/>
                      <w:color w:val="auto"/>
                      <w:spacing w:val="8"/>
                      <w:sz w:val="21"/>
                      <w:szCs w:val="21"/>
                      <w:lang w:val="en-US" w:eastAsia="zh-CN"/>
                    </w:rPr>
                    <w:t>存易产生粉尘、VOCs、酸雾、有毒有害大气污染物和刺激性气味气体的危险废物贮存库，应设置气体收集装置和气体净化设施；气体净化设施的排气筒高度应符合GB 16297要求。</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宋体" w:hAnsi="宋体" w:eastAsia="宋体" w:cs="宋体"/>
                      <w:color w:val="auto"/>
                      <w:spacing w:val="7"/>
                      <w:sz w:val="21"/>
                      <w:szCs w:val="21"/>
                      <w:lang w:eastAsia="zh-CN"/>
                    </w:rPr>
                  </w:pPr>
                  <w:r>
                    <w:rPr>
                      <w:rFonts w:hint="default" w:ascii="Times New Roman" w:hAnsi="Times New Roman" w:eastAsia="宋体" w:cs="Times New Roman"/>
                      <w:color w:val="auto"/>
                      <w:spacing w:val="2"/>
                      <w:sz w:val="21"/>
                      <w:szCs w:val="21"/>
                    </w:rPr>
                    <w:t>本项目涉</w:t>
                  </w:r>
                  <w:r>
                    <w:rPr>
                      <w:rFonts w:hint="default" w:ascii="Times New Roman" w:hAnsi="Times New Roman" w:eastAsia="Times New Roman" w:cs="Times New Roman"/>
                      <w:color w:val="auto"/>
                      <w:sz w:val="21"/>
                      <w:szCs w:val="21"/>
                    </w:rPr>
                    <w:t>VOCs</w:t>
                  </w:r>
                  <w:r>
                    <w:rPr>
                      <w:rFonts w:hint="default" w:ascii="Times New Roman" w:hAnsi="Times New Roman" w:eastAsia="宋体" w:cs="Times New Roman"/>
                      <w:color w:val="auto"/>
                      <w:spacing w:val="7"/>
                      <w:sz w:val="21"/>
                      <w:szCs w:val="21"/>
                    </w:rPr>
                    <w:t>的</w:t>
                  </w:r>
                  <w:r>
                    <w:rPr>
                      <w:rFonts w:hint="default" w:ascii="Times New Roman" w:hAnsi="Times New Roman" w:eastAsia="宋体" w:cs="Times New Roman"/>
                      <w:color w:val="auto"/>
                      <w:spacing w:val="6"/>
                      <w:sz w:val="21"/>
                      <w:szCs w:val="21"/>
                    </w:rPr>
                    <w:t>危险废物为废</w:t>
                  </w:r>
                  <w:r>
                    <w:rPr>
                      <w:rFonts w:hint="default" w:ascii="Times New Roman" w:hAnsi="Times New Roman" w:eastAsia="宋体" w:cs="Times New Roman"/>
                      <w:color w:val="auto"/>
                      <w:spacing w:val="-4"/>
                      <w:sz w:val="21"/>
                      <w:szCs w:val="21"/>
                    </w:rPr>
                    <w:t>矿</w:t>
                  </w:r>
                  <w:r>
                    <w:rPr>
                      <w:rFonts w:hint="default" w:ascii="Times New Roman" w:hAnsi="Times New Roman" w:eastAsia="宋体" w:cs="Times New Roman"/>
                      <w:color w:val="auto"/>
                      <w:spacing w:val="-3"/>
                      <w:sz w:val="21"/>
                      <w:szCs w:val="21"/>
                    </w:rPr>
                    <w:t>物</w:t>
                  </w:r>
                  <w:r>
                    <w:rPr>
                      <w:rFonts w:hint="default" w:ascii="Times New Roman" w:hAnsi="Times New Roman" w:eastAsia="宋体" w:cs="Times New Roman"/>
                      <w:color w:val="auto"/>
                      <w:spacing w:val="-2"/>
                      <w:sz w:val="21"/>
                      <w:szCs w:val="21"/>
                    </w:rPr>
                    <w:t>油</w:t>
                  </w:r>
                  <w:r>
                    <w:rPr>
                      <w:rFonts w:hint="default" w:ascii="Times New Roman" w:hAnsi="Times New Roman" w:eastAsia="宋体" w:cs="Times New Roman"/>
                      <w:color w:val="auto"/>
                      <w:spacing w:val="-2"/>
                      <w:sz w:val="21"/>
                      <w:szCs w:val="21"/>
                      <w:lang w:eastAsia="zh-CN"/>
                    </w:rPr>
                    <w:t>和废有机溶剂等</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）+经活性炭吸附装置处理，由17m高排气筒排放</w:t>
                  </w:r>
                  <w:r>
                    <w:rPr>
                      <w:rFonts w:hint="default"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default" w:ascii="Times New Roman" w:hAnsi="Times New Roman" w:eastAsia="宋体" w:cs="Times New Roman"/>
                      <w:color w:val="auto"/>
                      <w:spacing w:val="-2"/>
                      <w:sz w:val="21"/>
                      <w:szCs w:val="21"/>
                      <w:lang w:val="en-US" w:eastAsia="zh-CN"/>
                    </w:rPr>
                    <w:t>符合要求</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hint="eastAsia" w:eastAsia="宋体"/>
                      <w:color w:val="auto"/>
                      <w:sz w:val="21"/>
                      <w:szCs w:val="21"/>
                      <w:lang w:val="en"/>
                    </w:rPr>
                    <w:t>贮存过程污染控制要求</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219" w:line="258" w:lineRule="auto"/>
                    <w:ind w:left="5" w:right="1" w:hanging="5"/>
                    <w:rPr>
                      <w:rFonts w:ascii="宋体" w:hAnsi="宋体" w:eastAsia="宋体" w:cs="宋体"/>
                      <w:color w:val="auto"/>
                      <w:sz w:val="21"/>
                      <w:szCs w:val="21"/>
                    </w:rPr>
                  </w:pPr>
                  <w:r>
                    <w:rPr>
                      <w:rFonts w:hint="eastAsia" w:ascii="宋体" w:hAnsi="宋体" w:eastAsia="宋体" w:cs="宋体"/>
                      <w:color w:val="auto"/>
                      <w:spacing w:val="8"/>
                      <w:sz w:val="21"/>
                      <w:szCs w:val="21"/>
                      <w:lang w:eastAsia="zh-CN"/>
                    </w:rPr>
                    <w:t>一般规定：</w:t>
                  </w:r>
                  <w:r>
                    <w:rPr>
                      <w:rFonts w:ascii="宋体" w:hAnsi="宋体" w:eastAsia="宋体" w:cs="宋体"/>
                      <w:color w:val="auto"/>
                      <w:spacing w:val="9"/>
                      <w:sz w:val="21"/>
                      <w:szCs w:val="21"/>
                    </w:rPr>
                    <w:t>在常温常压下不易水解、不易挥发的固态危险废物可分类堆放贮存，其他固态危险废物应装入</w:t>
                  </w:r>
                  <w:r>
                    <w:rPr>
                      <w:rFonts w:ascii="宋体" w:hAnsi="宋体" w:eastAsia="宋体" w:cs="宋体"/>
                      <w:color w:val="auto"/>
                      <w:spacing w:val="8"/>
                      <w:sz w:val="21"/>
                      <w:szCs w:val="21"/>
                    </w:rPr>
                    <w:t>容器或包装物内贮存</w:t>
                  </w:r>
                  <w:r>
                    <w:rPr>
                      <w:rFonts w:ascii="宋体" w:hAnsi="宋体" w:eastAsia="宋体" w:cs="宋体"/>
                      <w:color w:val="auto"/>
                      <w:spacing w:val="6"/>
                      <w:sz w:val="21"/>
                      <w:szCs w:val="21"/>
                    </w:rPr>
                    <w:t>。</w:t>
                  </w:r>
                </w:p>
                <w:p>
                  <w:pPr>
                    <w:spacing w:before="65" w:line="228" w:lineRule="auto"/>
                    <w:rPr>
                      <w:rFonts w:hint="default" w:ascii="Times New Roman" w:hAnsi="Times New Roman" w:eastAsia="宋体" w:cs="Times New Roman"/>
                      <w:color w:val="auto"/>
                      <w:sz w:val="21"/>
                      <w:szCs w:val="21"/>
                    </w:rPr>
                  </w:pPr>
                  <w:r>
                    <w:rPr>
                      <w:rFonts w:hint="default" w:ascii="Times New Roman" w:hAnsi="Times New Roman" w:eastAsia="黑体" w:cs="Times New Roman"/>
                      <w:color w:val="auto"/>
                      <w:spacing w:val="16"/>
                      <w:sz w:val="21"/>
                      <w:szCs w:val="21"/>
                      <w:lang w:val="en-US" w:eastAsia="zh-CN"/>
                    </w:rPr>
                    <w:t>1、</w:t>
                  </w:r>
                  <w:r>
                    <w:rPr>
                      <w:rFonts w:hint="default" w:ascii="Times New Roman" w:hAnsi="Times New Roman" w:eastAsia="宋体" w:cs="Times New Roman"/>
                      <w:color w:val="auto"/>
                      <w:spacing w:val="8"/>
                      <w:sz w:val="21"/>
                      <w:szCs w:val="21"/>
                    </w:rPr>
                    <w:t>液态危险废物应装入容器内贮存，或直接采用贮存池、贮存罐区贮存。</w:t>
                  </w:r>
                </w:p>
                <w:p>
                  <w:pPr>
                    <w:spacing w:before="65" w:line="228"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lang w:val="en-US" w:eastAsia="zh-CN"/>
                    </w:rPr>
                    <w:t>2、</w:t>
                  </w:r>
                  <w:r>
                    <w:rPr>
                      <w:rFonts w:hint="default" w:ascii="Times New Roman" w:hAnsi="Times New Roman" w:eastAsia="宋体" w:cs="Times New Roman"/>
                      <w:color w:val="auto"/>
                      <w:spacing w:val="8"/>
                      <w:sz w:val="21"/>
                      <w:szCs w:val="21"/>
                    </w:rPr>
                    <w:t>半固态危险废物应装入容器或包装袋内贮存，或直接采用贮存池贮存。</w:t>
                  </w:r>
                </w:p>
                <w:p>
                  <w:pPr>
                    <w:spacing w:before="66" w:line="225"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rPr>
                    <w:t>具有热塑性的危险废物应装入容器或包装袋内进行贮存。</w:t>
                  </w:r>
                </w:p>
                <w:p>
                  <w:pPr>
                    <w:spacing w:before="67" w:line="258" w:lineRule="auto"/>
                    <w:ind w:left="5" w:right="1" w:hanging="5"/>
                    <w:rPr>
                      <w:rFonts w:hint="default" w:ascii="Times New Roman" w:hAnsi="Times New Roman" w:eastAsia="宋体" w:cs="Times New Roman"/>
                      <w:color w:val="auto"/>
                      <w:sz w:val="21"/>
                      <w:szCs w:val="21"/>
                    </w:rPr>
                  </w:pPr>
                  <w:r>
                    <w:rPr>
                      <w:rFonts w:hint="default" w:ascii="Times New Roman" w:hAnsi="Times New Roman" w:eastAsia="黑体" w:cs="Times New Roman"/>
                      <w:color w:val="auto"/>
                      <w:spacing w:val="14"/>
                      <w:sz w:val="21"/>
                      <w:szCs w:val="21"/>
                      <w:lang w:val="en-US" w:eastAsia="zh-CN"/>
                    </w:rPr>
                    <w:t>4、</w:t>
                  </w:r>
                  <w:r>
                    <w:rPr>
                      <w:rFonts w:hint="default" w:ascii="Times New Roman" w:hAnsi="Times New Roman" w:eastAsia="宋体" w:cs="Times New Roman"/>
                      <w:color w:val="auto"/>
                      <w:spacing w:val="7"/>
                      <w:sz w:val="21"/>
                      <w:szCs w:val="21"/>
                    </w:rPr>
                    <w:t>易产生粉尘、</w:t>
                  </w:r>
                  <w:r>
                    <w:rPr>
                      <w:rFonts w:hint="default" w:ascii="Times New Roman" w:hAnsi="Times New Roman" w:eastAsia="Times New Roman" w:cs="Times New Roman"/>
                      <w:color w:val="auto"/>
                      <w:sz w:val="21"/>
                      <w:szCs w:val="21"/>
                    </w:rPr>
                    <w:t>VOCs</w:t>
                  </w:r>
                  <w:r>
                    <w:rPr>
                      <w:rFonts w:hint="default" w:ascii="Times New Roman" w:hAnsi="Times New Roman" w:eastAsia="宋体" w:cs="Times New Roman"/>
                      <w:color w:val="auto"/>
                      <w:spacing w:val="7"/>
                      <w:sz w:val="21"/>
                      <w:szCs w:val="21"/>
                    </w:rPr>
                    <w:t>、酸雾、有毒有害大气污染物和刺激性气味气体的危险废物应装入闭口容器</w:t>
                  </w:r>
                  <w:r>
                    <w:rPr>
                      <w:rFonts w:hint="default" w:ascii="Times New Roman" w:hAnsi="Times New Roman" w:eastAsia="宋体" w:cs="Times New Roman"/>
                      <w:color w:val="auto"/>
                      <w:spacing w:val="9"/>
                      <w:sz w:val="21"/>
                      <w:szCs w:val="21"/>
                    </w:rPr>
                    <w:t>或</w:t>
                  </w:r>
                  <w:r>
                    <w:rPr>
                      <w:rFonts w:hint="default" w:ascii="Times New Roman" w:hAnsi="Times New Roman" w:eastAsia="宋体" w:cs="Times New Roman"/>
                      <w:color w:val="auto"/>
                      <w:spacing w:val="7"/>
                      <w:sz w:val="21"/>
                      <w:szCs w:val="21"/>
                    </w:rPr>
                    <w:t>包装物内贮存。</w:t>
                  </w:r>
                </w:p>
                <w:p>
                  <w:pPr>
                    <w:spacing w:before="65" w:line="228" w:lineRule="auto"/>
                    <w:rPr>
                      <w:rFonts w:hint="eastAsia" w:ascii="宋体" w:hAnsi="宋体" w:eastAsia="宋体" w:cs="宋体"/>
                      <w:color w:val="auto"/>
                      <w:spacing w:val="8"/>
                      <w:sz w:val="21"/>
                      <w:szCs w:val="21"/>
                      <w:lang w:eastAsia="zh-CN"/>
                    </w:rPr>
                  </w:pPr>
                  <w:r>
                    <w:rPr>
                      <w:rFonts w:hint="default" w:ascii="Times New Roman" w:hAnsi="Times New Roman" w:eastAsia="宋体" w:cs="Times New Roman"/>
                      <w:color w:val="auto"/>
                      <w:spacing w:val="8"/>
                      <w:sz w:val="21"/>
                      <w:szCs w:val="21"/>
                      <w:lang w:val="en-US" w:eastAsia="zh-CN"/>
                    </w:rPr>
                    <w:t>5、</w:t>
                  </w:r>
                  <w:r>
                    <w:rPr>
                      <w:rFonts w:hint="default" w:ascii="Times New Roman" w:hAnsi="Times New Roman" w:eastAsia="宋体" w:cs="Times New Roman"/>
                      <w:color w:val="auto"/>
                      <w:spacing w:val="8"/>
                      <w:sz w:val="21"/>
                      <w:szCs w:val="21"/>
                    </w:rPr>
                    <w:t>危险废物贮存过程中易产生粉尘等无组织排放的，应采取抑尘等有效措施</w:t>
                  </w:r>
                  <w:r>
                    <w:rPr>
                      <w:rFonts w:ascii="宋体" w:hAnsi="宋体" w:eastAsia="宋体" w:cs="宋体"/>
                      <w:color w:val="auto"/>
                      <w:spacing w:val="8"/>
                      <w:sz w:val="21"/>
                      <w:szCs w:val="21"/>
                    </w:rPr>
                    <w:t>。</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eastAsia"/>
                      <w:color w:val="auto"/>
                      <w:sz w:val="21"/>
                      <w:szCs w:val="21"/>
                      <w:lang w:val="en-US" w:eastAsia="zh-CN"/>
                    </w:rPr>
                    <w:t>按照《危险废物贮存污染控制标准》（GB 18597-2023），规范建设现有和扩建危险废物暂存间，</w:t>
                  </w:r>
                  <w:r>
                    <w:rPr>
                      <w:rFonts w:hint="default" w:ascii="Times New Roman" w:hAnsi="Times New Roman" w:eastAsia="宋体" w:cs="Times New Roman"/>
                      <w:color w:val="auto"/>
                      <w:spacing w:val="8"/>
                      <w:sz w:val="21"/>
                      <w:szCs w:val="21"/>
                    </w:rPr>
                    <w:t>液态危险废物装入容器内贮存</w:t>
                  </w:r>
                  <w:r>
                    <w:rPr>
                      <w:rFonts w:hint="eastAsia" w:ascii="Times New Roman" w:hAnsi="Times New Roman" w:eastAsia="宋体" w:cs="Times New Roman"/>
                      <w:color w:val="auto"/>
                      <w:spacing w:val="8"/>
                      <w:sz w:val="21"/>
                      <w:szCs w:val="21"/>
                      <w:lang w:eastAsia="zh-CN"/>
                    </w:rPr>
                    <w:t>；</w:t>
                  </w:r>
                  <w:r>
                    <w:rPr>
                      <w:rFonts w:hint="default" w:ascii="Times New Roman" w:hAnsi="Times New Roman" w:eastAsia="宋体" w:cs="Times New Roman"/>
                      <w:color w:val="auto"/>
                      <w:spacing w:val="8"/>
                      <w:sz w:val="21"/>
                      <w:szCs w:val="21"/>
                    </w:rPr>
                    <w:t>半固态危险废物装入容器或包装袋内贮存</w:t>
                  </w:r>
                  <w:r>
                    <w:rPr>
                      <w:rFonts w:hint="eastAsia" w:ascii="Times New Roman" w:hAnsi="Times New Roman" w:eastAsia="宋体" w:cs="Times New Roman"/>
                      <w:color w:val="auto"/>
                      <w:spacing w:val="8"/>
                      <w:sz w:val="21"/>
                      <w:szCs w:val="21"/>
                      <w:lang w:eastAsia="zh-CN"/>
                    </w:rPr>
                    <w:t>；</w:t>
                  </w:r>
                  <w:r>
                    <w:rPr>
                      <w:rFonts w:hint="default" w:ascii="Times New Roman" w:hAnsi="Times New Roman" w:eastAsia="宋体" w:cs="Times New Roman"/>
                      <w:color w:val="auto"/>
                      <w:spacing w:val="7"/>
                      <w:sz w:val="21"/>
                      <w:szCs w:val="21"/>
                    </w:rPr>
                    <w:t>易产生粉尘、</w:t>
                  </w:r>
                  <w:r>
                    <w:rPr>
                      <w:rFonts w:hint="default" w:ascii="Times New Roman" w:hAnsi="Times New Roman" w:eastAsia="Times New Roman" w:cs="Times New Roman"/>
                      <w:color w:val="auto"/>
                      <w:sz w:val="21"/>
                      <w:szCs w:val="21"/>
                    </w:rPr>
                    <w:t>VOCs</w:t>
                  </w:r>
                  <w:r>
                    <w:rPr>
                      <w:rFonts w:hint="default" w:ascii="Times New Roman" w:hAnsi="Times New Roman" w:eastAsia="宋体" w:cs="Times New Roman"/>
                      <w:color w:val="auto"/>
                      <w:spacing w:val="7"/>
                      <w:sz w:val="21"/>
                      <w:szCs w:val="21"/>
                    </w:rPr>
                    <w:t>、酸雾、有毒有害大气污染物和刺激性气味气体的危险废物应装入闭口容器</w:t>
                  </w:r>
                  <w:r>
                    <w:rPr>
                      <w:rFonts w:hint="default" w:ascii="Times New Roman" w:hAnsi="Times New Roman" w:eastAsia="宋体" w:cs="Times New Roman"/>
                      <w:color w:val="auto"/>
                      <w:spacing w:val="9"/>
                      <w:sz w:val="21"/>
                      <w:szCs w:val="21"/>
                    </w:rPr>
                    <w:t>或</w:t>
                  </w:r>
                  <w:r>
                    <w:rPr>
                      <w:rFonts w:hint="default" w:ascii="Times New Roman" w:hAnsi="Times New Roman" w:eastAsia="宋体" w:cs="Times New Roman"/>
                      <w:color w:val="auto"/>
                      <w:spacing w:val="7"/>
                      <w:sz w:val="21"/>
                      <w:szCs w:val="21"/>
                    </w:rPr>
                    <w:t>包装物内贮存</w:t>
                  </w:r>
                  <w:r>
                    <w:rPr>
                      <w:rFonts w:hint="eastAsia" w:ascii="Times New Roman" w:hAnsi="Times New Roman" w:eastAsia="宋体" w:cs="Times New Roman"/>
                      <w:color w:val="auto"/>
                      <w:spacing w:val="7"/>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贮存设施运行环境管理要求</w:t>
                  </w:r>
                  <w:r>
                    <w:rPr>
                      <w:rFonts w:hint="eastAsia" w:ascii="Times New Roman" w:hAnsi="Times New Roman" w:eastAsia="宋体" w:cs="Times New Roman"/>
                      <w:color w:val="auto"/>
                      <w:spacing w:val="8"/>
                      <w:sz w:val="21"/>
                      <w:szCs w:val="21"/>
                      <w:lang w:val="en-US" w:eastAsia="zh-CN"/>
                    </w:rPr>
                    <w:t>：</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1、</w:t>
                  </w:r>
                  <w:r>
                    <w:rPr>
                      <w:rFonts w:hint="default" w:ascii="Times New Roman" w:hAnsi="Times New Roman" w:eastAsia="宋体" w:cs="Times New Roman"/>
                      <w:color w:val="auto"/>
                      <w:spacing w:val="8"/>
                      <w:sz w:val="21"/>
                      <w:szCs w:val="21"/>
                      <w:lang w:val="en-US" w:eastAsia="zh-CN"/>
                    </w:rPr>
                    <w:t>危险废物存入贮存设施前应对危险废物类别和特性与危险废物标签等危险废物识别标志的一致 性进行核验，不一致的或类别、特性不明的不应存入。</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2、</w:t>
                  </w:r>
                  <w:r>
                    <w:rPr>
                      <w:rFonts w:hint="default" w:ascii="Times New Roman" w:hAnsi="Times New Roman" w:eastAsia="宋体" w:cs="Times New Roman"/>
                      <w:color w:val="auto"/>
                      <w:spacing w:val="8"/>
                      <w:sz w:val="21"/>
                      <w:szCs w:val="21"/>
                      <w:lang w:val="en-US" w:eastAsia="zh-CN"/>
                    </w:rPr>
                    <w:t>应定期检查危险废物的贮存状况，及时清理贮存设施地面，更换破损泄漏的危险废物贮存容器 和包装物，保证堆存危险废物的防雨、防风、防扬尘等设施功能完好。</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lang w:val="en-US" w:eastAsia="zh-CN"/>
                    </w:rPr>
                    <w:t>作业设备及车辆等结束作业离开贮存设施时，应对其残留的危险废物进行清理，清理的废物或 清洗废水应收集处理。</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4、</w:t>
                  </w:r>
                  <w:r>
                    <w:rPr>
                      <w:rFonts w:hint="default" w:ascii="Times New Roman" w:hAnsi="Times New Roman" w:eastAsia="宋体" w:cs="Times New Roman"/>
                      <w:color w:val="auto"/>
                      <w:spacing w:val="8"/>
                      <w:sz w:val="21"/>
                      <w:szCs w:val="21"/>
                      <w:lang w:val="en-US" w:eastAsia="zh-CN"/>
                    </w:rPr>
                    <w:t>贮存设施运行期间，应按国家有关标准和规定建立危险废物管理台账并保存。</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5、</w:t>
                  </w:r>
                  <w:r>
                    <w:rPr>
                      <w:rFonts w:hint="default" w:ascii="Times New Roman" w:hAnsi="Times New Roman" w:eastAsia="宋体" w:cs="Times New Roman"/>
                      <w:color w:val="auto"/>
                      <w:spacing w:val="8"/>
                      <w:sz w:val="21"/>
                      <w:szCs w:val="21"/>
                      <w:lang w:val="en-US" w:eastAsia="zh-CN"/>
                    </w:rPr>
                    <w:t>贮存设施所有者或运营者应建立贮存设施环境管理制度、管理人员岗位职责制度、设施运行操 作制度、人员岗位培训制度等。</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6、</w:t>
                  </w:r>
                  <w:r>
                    <w:rPr>
                      <w:rFonts w:hint="default" w:ascii="Times New Roman" w:hAnsi="Times New Roman" w:eastAsia="宋体" w:cs="Times New Roman"/>
                      <w:color w:val="auto"/>
                      <w:spacing w:val="8"/>
                      <w:sz w:val="21"/>
                      <w:szCs w:val="21"/>
                      <w:lang w:val="en-US" w:eastAsia="zh-CN"/>
                    </w:rPr>
                    <w:t>贮存设施所有者或运营者应依据国家土壤和地下水污染防治的有关规定，结合贮存设施特点建立土壤和地下水污染隐患排查制度，并定期开展隐患排查；发现隐患应及时采取措施消除隐患，并建立 档案。</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7、</w:t>
                  </w:r>
                  <w:r>
                    <w:rPr>
                      <w:rFonts w:hint="default" w:ascii="Times New Roman" w:hAnsi="Times New Roman" w:eastAsia="宋体" w:cs="Times New Roman"/>
                      <w:color w:val="auto"/>
                      <w:spacing w:val="8"/>
                      <w:sz w:val="21"/>
                      <w:szCs w:val="21"/>
                      <w:lang w:val="en-US" w:eastAsia="zh-CN"/>
                    </w:rPr>
                    <w:t>贮存设施所有者或运营者应建立贮存设施全部档案，包括设计、施工、验收、运行、监测和环 境应急等，应按国家有关档案管理的法律法规进行整理和归档。</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按照《危险废物贮存污染控制标准》（GB 18597-2023）进行严格管理。</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 xml:space="preserve"> 贮存点环境管理要求</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1、</w:t>
                  </w:r>
                  <w:r>
                    <w:rPr>
                      <w:rFonts w:hint="default" w:ascii="Times New Roman" w:hAnsi="Times New Roman" w:eastAsia="宋体" w:cs="Times New Roman"/>
                      <w:color w:val="auto"/>
                      <w:spacing w:val="8"/>
                      <w:sz w:val="21"/>
                      <w:szCs w:val="21"/>
                      <w:lang w:val="en-US" w:eastAsia="zh-CN"/>
                    </w:rPr>
                    <w:t>贮存点应具有固定的区域边界，并应采取与其他区域进行隔离的措施。</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2、</w:t>
                  </w:r>
                  <w:r>
                    <w:rPr>
                      <w:rFonts w:hint="default" w:ascii="Times New Roman" w:hAnsi="Times New Roman" w:eastAsia="宋体" w:cs="Times New Roman"/>
                      <w:color w:val="auto"/>
                      <w:spacing w:val="8"/>
                      <w:sz w:val="21"/>
                      <w:szCs w:val="21"/>
                      <w:lang w:val="en-US" w:eastAsia="zh-CN"/>
                    </w:rPr>
                    <w:t>贮存点应采取防风、防雨、防晒和防止危险废物流失、扬散等措施。</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lang w:val="en-US" w:eastAsia="zh-CN"/>
                    </w:rPr>
                    <w:t>贮存点贮存的危险废物应置于容器或包装物中，不应直接散堆。</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4、</w:t>
                  </w:r>
                  <w:r>
                    <w:rPr>
                      <w:rFonts w:hint="default" w:ascii="Times New Roman" w:hAnsi="Times New Roman" w:eastAsia="宋体" w:cs="Times New Roman"/>
                      <w:color w:val="auto"/>
                      <w:spacing w:val="8"/>
                      <w:sz w:val="21"/>
                      <w:szCs w:val="21"/>
                      <w:lang w:val="en-US" w:eastAsia="zh-CN"/>
                    </w:rPr>
                    <w:t>贮存点应根据危险废物的形态、物理化学性质、包装形式等，采取防渗、防漏等污染防治措施或采用具有相应功能的装置。</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5、</w:t>
                  </w:r>
                  <w:r>
                    <w:rPr>
                      <w:rFonts w:hint="default" w:ascii="Times New Roman" w:hAnsi="Times New Roman" w:eastAsia="宋体" w:cs="Times New Roman"/>
                      <w:color w:val="auto"/>
                      <w:spacing w:val="8"/>
                      <w:sz w:val="21"/>
                      <w:szCs w:val="21"/>
                      <w:lang w:val="en-US" w:eastAsia="zh-CN"/>
                    </w:rPr>
                    <w:t>贮存点应及时清运贮存的危险废物，实时贮存量不应超过3吨。</w:t>
                  </w:r>
                </w:p>
              </w:tc>
              <w:tc>
                <w:tcPr>
                  <w:tcW w:w="1676" w:type="pct"/>
                  <w:gridSpan w:val="2"/>
                  <w:tcBorders>
                    <w:tl2br w:val="nil"/>
                    <w:tr2bl w:val="nil"/>
                  </w:tcBorders>
                  <w:vAlign w:val="center"/>
                </w:tcPr>
                <w:p>
                  <w:pPr>
                    <w:spacing w:before="65" w:line="228" w:lineRule="auto"/>
                    <w:rPr>
                      <w:rFonts w:hint="eastAsia"/>
                      <w:color w:val="auto"/>
                      <w:sz w:val="21"/>
                      <w:szCs w:val="21"/>
                      <w:lang w:val="en-US" w:eastAsia="zh-CN"/>
                    </w:rPr>
                  </w:pPr>
                  <w:r>
                    <w:rPr>
                      <w:rFonts w:hint="eastAsia"/>
                      <w:color w:val="auto"/>
                      <w:sz w:val="21"/>
                      <w:szCs w:val="21"/>
                      <w:lang w:val="en-US" w:eastAsia="zh-CN"/>
                    </w:rPr>
                    <w:t>按照《危险废物贮存污染控制标准》（GB 18597-2023）进行严格管理，危废暂存间为单独区域，远离企业生产区和办公区。满足</w:t>
                  </w:r>
                  <w:r>
                    <w:rPr>
                      <w:rFonts w:hint="default" w:ascii="Times New Roman" w:hAnsi="Times New Roman" w:eastAsia="宋体" w:cs="Times New Roman"/>
                      <w:color w:val="auto"/>
                      <w:spacing w:val="8"/>
                      <w:sz w:val="21"/>
                      <w:szCs w:val="21"/>
                      <w:lang w:val="en-US" w:eastAsia="zh-CN"/>
                    </w:rPr>
                    <w:t>防风、防雨、防晒和防止危险废物流失、扬散等措施</w:t>
                  </w:r>
                  <w:r>
                    <w:rPr>
                      <w:rFonts w:hint="eastAsia" w:ascii="Times New Roman" w:hAnsi="Times New Roman" w:eastAsia="宋体" w:cs="Times New Roman"/>
                      <w:color w:val="auto"/>
                      <w:spacing w:val="8"/>
                      <w:sz w:val="21"/>
                      <w:szCs w:val="21"/>
                      <w:lang w:val="en-US" w:eastAsia="zh-CN"/>
                    </w:rPr>
                    <w:t>要求。</w:t>
                  </w:r>
                  <w:r>
                    <w:rPr>
                      <w:rFonts w:hint="default" w:ascii="Times New Roman" w:hAnsi="Times New Roman" w:eastAsia="宋体" w:cs="Times New Roman"/>
                      <w:color w:val="auto"/>
                      <w:spacing w:val="8"/>
                      <w:sz w:val="21"/>
                      <w:szCs w:val="21"/>
                      <w:lang w:val="en-US" w:eastAsia="zh-CN"/>
                    </w:rPr>
                    <w:t>危险废物置于容器或包装物中</w:t>
                  </w:r>
                  <w:r>
                    <w:rPr>
                      <w:rFonts w:hint="eastAsia" w:ascii="Times New Roman" w:hAnsi="Times New Roman" w:eastAsia="宋体" w:cs="Times New Roman"/>
                      <w:color w:val="auto"/>
                      <w:spacing w:val="8"/>
                      <w:sz w:val="21"/>
                      <w:szCs w:val="21"/>
                      <w:lang w:val="en-US" w:eastAsia="zh-CN"/>
                    </w:rPr>
                    <w:t>。</w:t>
                  </w:r>
                  <w:r>
                    <w:rPr>
                      <w:rFonts w:hint="default" w:ascii="Times New Roman" w:hAnsi="Times New Roman" w:eastAsia="宋体" w:cs="Times New Roman"/>
                      <w:color w:val="auto"/>
                      <w:spacing w:val="8"/>
                      <w:sz w:val="21"/>
                      <w:szCs w:val="21"/>
                      <w:lang w:val="en-US" w:eastAsia="zh-CN"/>
                    </w:rPr>
                    <w:t>采取防渗、防漏等污染防治措施。</w:t>
                  </w:r>
                  <w:r>
                    <w:rPr>
                      <w:rFonts w:hint="eastAsia" w:cs="Times New Roman"/>
                      <w:color w:val="auto"/>
                      <w:spacing w:val="8"/>
                      <w:sz w:val="21"/>
                      <w:szCs w:val="21"/>
                      <w:lang w:val="en-US" w:eastAsia="zh-CN"/>
                    </w:rPr>
                    <w:t>本项目危废暂存间处于贮存库，</w:t>
                  </w:r>
                  <w:r>
                    <w:rPr>
                      <w:rFonts w:hint="default" w:ascii="Times New Roman" w:hAnsi="Times New Roman" w:eastAsia="宋体" w:cs="Times New Roman"/>
                      <w:color w:val="auto"/>
                      <w:spacing w:val="8"/>
                      <w:sz w:val="21"/>
                      <w:szCs w:val="21"/>
                      <w:lang w:val="en-US" w:eastAsia="zh-CN"/>
                    </w:rPr>
                    <w:t>及时清运贮存的危险废物。</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污染物排放控制要求</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1、</w:t>
                  </w:r>
                  <w:r>
                    <w:rPr>
                      <w:rFonts w:hint="default" w:ascii="Times New Roman" w:hAnsi="Times New Roman" w:eastAsia="宋体" w:cs="Times New Roman"/>
                      <w:color w:val="auto"/>
                      <w:spacing w:val="8"/>
                      <w:sz w:val="21"/>
                      <w:szCs w:val="21"/>
                      <w:lang w:val="en-US" w:eastAsia="zh-CN"/>
                    </w:rPr>
                    <w:t>贮存设施产生的废水</w:t>
                  </w:r>
                  <w:r>
                    <w:rPr>
                      <w:rFonts w:hint="eastAsia" w:ascii="Times New Roman" w:hAnsi="Times New Roman" w:eastAsia="宋体" w:cs="Times New Roman"/>
                      <w:color w:val="auto"/>
                      <w:spacing w:val="8"/>
                      <w:sz w:val="21"/>
                      <w:szCs w:val="21"/>
                      <w:lang w:val="en-US" w:eastAsia="zh-CN"/>
                    </w:rPr>
                    <w:t>（</w:t>
                  </w:r>
                  <w:r>
                    <w:rPr>
                      <w:rFonts w:hint="default" w:ascii="Times New Roman" w:hAnsi="Times New Roman" w:eastAsia="宋体" w:cs="Times New Roman"/>
                      <w:color w:val="auto"/>
                      <w:spacing w:val="8"/>
                      <w:sz w:val="21"/>
                      <w:szCs w:val="21"/>
                      <w:lang w:val="en-US" w:eastAsia="zh-CN"/>
                    </w:rPr>
                    <w:t>包括贮存设施、作业设备、车辆等清洗废水，贮存罐区积存雨水，贮存事故废水等</w:t>
                  </w:r>
                  <w:r>
                    <w:rPr>
                      <w:rFonts w:hint="eastAsia" w:ascii="Times New Roman" w:hAnsi="Times New Roman" w:eastAsia="宋体" w:cs="Times New Roman"/>
                      <w:color w:val="auto"/>
                      <w:spacing w:val="8"/>
                      <w:sz w:val="21"/>
                      <w:szCs w:val="21"/>
                      <w:lang w:val="en-US" w:eastAsia="zh-CN"/>
                    </w:rPr>
                    <w:t>）</w:t>
                  </w:r>
                  <w:r>
                    <w:rPr>
                      <w:rFonts w:hint="default" w:ascii="Times New Roman" w:hAnsi="Times New Roman" w:eastAsia="宋体" w:cs="Times New Roman"/>
                      <w:color w:val="auto"/>
                      <w:spacing w:val="8"/>
                      <w:sz w:val="21"/>
                      <w:szCs w:val="21"/>
                      <w:lang w:val="en-US" w:eastAsia="zh-CN"/>
                    </w:rPr>
                    <w:t>应进行收集处理，废水排放应符合GB 8978规定的要求。</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2、</w:t>
                  </w:r>
                  <w:r>
                    <w:rPr>
                      <w:rFonts w:hint="default" w:ascii="Times New Roman" w:hAnsi="Times New Roman" w:eastAsia="宋体" w:cs="Times New Roman"/>
                      <w:color w:val="auto"/>
                      <w:spacing w:val="8"/>
                      <w:sz w:val="21"/>
                      <w:szCs w:val="21"/>
                      <w:lang w:val="en-US" w:eastAsia="zh-CN"/>
                    </w:rPr>
                    <w:t>贮存设施产生的废气 (含无组织废气) 的排放应符合 GB16297和GB 37822规定的要求。</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lang w:val="en-US" w:eastAsia="zh-CN"/>
                    </w:rPr>
                    <w:t>贮存设施产生的恶臭气体的排放应符合 GB14554规定的要求。</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4、</w:t>
                  </w:r>
                  <w:r>
                    <w:rPr>
                      <w:rFonts w:hint="default" w:ascii="Times New Roman" w:hAnsi="Times New Roman" w:eastAsia="宋体" w:cs="Times New Roman"/>
                      <w:color w:val="auto"/>
                      <w:spacing w:val="8"/>
                      <w:sz w:val="21"/>
                      <w:szCs w:val="21"/>
                      <w:lang w:val="en-US" w:eastAsia="zh-CN"/>
                    </w:rPr>
                    <w:t>贮存设施内产生以及清理的固体废物应按固体废物分类管理要求妥善处理。</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5、</w:t>
                  </w:r>
                  <w:r>
                    <w:rPr>
                      <w:rFonts w:hint="default" w:ascii="Times New Roman" w:hAnsi="Times New Roman" w:eastAsia="宋体" w:cs="Times New Roman"/>
                      <w:color w:val="auto"/>
                      <w:spacing w:val="8"/>
                      <w:sz w:val="21"/>
                      <w:szCs w:val="21"/>
                      <w:lang w:val="en-US" w:eastAsia="zh-CN"/>
                    </w:rPr>
                    <w:t>贮存设施排放的环境噪声应符合GB 12348规定的要求。</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1、本项目不涉及生产（运行）废水收集和处置。事故状态产生的废水严格按照《危险废物贮存污染控制标准》（GB 18597-2023）进行收集，</w:t>
                  </w:r>
                  <w:r>
                    <w:rPr>
                      <w:rFonts w:hint="eastAsia"/>
                      <w:color w:val="auto"/>
                      <w:sz w:val="21"/>
                      <w:szCs w:val="21"/>
                      <w:highlight w:val="none"/>
                      <w:lang w:val="en-US" w:eastAsia="zh-CN"/>
                    </w:rPr>
                    <w:t>泄漏液</w:t>
                  </w:r>
                  <w:r>
                    <w:rPr>
                      <w:rFonts w:hint="eastAsia"/>
                      <w:color w:val="auto"/>
                      <w:sz w:val="21"/>
                      <w:szCs w:val="21"/>
                      <w:lang w:val="en-US" w:eastAsia="zh-CN"/>
                    </w:rPr>
                    <w:t>和消防废水优先截留于危废暂存间（危废贮存库）内，当截留设施容积未能满足其产生量时，将泄漏液和消防废水自流至应急事故池，待事故结束后，将事故废水按照环保要求合理合规处置。</w:t>
                  </w:r>
                </w:p>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2、危废暂存间废气污染物经处理后均达标排放，对环境影响较小。</w:t>
                  </w:r>
                </w:p>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3、严格按照依照《中华人民共和国固体废物污染环境防治法》、《危险废物贮存污染控制标准》（GB18597-2023）、《危险废物管理计划和管理台账制定技术导则》（HJ 1259-2022）、《危险废物识别标志设置技术规范》（HJ1276-2022）、《危险废物收集、贮存、运输技术规范》（HJ2025-2012）等相关规定和要求，管理危废暂存间。</w:t>
                  </w:r>
                </w:p>
                <w:p>
                  <w:pPr>
                    <w:keepNext w:val="0"/>
                    <w:keepLines w:val="0"/>
                    <w:pageBreakBefore w:val="0"/>
                    <w:widowControl w:val="0"/>
                    <w:kinsoku/>
                    <w:wordWrap/>
                    <w:overflowPunct/>
                    <w:topLinePunct w:val="0"/>
                    <w:autoSpaceDE/>
                    <w:autoSpaceDN/>
                    <w:bidi w:val="0"/>
                    <w:adjustRightInd/>
                    <w:snapToGrid/>
                    <w:spacing w:line="280" w:lineRule="exact"/>
                    <w:jc w:val="both"/>
                    <w:rPr>
                      <w:rFonts w:hint="default"/>
                      <w:color w:val="auto"/>
                      <w:sz w:val="21"/>
                      <w:szCs w:val="21"/>
                      <w:lang w:val="en-US" w:eastAsia="zh-CN"/>
                    </w:rPr>
                  </w:pPr>
                  <w:r>
                    <w:rPr>
                      <w:rFonts w:hint="eastAsia"/>
                      <w:color w:val="auto"/>
                      <w:sz w:val="21"/>
                      <w:szCs w:val="21"/>
                      <w:lang w:val="en-US" w:eastAsia="zh-CN"/>
                    </w:rPr>
                    <w:t xml:space="preserve">4、根据监测结果可知，通过采取选用低噪声设备、基础减震、消声等措施，危废暂存间各厂（边）界均能够满足《工业企业厂界环境噪声排放标准》（GB12348-2008）中的3类标准要求。因此，本项目产生的噪声对周围声环境的影响可接受。 </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hint="default" w:ascii="Times New Roman" w:hAnsi="Times New Roman" w:eastAsia="宋体" w:cs="Times New Roman"/>
                      <w:color w:val="auto"/>
                      <w:spacing w:val="8"/>
                      <w:sz w:val="21"/>
                      <w:szCs w:val="21"/>
                      <w:lang w:val="en-US" w:eastAsia="zh-CN"/>
                    </w:rPr>
                    <w:t>环境监测要求</w:t>
                  </w:r>
                </w:p>
              </w:tc>
              <w:tc>
                <w:tcPr>
                  <w:tcW w:w="1054" w:type="pct"/>
                  <w:gridSpan w:val="2"/>
                  <w:tcBorders>
                    <w:tl2br w:val="nil"/>
                    <w:tr2bl w:val="nil"/>
                  </w:tcBorders>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280" w:lineRule="exact"/>
                    <w:ind w:left="0" w:leftChars="0" w:firstLine="0" w:firstLineChars="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贮存设施的环境监测应纳入主体设施的环境监测计划。</w:t>
                  </w:r>
                </w:p>
                <w:p>
                  <w:pPr>
                    <w:keepNext w:val="0"/>
                    <w:keepLines w:val="0"/>
                    <w:pageBreakBefore w:val="0"/>
                    <w:widowControl w:val="0"/>
                    <w:numPr>
                      <w:ilvl w:val="0"/>
                      <w:numId w:val="5"/>
                    </w:numPr>
                    <w:kinsoku/>
                    <w:wordWrap/>
                    <w:overflowPunct/>
                    <w:topLinePunct w:val="0"/>
                    <w:autoSpaceDE/>
                    <w:autoSpaceDN/>
                    <w:bidi w:val="0"/>
                    <w:adjustRightInd/>
                    <w:snapToGrid/>
                    <w:spacing w:line="280" w:lineRule="exact"/>
                    <w:ind w:left="0" w:leftChars="0" w:firstLine="0" w:firstLineChars="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 xml:space="preserve">贮存设施所有者或运营者应依据《大气污染防治法》《水污染防治法》《土壤污染防治法》等有关法律、《排污许可管理条例》等行政法规和 HJ 819、HJ 1250等规定制订监测方案，对贮存设施污染 物排放状况开展自行监测，保存原始监测记录，并公布监测结果。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eastAsia"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lang w:val="en-US" w:eastAsia="zh-CN"/>
                    </w:rPr>
                    <w:t xml:space="preserve">贮存设施废水污染物排放的监测方法和监测指标应符合国家相关标准要求。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eastAsia" w:cs="Times New Roman"/>
                      <w:color w:val="auto"/>
                      <w:spacing w:val="8"/>
                      <w:sz w:val="21"/>
                      <w:szCs w:val="21"/>
                      <w:lang w:val="en-US" w:eastAsia="zh-CN"/>
                    </w:rPr>
                    <w:t>4、</w:t>
                  </w:r>
                  <w:r>
                    <w:rPr>
                      <w:rFonts w:hint="default" w:ascii="Times New Roman" w:hAnsi="Times New Roman" w:eastAsia="宋体" w:cs="Times New Roman"/>
                      <w:color w:val="auto"/>
                      <w:spacing w:val="8"/>
                      <w:sz w:val="21"/>
                      <w:szCs w:val="21"/>
                      <w:lang w:val="en-US" w:eastAsia="zh-CN"/>
                    </w:rPr>
                    <w:t xml:space="preserve">HJ 1259 规定的危险废物环境重点监管单位贮存设施地下水环境监测点布设应符合HJ 164 要求，监测因子应根据贮存废物的特性选择具有代表性且能表征危险废物特性的指标，地下水监测因子分析方法按照 GB/T14848 执行。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eastAsia" w:cs="Times New Roman"/>
                      <w:color w:val="auto"/>
                      <w:spacing w:val="8"/>
                      <w:sz w:val="21"/>
                      <w:szCs w:val="21"/>
                      <w:lang w:val="en-US" w:eastAsia="zh-CN"/>
                    </w:rPr>
                    <w:t>5、</w:t>
                  </w:r>
                  <w:r>
                    <w:rPr>
                      <w:rFonts w:hint="default" w:ascii="Times New Roman" w:hAnsi="Times New Roman" w:eastAsia="宋体" w:cs="Times New Roman"/>
                      <w:color w:val="auto"/>
                      <w:spacing w:val="8"/>
                      <w:sz w:val="21"/>
                      <w:szCs w:val="21"/>
                      <w:lang w:val="en-US" w:eastAsia="zh-CN"/>
                    </w:rPr>
                    <w:t xml:space="preserve">配有收集净化系统的贮存设施大气污染物排放的监测采样应按 GB/T 16157、HJ/T 397、HJ732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 xml:space="preserve">的规定执行。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eastAsia" w:cs="Times New Roman"/>
                      <w:color w:val="auto"/>
                      <w:spacing w:val="8"/>
                      <w:sz w:val="21"/>
                      <w:szCs w:val="21"/>
                      <w:lang w:val="en-US" w:eastAsia="zh-CN"/>
                    </w:rPr>
                    <w:t>6、</w:t>
                  </w:r>
                  <w:r>
                    <w:rPr>
                      <w:rFonts w:hint="default" w:ascii="Times New Roman" w:hAnsi="Times New Roman" w:eastAsia="宋体" w:cs="Times New Roman"/>
                      <w:color w:val="auto"/>
                      <w:spacing w:val="8"/>
                      <w:sz w:val="21"/>
                      <w:szCs w:val="21"/>
                      <w:lang w:val="en-US" w:eastAsia="zh-CN"/>
                    </w:rPr>
                    <w:t xml:space="preserve">贮存设施无组织气体排放监测因子应根据贮存废物的特性选择具有代表性且能表征危险废物特性的指标；采样点布设、采样及监测方法可按 HJ/T 55的规定执行，VOCs 的无组织排放监测还应符合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 xml:space="preserve">GB 37822 的规定。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eastAsia" w:cs="Times New Roman"/>
                      <w:color w:val="auto"/>
                      <w:spacing w:val="8"/>
                      <w:sz w:val="21"/>
                      <w:szCs w:val="21"/>
                      <w:lang w:val="en-US" w:eastAsia="zh-CN"/>
                    </w:rPr>
                    <w:t>7、</w:t>
                  </w:r>
                  <w:r>
                    <w:rPr>
                      <w:rFonts w:hint="default" w:ascii="Times New Roman" w:hAnsi="Times New Roman" w:eastAsia="宋体" w:cs="Times New Roman"/>
                      <w:color w:val="auto"/>
                      <w:spacing w:val="8"/>
                      <w:sz w:val="21"/>
                      <w:szCs w:val="21"/>
                      <w:lang w:val="en-US" w:eastAsia="zh-CN"/>
                    </w:rPr>
                    <w:t>贮存设施恶臭气体的排放监测应符合 GB 14554、HJ 905的规定。</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本次环评按照相关要求，制定了合理的跟踪监测计划。</w:t>
                  </w:r>
                  <w:r>
                    <w:rPr>
                      <w:rFonts w:hint="default" w:ascii="Times New Roman" w:hAnsi="Times New Roman" w:eastAsia="宋体" w:cs="Times New Roman"/>
                      <w:color w:val="auto"/>
                      <w:spacing w:val="8"/>
                      <w:sz w:val="21"/>
                      <w:szCs w:val="21"/>
                      <w:lang w:val="en-US" w:eastAsia="zh-CN"/>
                    </w:rPr>
                    <w:t xml:space="preserve">开展自行监测，保存原始监测记录，并公布监测结果。 </w:t>
                  </w:r>
                  <w:r>
                    <w:rPr>
                      <w:rFonts w:hint="eastAsia" w:cs="Times New Roman"/>
                      <w:color w:val="auto"/>
                      <w:spacing w:val="8"/>
                      <w:sz w:val="21"/>
                      <w:szCs w:val="21"/>
                      <w:lang w:val="en-US" w:eastAsia="zh-CN"/>
                    </w:rPr>
                    <w:t>采样和监测方法符合相关要求。污染物排放满足相关排放标准。</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bottom w:val="single" w:color="auto" w:sz="4" w:space="0"/>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环境应急要求</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1、</w:t>
                  </w:r>
                  <w:r>
                    <w:rPr>
                      <w:rFonts w:hint="default" w:ascii="Times New Roman" w:hAnsi="Times New Roman" w:eastAsia="宋体" w:cs="Times New Roman"/>
                      <w:color w:val="auto"/>
                      <w:spacing w:val="8"/>
                      <w:sz w:val="21"/>
                      <w:szCs w:val="21"/>
                      <w:lang w:val="en-US" w:eastAsia="zh-CN"/>
                    </w:rPr>
                    <w:t>贮存设施所有者或运营者应按照国家有关规定编制突发环境事件应急预案，定期开展必要的培训 和环境应急演练，并做好培训、演练记录。</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2、</w:t>
                  </w:r>
                  <w:r>
                    <w:rPr>
                      <w:rFonts w:hint="default" w:ascii="Times New Roman" w:hAnsi="Times New Roman" w:eastAsia="宋体" w:cs="Times New Roman"/>
                      <w:color w:val="auto"/>
                      <w:spacing w:val="8"/>
                      <w:sz w:val="21"/>
                      <w:szCs w:val="21"/>
                      <w:lang w:val="en-US" w:eastAsia="zh-CN"/>
                    </w:rPr>
                    <w:t>贮存设施所有者或运营者应配备满足其突发环境事件应急要求的应急人员、装备和物资，并应设 置应急照明系统。</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lang w:val="en-US" w:eastAsia="zh-CN"/>
                    </w:rPr>
                    <w:t>相关部门发布自然灾害或恶劣天气预警后，贮存设施所有者或运营者应启动相应防控措施，若有必要可将危险废物转移至其他具有防护条件的地点贮存。</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1、建设单位编制了突发环境事件应急预案，并进行了备案。不定时进行应急演练，配备足够的应急物资及应急设施。</w:t>
                  </w:r>
                </w:p>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2、同时，危废贮存过程中有泄漏的风险，需加强管理，定期查看有无泄漏或遗撒情况。新增风险纳入到现有突发环境事件应急体系，编制突发环境事件应急预案，同时按照相关要求，及时对突发环境事件应急预案进行修订。</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《危险废物识别标志设置技术规范》 </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（HJ 1276—2022）</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总体要求</w:t>
                  </w: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危险废物识别标志的设置应具有足够的警示性，以提醒相关人员在从事收集、贮存、利用、处置危险废物经营活动时注意防范危险废物的环境风险。</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危险废物识别标志应设置在醒目的位置，避免被其他固定物体遮挡，并与周边的环境特点相协调。</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3、</w:t>
                  </w:r>
                  <w:r>
                    <w:rPr>
                      <w:rFonts w:hint="eastAsia" w:ascii="Times New Roman" w:hAnsi="Times New Roman" w:cs="Times New Roman"/>
                      <w:color w:val="auto"/>
                      <w:sz w:val="21"/>
                      <w:szCs w:val="21"/>
                      <w:lang w:val="en-US" w:eastAsia="zh-CN"/>
                    </w:rPr>
                    <w:t>危险废物识别标志与其他标志宜保持视觉上的分离。危险废物识别标志与其他标志相近设置时， 宜确保危险废物识别标志在视觉上的识别和信息的读取不受其他标志的影响。</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4、</w:t>
                  </w:r>
                  <w:r>
                    <w:rPr>
                      <w:rFonts w:hint="eastAsia" w:ascii="Times New Roman" w:hAnsi="Times New Roman" w:cs="Times New Roman"/>
                      <w:color w:val="auto"/>
                      <w:sz w:val="21"/>
                      <w:szCs w:val="21"/>
                      <w:lang w:val="en-US" w:eastAsia="zh-CN"/>
                    </w:rPr>
                    <w:t>同一场所内，同一种类危险废物识别标志的尺寸、设置位置、设置方式和设置高度等宜保持一致。</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cs="Times New Roman"/>
                      <w:color w:val="auto"/>
                      <w:sz w:val="21"/>
                      <w:szCs w:val="21"/>
                      <w:lang w:val="en-US" w:eastAsia="zh-CN"/>
                    </w:rPr>
                    <w:t>危险废物识别标志的设置除应满足本标准的要求外，还应执行国家安全生产、消防等有关法律、 法规和标准的要求。</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按照《危险废物识别标志设置技术规范》 </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（HJ1276—2022），规范建设危废暂存间标识、容器标识以及识别标志的尺寸、设置位置、设置方式和设置高度。</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《危险废物收集、贮 </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存、运输技术规范》 </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（HJ2025-2012 </w:t>
                  </w:r>
                </w:p>
              </w:tc>
              <w:tc>
                <w:tcPr>
                  <w:tcW w:w="532"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危险废物的贮存</w:t>
                  </w: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危险废物贮存设施应配备通讯设备、照明设备和消防设施。</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现有和扩建</w:t>
                  </w:r>
                  <w:r>
                    <w:rPr>
                      <w:rFonts w:hint="eastAsia" w:ascii="Times New Roman" w:hAnsi="Times New Roman" w:cs="Times New Roman"/>
                      <w:color w:val="auto"/>
                      <w:sz w:val="21"/>
                      <w:szCs w:val="21"/>
                      <w:lang w:val="en-US" w:eastAsia="zh-CN"/>
                    </w:rPr>
                    <w:t>危废暂存间设置通讯设备、照明设备和消防设施。</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restar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贮存危险废物时应按照危险废物的种类和特性进行分区贮存，每个贮存区域之间宜设置挡墙间隔，并应设置防雨、防火、 防雷、防扬尘装置。</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按照危险废物的种类和特性进行分区贮存，每个贮存区域之间宜设置挡墙间隔，配备了消防物资，设置了避雷设施和事故废水收集池。</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危险废物贮存单位应建立危险废物储存的台账制度。</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建立危险废物储存的台账制度。</w:t>
                  </w:r>
                </w:p>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危险废物的运输</w:t>
                  </w: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危险废物运输应由持有危险废物经营许可证的单位按照其许可证的经营范围组织实施，承担危险废物运输的单位应获得交通运输部门颁发的危险货物运输资质。</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w:t>
                  </w:r>
                  <w:r>
                    <w:rPr>
                      <w:rFonts w:hint="eastAsia" w:cs="Times New Roman"/>
                      <w:color w:val="auto"/>
                      <w:sz w:val="21"/>
                      <w:szCs w:val="21"/>
                      <w:lang w:val="en-US" w:eastAsia="zh-CN"/>
                    </w:rPr>
                    <w:t>暂存的</w:t>
                  </w:r>
                  <w:r>
                    <w:rPr>
                      <w:rFonts w:hint="eastAsia" w:ascii="Times New Roman" w:hAnsi="Times New Roman" w:cs="Times New Roman"/>
                      <w:color w:val="auto"/>
                      <w:sz w:val="21"/>
                      <w:szCs w:val="21"/>
                      <w:lang w:val="en-US" w:eastAsia="zh-CN"/>
                    </w:rPr>
                    <w:t>危险废物委托第三方具有危废处置</w:t>
                  </w:r>
                  <w:r>
                    <w:rPr>
                      <w:rFonts w:hint="eastAsia" w:cs="Times New Roman"/>
                      <w:color w:val="auto"/>
                      <w:sz w:val="21"/>
                      <w:szCs w:val="21"/>
                      <w:lang w:val="en-US" w:eastAsia="zh-CN"/>
                    </w:rPr>
                    <w:t>资质的</w:t>
                  </w:r>
                  <w:r>
                    <w:rPr>
                      <w:rFonts w:hint="eastAsia" w:ascii="Times New Roman" w:hAnsi="Times New Roman" w:cs="Times New Roman"/>
                      <w:color w:val="auto"/>
                      <w:sz w:val="21"/>
                      <w:szCs w:val="21"/>
                      <w:lang w:val="en-US" w:eastAsia="zh-CN"/>
                    </w:rPr>
                    <w:t>公司统一拉运处置。</w:t>
                  </w:r>
                </w:p>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《挥发性有机物无组织排放控制标准》（GB37822-2019）</w:t>
                  </w: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源项</w:t>
                  </w:r>
                </w:p>
              </w:tc>
              <w:tc>
                <w:tcPr>
                  <w:tcW w:w="532"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控制环节</w:t>
                  </w:r>
                </w:p>
              </w:tc>
              <w:tc>
                <w:tcPr>
                  <w:tcW w:w="1207" w:type="pct"/>
                  <w:gridSpan w:val="2"/>
                  <w:tcBorders>
                    <w:left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控制要求</w:t>
                  </w:r>
                </w:p>
              </w:tc>
              <w:tc>
                <w:tcPr>
                  <w:tcW w:w="990"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本项目情况</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b/>
                      <w:bCs/>
                      <w:color w:val="auto"/>
                      <w:sz w:val="21"/>
                      <w:szCs w:val="21"/>
                      <w:lang w:val="en-US" w:eastAsia="zh-CN"/>
                    </w:rPr>
                  </w:pPr>
                  <w:r>
                    <w:rPr>
                      <w:rFonts w:hint="eastAsia"/>
                      <w:b/>
                      <w:bCs/>
                      <w:color w:val="auto"/>
                      <w:sz w:val="21"/>
                      <w:szCs w:val="21"/>
                      <w:lang w:val="en-US" w:eastAsia="zh-CN"/>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VOC</w:t>
                  </w:r>
                  <w:r>
                    <w:rPr>
                      <w:rFonts w:hint="eastAsia" w:cs="Times New Roman"/>
                      <w:color w:val="auto"/>
                      <w:sz w:val="21"/>
                      <w:szCs w:val="21"/>
                      <w:vertAlign w:val="subscript"/>
                      <w:lang w:val="en-US" w:eastAsia="zh-CN"/>
                    </w:rPr>
                    <w:t>s</w:t>
                  </w:r>
                  <w:r>
                    <w:rPr>
                      <w:rFonts w:hint="eastAsia" w:ascii="Times New Roman" w:hAnsi="Times New Roman" w:cs="Times New Roman"/>
                      <w:color w:val="auto"/>
                      <w:sz w:val="21"/>
                      <w:szCs w:val="21"/>
                      <w:lang w:val="en-US" w:eastAsia="zh-CN"/>
                    </w:rPr>
                    <w:t xml:space="preserve">物料 </w:t>
                  </w:r>
                </w:p>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储存</w:t>
                  </w:r>
                </w:p>
              </w:tc>
              <w:tc>
                <w:tcPr>
                  <w:tcW w:w="532"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ascii="宋体" w:hAnsi="宋体" w:eastAsia="宋体" w:cs="宋体"/>
                      <w:color w:val="auto"/>
                      <w:spacing w:val="8"/>
                      <w:sz w:val="21"/>
                      <w:szCs w:val="21"/>
                    </w:rPr>
                    <w:t>物</w:t>
                  </w:r>
                  <w:r>
                    <w:rPr>
                      <w:rFonts w:ascii="宋体" w:hAnsi="宋体" w:eastAsia="宋体" w:cs="宋体"/>
                      <w:color w:val="auto"/>
                      <w:spacing w:val="7"/>
                      <w:sz w:val="21"/>
                      <w:szCs w:val="21"/>
                    </w:rPr>
                    <w:t>料储存</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firstLine="16"/>
                    <w:textAlignment w:val="auto"/>
                    <w:rPr>
                      <w:rFonts w:ascii="宋体" w:hAnsi="宋体" w:eastAsia="宋体" w:cs="宋体"/>
                      <w:color w:val="auto"/>
                      <w:sz w:val="21"/>
                      <w:szCs w:val="21"/>
                    </w:rPr>
                  </w:pPr>
                  <w:r>
                    <w:rPr>
                      <w:rFonts w:ascii="Times New Roman" w:hAnsi="Times New Roman" w:eastAsia="Times New Roman" w:cs="Times New Roman"/>
                      <w:color w:val="auto"/>
                      <w:spacing w:val="10"/>
                      <w:sz w:val="21"/>
                      <w:szCs w:val="21"/>
                    </w:rPr>
                    <w:t>1</w:t>
                  </w:r>
                  <w:r>
                    <w:rPr>
                      <w:rFonts w:ascii="Times New Roman" w:hAnsi="Times New Roman" w:eastAsia="Times New Roman" w:cs="Times New Roman"/>
                      <w:color w:val="auto"/>
                      <w:spacing w:val="9"/>
                      <w:sz w:val="21"/>
                      <w:szCs w:val="21"/>
                    </w:rPr>
                    <w:t xml:space="preserve"> </w:t>
                  </w:r>
                  <w:r>
                    <w:rPr>
                      <w:rFonts w:ascii="宋体" w:hAnsi="宋体" w:eastAsia="宋体" w:cs="宋体"/>
                      <w:color w:val="auto"/>
                      <w:spacing w:val="5"/>
                      <w:sz w:val="21"/>
                      <w:szCs w:val="21"/>
                    </w:rPr>
                    <w:t>、</w:t>
                  </w:r>
                  <w:r>
                    <w:rPr>
                      <w:rFonts w:ascii="Times New Roman" w:hAnsi="Times New Roman" w:eastAsia="Times New Roman" w:cs="Times New Roman"/>
                      <w:color w:val="auto"/>
                      <w:sz w:val="21"/>
                      <w:szCs w:val="21"/>
                    </w:rPr>
                    <w:t>VOCs</w:t>
                  </w:r>
                  <w:r>
                    <w:rPr>
                      <w:rFonts w:ascii="宋体" w:hAnsi="宋体" w:eastAsia="宋体" w:cs="宋体"/>
                      <w:color w:val="auto"/>
                      <w:spacing w:val="5"/>
                      <w:sz w:val="21"/>
                      <w:szCs w:val="21"/>
                    </w:rPr>
                    <w:t>物料应储存于密闭的容器、包</w:t>
                  </w:r>
                  <w:r>
                    <w:rPr>
                      <w:rFonts w:ascii="宋体" w:hAnsi="宋体" w:eastAsia="宋体" w:cs="宋体"/>
                      <w:color w:val="auto"/>
                      <w:spacing w:val="13"/>
                      <w:sz w:val="21"/>
                      <w:szCs w:val="21"/>
                    </w:rPr>
                    <w:t>装</w:t>
                  </w:r>
                  <w:r>
                    <w:rPr>
                      <w:rFonts w:ascii="宋体" w:hAnsi="宋体" w:eastAsia="宋体" w:cs="宋体"/>
                      <w:color w:val="auto"/>
                      <w:spacing w:val="8"/>
                      <w:sz w:val="21"/>
                      <w:szCs w:val="21"/>
                    </w:rPr>
                    <w:t>袋、储罐、储库、料仓中；</w:t>
                  </w:r>
                </w:p>
                <w:p>
                  <w:pPr>
                    <w:keepNext w:val="0"/>
                    <w:keepLines w:val="0"/>
                    <w:pageBreakBefore w:val="0"/>
                    <w:widowControl w:val="0"/>
                    <w:kinsoku/>
                    <w:wordWrap/>
                    <w:overflowPunct/>
                    <w:topLinePunct w:val="0"/>
                    <w:autoSpaceDE/>
                    <w:autoSpaceDN/>
                    <w:bidi w:val="0"/>
                    <w:adjustRightInd/>
                    <w:snapToGrid/>
                    <w:spacing w:line="280" w:lineRule="exact"/>
                    <w:ind w:left="0" w:right="0" w:hanging="3"/>
                    <w:textAlignment w:val="auto"/>
                    <w:rPr>
                      <w:rFonts w:ascii="宋体" w:hAnsi="宋体" w:eastAsia="宋体" w:cs="宋体"/>
                      <w:color w:val="auto"/>
                      <w:sz w:val="21"/>
                      <w:szCs w:val="21"/>
                    </w:rPr>
                  </w:pPr>
                  <w:r>
                    <w:rPr>
                      <w:rFonts w:ascii="Times New Roman" w:hAnsi="Times New Roman" w:eastAsia="Times New Roman" w:cs="Times New Roman"/>
                      <w:color w:val="auto"/>
                      <w:spacing w:val="12"/>
                      <w:sz w:val="21"/>
                      <w:szCs w:val="21"/>
                    </w:rPr>
                    <w:t>2</w:t>
                  </w:r>
                  <w:r>
                    <w:rPr>
                      <w:rFonts w:ascii="Times New Roman" w:hAnsi="Times New Roman" w:eastAsia="Times New Roman" w:cs="Times New Roman"/>
                      <w:color w:val="auto"/>
                      <w:spacing w:val="10"/>
                      <w:sz w:val="21"/>
                      <w:szCs w:val="21"/>
                    </w:rPr>
                    <w:t xml:space="preserve"> </w:t>
                  </w:r>
                  <w:r>
                    <w:rPr>
                      <w:rFonts w:ascii="宋体" w:hAnsi="宋体" w:eastAsia="宋体" w:cs="宋体"/>
                      <w:color w:val="auto"/>
                      <w:spacing w:val="6"/>
                      <w:sz w:val="21"/>
                      <w:szCs w:val="21"/>
                    </w:rPr>
                    <w:t>、盛装</w:t>
                  </w:r>
                  <w:r>
                    <w:rPr>
                      <w:rFonts w:ascii="Times New Roman" w:hAnsi="Times New Roman" w:eastAsia="Times New Roman" w:cs="Times New Roman"/>
                      <w:color w:val="auto"/>
                      <w:sz w:val="21"/>
                      <w:szCs w:val="21"/>
                    </w:rPr>
                    <w:t>VOCs</w:t>
                  </w:r>
                  <w:r>
                    <w:rPr>
                      <w:rFonts w:ascii="宋体" w:hAnsi="宋体" w:eastAsia="宋体" w:cs="宋体"/>
                      <w:color w:val="auto"/>
                      <w:spacing w:val="6"/>
                      <w:sz w:val="21"/>
                      <w:szCs w:val="21"/>
                    </w:rPr>
                    <w:t>物料的容器或包装袋应存</w:t>
                  </w:r>
                  <w:r>
                    <w:rPr>
                      <w:rFonts w:ascii="宋体" w:hAnsi="宋体" w:eastAsia="宋体" w:cs="宋体"/>
                      <w:color w:val="auto"/>
                      <w:spacing w:val="21"/>
                      <w:sz w:val="21"/>
                      <w:szCs w:val="21"/>
                    </w:rPr>
                    <w:t>放</w:t>
                  </w:r>
                  <w:r>
                    <w:rPr>
                      <w:rFonts w:ascii="宋体" w:hAnsi="宋体" w:eastAsia="宋体" w:cs="宋体"/>
                      <w:color w:val="auto"/>
                      <w:spacing w:val="15"/>
                      <w:sz w:val="21"/>
                      <w:szCs w:val="21"/>
                    </w:rPr>
                    <w:t>于室内或存放于设置有雨棚、遮阳和</w:t>
                  </w:r>
                  <w:r>
                    <w:rPr>
                      <w:rFonts w:ascii="宋体" w:hAnsi="宋体" w:eastAsia="宋体" w:cs="宋体"/>
                      <w:color w:val="auto"/>
                      <w:spacing w:val="14"/>
                      <w:sz w:val="21"/>
                      <w:szCs w:val="21"/>
                    </w:rPr>
                    <w:t>防</w:t>
                  </w:r>
                  <w:r>
                    <w:rPr>
                      <w:rFonts w:ascii="宋体" w:hAnsi="宋体" w:eastAsia="宋体" w:cs="宋体"/>
                      <w:color w:val="auto"/>
                      <w:spacing w:val="13"/>
                      <w:sz w:val="21"/>
                      <w:szCs w:val="21"/>
                    </w:rPr>
                    <w:t xml:space="preserve">渗设施的专用场地。盛装 </w:t>
                  </w:r>
                  <w:r>
                    <w:rPr>
                      <w:rFonts w:ascii="Times New Roman" w:hAnsi="Times New Roman" w:eastAsia="Times New Roman" w:cs="Times New Roman"/>
                      <w:color w:val="auto"/>
                      <w:sz w:val="21"/>
                      <w:szCs w:val="21"/>
                    </w:rPr>
                    <w:t>VOCs</w:t>
                  </w:r>
                  <w:r>
                    <w:rPr>
                      <w:rFonts w:ascii="宋体" w:hAnsi="宋体" w:eastAsia="宋体" w:cs="宋体"/>
                      <w:color w:val="auto"/>
                      <w:spacing w:val="13"/>
                      <w:sz w:val="21"/>
                      <w:szCs w:val="21"/>
                    </w:rPr>
                    <w:t>物料</w:t>
                  </w:r>
                  <w:r>
                    <w:rPr>
                      <w:rFonts w:ascii="宋体" w:hAnsi="宋体" w:eastAsia="宋体" w:cs="宋体"/>
                      <w:color w:val="auto"/>
                      <w:spacing w:val="29"/>
                      <w:sz w:val="21"/>
                      <w:szCs w:val="21"/>
                    </w:rPr>
                    <w:t>的容器或包装袋在非取用状态时应</w:t>
                  </w:r>
                  <w:r>
                    <w:rPr>
                      <w:rFonts w:ascii="宋体" w:hAnsi="宋体" w:eastAsia="宋体" w:cs="宋体"/>
                      <w:color w:val="auto"/>
                      <w:spacing w:val="26"/>
                      <w:sz w:val="21"/>
                      <w:szCs w:val="21"/>
                    </w:rPr>
                    <w:t>加</w:t>
                  </w:r>
                  <w:r>
                    <w:rPr>
                      <w:rFonts w:ascii="宋体" w:hAnsi="宋体" w:eastAsia="宋体" w:cs="宋体"/>
                      <w:color w:val="auto"/>
                      <w:spacing w:val="8"/>
                      <w:sz w:val="21"/>
                      <w:szCs w:val="21"/>
                    </w:rPr>
                    <w:t>盖、封口，保持密闭；</w:t>
                  </w:r>
                </w:p>
                <w:p>
                  <w:pPr>
                    <w:keepNext w:val="0"/>
                    <w:keepLines w:val="0"/>
                    <w:pageBreakBefore w:val="0"/>
                    <w:widowControl w:val="0"/>
                    <w:kinsoku/>
                    <w:wordWrap/>
                    <w:overflowPunct/>
                    <w:topLinePunct w:val="0"/>
                    <w:autoSpaceDE/>
                    <w:autoSpaceDN/>
                    <w:bidi w:val="0"/>
                    <w:adjustRightInd/>
                    <w:snapToGrid/>
                    <w:spacing w:line="280" w:lineRule="exact"/>
                    <w:ind w:left="0" w:right="0"/>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 xml:space="preserve">3 </w:t>
                  </w:r>
                  <w:r>
                    <w:rPr>
                      <w:rFonts w:ascii="宋体" w:hAnsi="宋体" w:eastAsia="宋体" w:cs="宋体"/>
                      <w:color w:val="auto"/>
                      <w:spacing w:val="5"/>
                      <w:sz w:val="21"/>
                      <w:szCs w:val="21"/>
                    </w:rPr>
                    <w:t>、</w:t>
                  </w:r>
                  <w:r>
                    <w:rPr>
                      <w:rFonts w:ascii="Times New Roman" w:hAnsi="Times New Roman" w:eastAsia="Times New Roman" w:cs="Times New Roman"/>
                      <w:color w:val="auto"/>
                      <w:sz w:val="21"/>
                      <w:szCs w:val="21"/>
                    </w:rPr>
                    <w:t>VOCs</w:t>
                  </w:r>
                  <w:r>
                    <w:rPr>
                      <w:rFonts w:ascii="宋体" w:hAnsi="宋体" w:eastAsia="宋体" w:cs="宋体"/>
                      <w:color w:val="auto"/>
                      <w:spacing w:val="5"/>
                      <w:sz w:val="21"/>
                      <w:szCs w:val="21"/>
                    </w:rPr>
                    <w:t>物料储罐应密封良好；</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hanging="3" w:firstLineChars="0"/>
                    <w:textAlignment w:val="auto"/>
                    <w:rPr>
                      <w:rFonts w:hint="eastAsia" w:ascii="Times New Roman" w:hAnsi="Times New Roman" w:cs="Times New Roman"/>
                      <w:color w:val="auto"/>
                      <w:sz w:val="21"/>
                      <w:szCs w:val="21"/>
                      <w:lang w:val="en-US" w:eastAsia="zh-CN"/>
                    </w:rPr>
                  </w:pPr>
                  <w:r>
                    <w:rPr>
                      <w:rFonts w:ascii="Times New Roman" w:hAnsi="Times New Roman" w:eastAsia="Times New Roman" w:cs="Times New Roman"/>
                      <w:color w:val="auto"/>
                      <w:spacing w:val="6"/>
                      <w:sz w:val="21"/>
                      <w:szCs w:val="21"/>
                    </w:rPr>
                    <w:t>4</w:t>
                  </w:r>
                  <w:r>
                    <w:rPr>
                      <w:rFonts w:ascii="Times New Roman" w:hAnsi="Times New Roman" w:eastAsia="Times New Roman" w:cs="Times New Roman"/>
                      <w:color w:val="auto"/>
                      <w:spacing w:val="5"/>
                      <w:sz w:val="21"/>
                      <w:szCs w:val="21"/>
                    </w:rPr>
                    <w:t xml:space="preserve"> </w:t>
                  </w:r>
                  <w:r>
                    <w:rPr>
                      <w:rFonts w:ascii="宋体" w:hAnsi="宋体" w:eastAsia="宋体" w:cs="宋体"/>
                      <w:color w:val="auto"/>
                      <w:spacing w:val="3"/>
                      <w:sz w:val="21"/>
                      <w:szCs w:val="21"/>
                    </w:rPr>
                    <w:t>、</w:t>
                  </w:r>
                  <w:r>
                    <w:rPr>
                      <w:rFonts w:ascii="Times New Roman" w:hAnsi="Times New Roman" w:eastAsia="Times New Roman" w:cs="Times New Roman"/>
                      <w:color w:val="auto"/>
                      <w:sz w:val="21"/>
                      <w:szCs w:val="21"/>
                    </w:rPr>
                    <w:t>VOCs</w:t>
                  </w:r>
                  <w:r>
                    <w:rPr>
                      <w:rFonts w:ascii="宋体" w:hAnsi="宋体" w:eastAsia="宋体" w:cs="宋体"/>
                      <w:color w:val="auto"/>
                      <w:spacing w:val="3"/>
                      <w:sz w:val="21"/>
                      <w:szCs w:val="21"/>
                    </w:rPr>
                    <w:t xml:space="preserve">物料储库、料仓应满足 </w:t>
                  </w:r>
                  <w:r>
                    <w:rPr>
                      <w:rFonts w:ascii="Times New Roman" w:hAnsi="Times New Roman" w:eastAsia="Times New Roman" w:cs="Times New Roman"/>
                      <w:color w:val="auto"/>
                      <w:spacing w:val="3"/>
                      <w:sz w:val="21"/>
                      <w:szCs w:val="21"/>
                    </w:rPr>
                    <w:t xml:space="preserve">3.6 </w:t>
                  </w:r>
                  <w:r>
                    <w:rPr>
                      <w:rFonts w:ascii="宋体" w:hAnsi="宋体" w:eastAsia="宋体" w:cs="宋体"/>
                      <w:color w:val="auto"/>
                      <w:spacing w:val="3"/>
                      <w:sz w:val="21"/>
                      <w:szCs w:val="21"/>
                    </w:rPr>
                    <w:t>条</w:t>
                  </w:r>
                  <w:r>
                    <w:rPr>
                      <w:rFonts w:ascii="宋体" w:hAnsi="宋体" w:eastAsia="宋体" w:cs="宋体"/>
                      <w:color w:val="auto"/>
                      <w:spacing w:val="9"/>
                      <w:sz w:val="21"/>
                      <w:szCs w:val="21"/>
                    </w:rPr>
                    <w:t>对密闭空间的要</w:t>
                  </w:r>
                  <w:r>
                    <w:rPr>
                      <w:rFonts w:ascii="宋体" w:hAnsi="宋体" w:eastAsia="宋体" w:cs="宋体"/>
                      <w:color w:val="auto"/>
                      <w:spacing w:val="7"/>
                      <w:sz w:val="21"/>
                      <w:szCs w:val="21"/>
                    </w:rPr>
                    <w:t>求</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righ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ascii="宋体" w:hAnsi="宋体" w:eastAsia="宋体" w:cs="宋体"/>
                      <w:color w:val="auto"/>
                      <w:spacing w:val="6"/>
                      <w:sz w:val="21"/>
                      <w:szCs w:val="21"/>
                    </w:rPr>
                    <w:t>危险废物为废</w:t>
                  </w:r>
                  <w:r>
                    <w:rPr>
                      <w:rFonts w:ascii="宋体" w:hAnsi="宋体" w:eastAsia="宋体" w:cs="宋体"/>
                      <w:color w:val="auto"/>
                      <w:spacing w:val="-4"/>
                      <w:sz w:val="21"/>
                      <w:szCs w:val="21"/>
                    </w:rPr>
                    <w:t>矿</w:t>
                  </w:r>
                  <w:r>
                    <w:rPr>
                      <w:rFonts w:ascii="宋体" w:hAnsi="宋体" w:eastAsia="宋体" w:cs="宋体"/>
                      <w:color w:val="auto"/>
                      <w:spacing w:val="-3"/>
                      <w:sz w:val="21"/>
                      <w:szCs w:val="21"/>
                    </w:rPr>
                    <w:t>物</w:t>
                  </w:r>
                  <w:r>
                    <w:rPr>
                      <w:rFonts w:ascii="宋体" w:hAnsi="宋体" w:eastAsia="宋体" w:cs="宋体"/>
                      <w:color w:val="auto"/>
                      <w:spacing w:val="-2"/>
                      <w:sz w:val="21"/>
                      <w:szCs w:val="21"/>
                    </w:rPr>
                    <w:t>油</w:t>
                  </w:r>
                  <w:r>
                    <w:rPr>
                      <w:rFonts w:hint="eastAsia" w:ascii="宋体" w:hAnsi="宋体" w:eastAsia="宋体" w:cs="宋体"/>
                      <w:color w:val="auto"/>
                      <w:spacing w:val="-2"/>
                      <w:sz w:val="21"/>
                      <w:szCs w:val="21"/>
                      <w:lang w:eastAsia="zh-CN"/>
                    </w:rPr>
                    <w:t>和废有机溶剂等</w:t>
                  </w:r>
                  <w:r>
                    <w:rPr>
                      <w:rFonts w:ascii="宋体" w:hAnsi="宋体" w:eastAsia="宋体" w:cs="宋体"/>
                      <w:color w:val="auto"/>
                      <w:spacing w:val="-2"/>
                      <w:sz w:val="21"/>
                      <w:szCs w:val="21"/>
                    </w:rPr>
                    <w:t>，以</w:t>
                  </w:r>
                  <w:r>
                    <w:rPr>
                      <w:rFonts w:hint="eastAsia" w:ascii="宋体" w:hAnsi="宋体" w:eastAsia="宋体" w:cs="宋体"/>
                      <w:color w:val="auto"/>
                      <w:spacing w:val="-2"/>
                      <w:sz w:val="21"/>
                      <w:szCs w:val="21"/>
                      <w:lang w:eastAsia="zh-CN"/>
                    </w:rPr>
                    <w:t>桶</w:t>
                  </w:r>
                  <w:r>
                    <w:rPr>
                      <w:rFonts w:ascii="宋体" w:hAnsi="宋体" w:eastAsia="宋体" w:cs="宋体"/>
                      <w:color w:val="auto"/>
                      <w:spacing w:val="-2"/>
                      <w:sz w:val="21"/>
                      <w:szCs w:val="21"/>
                    </w:rPr>
                    <w:t>形</w:t>
                  </w:r>
                  <w:r>
                    <w:rPr>
                      <w:rFonts w:ascii="宋体" w:hAnsi="宋体" w:eastAsia="宋体" w:cs="宋体"/>
                      <w:color w:val="auto"/>
                      <w:spacing w:val="-3"/>
                      <w:sz w:val="21"/>
                      <w:szCs w:val="21"/>
                    </w:rPr>
                    <w:t>式密闭贮存，符合</w:t>
                  </w:r>
                  <w:r>
                    <w:rPr>
                      <w:rFonts w:ascii="宋体" w:hAnsi="宋体" w:eastAsia="宋体" w:cs="宋体"/>
                      <w:color w:val="auto"/>
                      <w:spacing w:val="3"/>
                      <w:sz w:val="21"/>
                      <w:szCs w:val="21"/>
                    </w:rPr>
                    <w:t>要求</w:t>
                  </w:r>
                  <w:r>
                    <w:rPr>
                      <w:rFonts w:ascii="宋体" w:hAnsi="宋体" w:eastAsia="宋体" w:cs="宋体"/>
                      <w:color w:val="auto"/>
                      <w:spacing w:val="2"/>
                      <w:sz w:val="21"/>
                      <w:szCs w:val="21"/>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color w:val="auto"/>
                      <w:sz w:val="21"/>
                      <w:szCs w:val="21"/>
                    </w:rPr>
                  </w:pP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16"/>
                      <w:sz w:val="21"/>
                      <w:szCs w:val="21"/>
                    </w:rPr>
                    <w:t xml:space="preserve"> </w:t>
                  </w:r>
                  <w:r>
                    <w:rPr>
                      <w:rFonts w:ascii="宋体" w:hAnsi="宋体" w:eastAsia="宋体" w:cs="宋体"/>
                      <w:color w:val="auto"/>
                      <w:spacing w:val="14"/>
                      <w:sz w:val="21"/>
                      <w:szCs w:val="21"/>
                    </w:rPr>
                    <w:t>物料</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color w:val="auto"/>
                      <w:sz w:val="21"/>
                      <w:szCs w:val="21"/>
                    </w:rPr>
                  </w:pPr>
                  <w:r>
                    <w:rPr>
                      <w:rFonts w:ascii="宋体" w:hAnsi="宋体" w:eastAsia="宋体" w:cs="宋体"/>
                      <w:color w:val="auto"/>
                      <w:spacing w:val="7"/>
                      <w:sz w:val="21"/>
                      <w:szCs w:val="21"/>
                    </w:rPr>
                    <w:t>转移和输</w:t>
                  </w:r>
                </w:p>
                <w:p>
                  <w:pPr>
                    <w:keepNext w:val="0"/>
                    <w:keepLines w:val="0"/>
                    <w:pageBreakBefore w:val="0"/>
                    <w:widowControl w:val="0"/>
                    <w:kinsoku/>
                    <w:wordWrap/>
                    <w:overflowPunct/>
                    <w:topLinePunct w:val="0"/>
                    <w:autoSpaceDE/>
                    <w:autoSpaceDN/>
                    <w:bidi w:val="0"/>
                    <w:adjustRightInd/>
                    <w:snapToGrid/>
                    <w:spacing w:line="280" w:lineRule="exact"/>
                    <w:ind w:left="0" w:leftChars="0"/>
                    <w:textAlignment w:val="auto"/>
                    <w:rPr>
                      <w:rFonts w:hint="eastAsia" w:ascii="Times New Roman" w:hAnsi="Times New Roman" w:cs="Times New Roman"/>
                      <w:color w:val="auto"/>
                      <w:sz w:val="21"/>
                      <w:szCs w:val="21"/>
                      <w:lang w:val="en-US" w:eastAsia="zh-CN"/>
                    </w:rPr>
                  </w:pPr>
                  <w:r>
                    <w:rPr>
                      <w:rFonts w:ascii="宋体" w:hAnsi="宋体" w:eastAsia="宋体" w:cs="宋体"/>
                      <w:color w:val="auto"/>
                      <w:spacing w:val="2"/>
                      <w:sz w:val="21"/>
                      <w:szCs w:val="21"/>
                    </w:rPr>
                    <w:t>送</w:t>
                  </w:r>
                </w:p>
              </w:tc>
              <w:tc>
                <w:tcPr>
                  <w:tcW w:w="532" w:type="pct"/>
                  <w:vMerge w:val="restart"/>
                  <w:tcBorders>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leftChars="0"/>
                    <w:textAlignment w:val="auto"/>
                    <w:rPr>
                      <w:rFonts w:ascii="宋体" w:hAnsi="宋体" w:eastAsia="宋体" w:cs="宋体"/>
                      <w:color w:val="auto"/>
                      <w:spacing w:val="8"/>
                      <w:sz w:val="21"/>
                      <w:szCs w:val="21"/>
                    </w:rPr>
                  </w:pPr>
                  <w:r>
                    <w:rPr>
                      <w:rFonts w:ascii="宋体" w:hAnsi="宋体" w:eastAsia="宋体" w:cs="宋体"/>
                      <w:color w:val="auto"/>
                      <w:spacing w:val="8"/>
                      <w:sz w:val="21"/>
                      <w:szCs w:val="21"/>
                    </w:rPr>
                    <w:t>基</w:t>
                  </w:r>
                  <w:r>
                    <w:rPr>
                      <w:rFonts w:ascii="宋体" w:hAnsi="宋体" w:eastAsia="宋体" w:cs="宋体"/>
                      <w:color w:val="auto"/>
                      <w:spacing w:val="7"/>
                      <w:sz w:val="21"/>
                      <w:szCs w:val="21"/>
                    </w:rPr>
                    <w:t>本要求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Times New Roman" w:hAnsi="Times New Roman" w:eastAsia="Times New Roman" w:cs="Times New Roman"/>
                      <w:color w:val="auto"/>
                      <w:spacing w:val="6"/>
                      <w:sz w:val="21"/>
                      <w:szCs w:val="21"/>
                    </w:rPr>
                  </w:pPr>
                  <w:r>
                    <w:rPr>
                      <w:rFonts w:ascii="宋体" w:hAnsi="宋体" w:eastAsia="宋体" w:cs="宋体"/>
                      <w:color w:val="auto"/>
                      <w:spacing w:val="-3"/>
                      <w:sz w:val="21"/>
                      <w:szCs w:val="21"/>
                    </w:rPr>
                    <w:t>液</w:t>
                  </w:r>
                  <w:r>
                    <w:rPr>
                      <w:rFonts w:ascii="宋体" w:hAnsi="宋体" w:eastAsia="宋体" w:cs="宋体"/>
                      <w:color w:val="auto"/>
                      <w:spacing w:val="-2"/>
                      <w:sz w:val="21"/>
                      <w:szCs w:val="21"/>
                    </w:rPr>
                    <w:t xml:space="preserve">态 </w:t>
                  </w:r>
                  <w:r>
                    <w:rPr>
                      <w:rFonts w:ascii="Times New Roman" w:hAnsi="Times New Roman" w:eastAsia="Times New Roman" w:cs="Times New Roman"/>
                      <w:color w:val="auto"/>
                      <w:spacing w:val="-2"/>
                      <w:sz w:val="21"/>
                      <w:szCs w:val="21"/>
                    </w:rPr>
                    <w:t>VOCs</w:t>
                  </w:r>
                  <w:r>
                    <w:rPr>
                      <w:rFonts w:ascii="Times New Roman" w:hAnsi="Times New Roman" w:eastAsia="Times New Roman" w:cs="Times New Roman"/>
                      <w:color w:val="auto"/>
                      <w:sz w:val="21"/>
                      <w:szCs w:val="21"/>
                    </w:rPr>
                    <w:t xml:space="preserve"> </w:t>
                  </w:r>
                  <w:r>
                    <w:rPr>
                      <w:rFonts w:ascii="宋体" w:hAnsi="宋体" w:eastAsia="宋体" w:cs="宋体"/>
                      <w:color w:val="auto"/>
                      <w:spacing w:val="5"/>
                      <w:sz w:val="21"/>
                      <w:szCs w:val="21"/>
                    </w:rPr>
                    <w:t>物</w:t>
                  </w:r>
                  <w:r>
                    <w:rPr>
                      <w:rFonts w:ascii="宋体" w:hAnsi="宋体" w:eastAsia="宋体" w:cs="宋体"/>
                      <w:color w:val="auto"/>
                      <w:spacing w:val="4"/>
                      <w:sz w:val="21"/>
                      <w:szCs w:val="21"/>
                    </w:rPr>
                    <w:t>料</w:t>
                  </w:r>
                  <w:r>
                    <w:rPr>
                      <w:rFonts w:hint="eastAsia" w:ascii="宋体" w:hAnsi="宋体" w:eastAsia="宋体" w:cs="宋体"/>
                      <w:color w:val="auto"/>
                      <w:spacing w:val="4"/>
                      <w:sz w:val="21"/>
                      <w:szCs w:val="21"/>
                      <w:lang w:eastAsia="zh-CN"/>
                    </w:rPr>
                    <w:t>：</w:t>
                  </w:r>
                  <w:r>
                    <w:rPr>
                      <w:rFonts w:ascii="宋体" w:hAnsi="宋体" w:eastAsia="宋体" w:cs="宋体"/>
                      <w:color w:val="auto"/>
                      <w:spacing w:val="13"/>
                      <w:sz w:val="21"/>
                      <w:szCs w:val="21"/>
                    </w:rPr>
                    <w:t>应</w:t>
                  </w:r>
                  <w:r>
                    <w:rPr>
                      <w:rFonts w:ascii="宋体" w:hAnsi="宋体" w:eastAsia="宋体" w:cs="宋体"/>
                      <w:color w:val="auto"/>
                      <w:spacing w:val="7"/>
                      <w:sz w:val="21"/>
                      <w:szCs w:val="21"/>
                    </w:rPr>
                    <w:t>采用管道密闭输送。采用</w:t>
                  </w:r>
                  <w:r>
                    <w:rPr>
                      <w:rFonts w:ascii="宋体" w:hAnsi="宋体" w:eastAsia="宋体" w:cs="宋体"/>
                      <w:color w:val="auto"/>
                      <w:spacing w:val="9"/>
                      <w:sz w:val="21"/>
                      <w:szCs w:val="21"/>
                    </w:rPr>
                    <w:t>非管道输送方式转移液</w:t>
                  </w:r>
                  <w:r>
                    <w:rPr>
                      <w:rFonts w:ascii="宋体" w:hAnsi="宋体" w:eastAsia="宋体" w:cs="宋体"/>
                      <w:color w:val="auto"/>
                      <w:spacing w:val="7"/>
                      <w:sz w:val="21"/>
                      <w:szCs w:val="21"/>
                    </w:rPr>
                    <w:t>态</w:t>
                  </w: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13"/>
                      <w:sz w:val="21"/>
                      <w:szCs w:val="21"/>
                    </w:rPr>
                    <w:t xml:space="preserve"> </w:t>
                  </w:r>
                  <w:r>
                    <w:rPr>
                      <w:rFonts w:ascii="宋体" w:hAnsi="宋体" w:eastAsia="宋体" w:cs="宋体"/>
                      <w:color w:val="auto"/>
                      <w:spacing w:val="11"/>
                      <w:sz w:val="21"/>
                      <w:szCs w:val="21"/>
                    </w:rPr>
                    <w:t>物料时，应采用密闭</w:t>
                  </w:r>
                  <w:r>
                    <w:rPr>
                      <w:rFonts w:ascii="宋体" w:hAnsi="宋体" w:eastAsia="宋体" w:cs="宋体"/>
                      <w:color w:val="auto"/>
                      <w:spacing w:val="8"/>
                      <w:sz w:val="21"/>
                      <w:szCs w:val="21"/>
                    </w:rPr>
                    <w:t>容</w:t>
                  </w:r>
                  <w:r>
                    <w:rPr>
                      <w:rFonts w:ascii="宋体" w:hAnsi="宋体" w:eastAsia="宋体" w:cs="宋体"/>
                      <w:color w:val="auto"/>
                      <w:spacing w:val="6"/>
                      <w:sz w:val="21"/>
                      <w:szCs w:val="21"/>
                    </w:rPr>
                    <w:t>器、罐车。</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宋体" w:hAnsi="宋体" w:eastAsia="宋体" w:cs="宋体"/>
                      <w:color w:val="auto"/>
                      <w:spacing w:val="7"/>
                      <w:sz w:val="21"/>
                      <w:szCs w:val="21"/>
                      <w:lang w:eastAsia="zh-CN"/>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ascii="宋体" w:hAnsi="宋体" w:eastAsia="宋体" w:cs="宋体"/>
                      <w:color w:val="auto"/>
                      <w:spacing w:val="6"/>
                      <w:sz w:val="21"/>
                      <w:szCs w:val="21"/>
                    </w:rPr>
                    <w:t>危险废物为废</w:t>
                  </w:r>
                  <w:r>
                    <w:rPr>
                      <w:rFonts w:ascii="宋体" w:hAnsi="宋体" w:eastAsia="宋体" w:cs="宋体"/>
                      <w:color w:val="auto"/>
                      <w:spacing w:val="-4"/>
                      <w:sz w:val="21"/>
                      <w:szCs w:val="21"/>
                    </w:rPr>
                    <w:t>矿</w:t>
                  </w:r>
                  <w:r>
                    <w:rPr>
                      <w:rFonts w:ascii="宋体" w:hAnsi="宋体" w:eastAsia="宋体" w:cs="宋体"/>
                      <w:color w:val="auto"/>
                      <w:spacing w:val="-3"/>
                      <w:sz w:val="21"/>
                      <w:szCs w:val="21"/>
                    </w:rPr>
                    <w:t>物</w:t>
                  </w:r>
                  <w:r>
                    <w:rPr>
                      <w:rFonts w:ascii="宋体" w:hAnsi="宋体" w:eastAsia="宋体" w:cs="宋体"/>
                      <w:color w:val="auto"/>
                      <w:spacing w:val="-2"/>
                      <w:sz w:val="21"/>
                      <w:szCs w:val="21"/>
                    </w:rPr>
                    <w:t>油</w:t>
                  </w:r>
                  <w:r>
                    <w:rPr>
                      <w:rFonts w:hint="eastAsia" w:ascii="宋体" w:hAnsi="宋体" w:eastAsia="宋体" w:cs="宋体"/>
                      <w:color w:val="auto"/>
                      <w:spacing w:val="-2"/>
                      <w:sz w:val="21"/>
                      <w:szCs w:val="21"/>
                      <w:lang w:eastAsia="zh-CN"/>
                    </w:rPr>
                    <w:t>和废有机溶剂等</w:t>
                  </w:r>
                  <w:r>
                    <w:rPr>
                      <w:rFonts w:ascii="宋体" w:hAnsi="宋体" w:eastAsia="宋体" w:cs="宋体"/>
                      <w:color w:val="auto"/>
                      <w:spacing w:val="-2"/>
                      <w:sz w:val="21"/>
                      <w:szCs w:val="21"/>
                    </w:rPr>
                    <w:t>，以储</w:t>
                  </w:r>
                  <w:r>
                    <w:rPr>
                      <w:rFonts w:hint="eastAsia" w:ascii="宋体" w:hAnsi="宋体" w:cs="宋体"/>
                      <w:color w:val="auto"/>
                      <w:spacing w:val="-2"/>
                      <w:sz w:val="21"/>
                      <w:szCs w:val="21"/>
                      <w:lang w:eastAsia="zh-CN"/>
                    </w:rPr>
                    <w:t>存桶</w:t>
                  </w:r>
                  <w:r>
                    <w:rPr>
                      <w:rFonts w:ascii="宋体" w:hAnsi="宋体" w:eastAsia="宋体" w:cs="宋体"/>
                      <w:color w:val="auto"/>
                      <w:spacing w:val="-2"/>
                      <w:sz w:val="21"/>
                      <w:szCs w:val="21"/>
                    </w:rPr>
                    <w:t>形</w:t>
                  </w:r>
                  <w:r>
                    <w:rPr>
                      <w:rFonts w:ascii="宋体" w:hAnsi="宋体" w:eastAsia="宋体" w:cs="宋体"/>
                      <w:color w:val="auto"/>
                      <w:spacing w:val="-3"/>
                      <w:sz w:val="21"/>
                      <w:szCs w:val="21"/>
                    </w:rPr>
                    <w:t>式密闭贮存</w:t>
                  </w:r>
                  <w:r>
                    <w:rPr>
                      <w:rFonts w:ascii="宋体" w:hAnsi="宋体" w:eastAsia="宋体" w:cs="宋体"/>
                      <w:color w:val="auto"/>
                      <w:spacing w:val="-3"/>
                      <w:sz w:val="21"/>
                      <w:szCs w:val="21"/>
                      <w:highlight w:val="none"/>
                    </w:rPr>
                    <w:t>，</w:t>
                  </w:r>
                  <w:r>
                    <w:rPr>
                      <w:rFonts w:hint="eastAsia" w:ascii="宋体" w:hAnsi="宋体" w:cs="宋体"/>
                      <w:color w:val="auto"/>
                      <w:spacing w:val="-3"/>
                      <w:sz w:val="21"/>
                      <w:szCs w:val="21"/>
                      <w:highlight w:val="none"/>
                      <w:lang w:eastAsia="zh-CN"/>
                    </w:rPr>
                    <w:t>密闭容器</w:t>
                  </w:r>
                  <w:r>
                    <w:rPr>
                      <w:rFonts w:ascii="宋体" w:hAnsi="宋体" w:eastAsia="宋体" w:cs="宋体"/>
                      <w:color w:val="auto"/>
                      <w:spacing w:val="8"/>
                      <w:sz w:val="21"/>
                      <w:szCs w:val="21"/>
                      <w:highlight w:val="none"/>
                    </w:rPr>
                    <w:t>转</w:t>
                  </w:r>
                  <w:r>
                    <w:rPr>
                      <w:rFonts w:ascii="宋体" w:hAnsi="宋体" w:eastAsia="宋体" w:cs="宋体"/>
                      <w:color w:val="auto"/>
                      <w:spacing w:val="12"/>
                      <w:sz w:val="21"/>
                      <w:szCs w:val="21"/>
                      <w:highlight w:val="none"/>
                    </w:rPr>
                    <w:t>运</w:t>
                  </w:r>
                  <w:r>
                    <w:rPr>
                      <w:rFonts w:hint="eastAsia" w:ascii="宋体" w:hAnsi="宋体" w:eastAsia="宋体" w:cs="宋体"/>
                      <w:color w:val="auto"/>
                      <w:spacing w:val="8"/>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532"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ascii="宋体" w:hAnsi="宋体" w:eastAsia="宋体" w:cs="宋体"/>
                      <w:color w:val="auto"/>
                      <w:spacing w:val="8"/>
                      <w:sz w:val="21"/>
                      <w:szCs w:val="21"/>
                    </w:rPr>
                  </w:pP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52"/>
                    <w:textAlignment w:val="auto"/>
                    <w:rPr>
                      <w:rFonts w:ascii="Times New Roman" w:hAnsi="Times New Roman" w:eastAsia="Times New Roman" w:cs="Times New Roman"/>
                      <w:color w:val="auto"/>
                      <w:spacing w:val="6"/>
                      <w:sz w:val="21"/>
                      <w:szCs w:val="21"/>
                    </w:rPr>
                  </w:pPr>
                  <w:r>
                    <w:rPr>
                      <w:rFonts w:ascii="宋体" w:hAnsi="宋体" w:eastAsia="宋体" w:cs="宋体"/>
                      <w:color w:val="auto"/>
                      <w:spacing w:val="9"/>
                      <w:sz w:val="21"/>
                      <w:szCs w:val="21"/>
                    </w:rPr>
                    <w:t>粉</w:t>
                  </w:r>
                  <w:r>
                    <w:rPr>
                      <w:rFonts w:ascii="宋体" w:hAnsi="宋体" w:eastAsia="宋体" w:cs="宋体"/>
                      <w:color w:val="auto"/>
                      <w:spacing w:val="8"/>
                      <w:sz w:val="21"/>
                      <w:szCs w:val="21"/>
                    </w:rPr>
                    <w:t>状、粒状</w:t>
                  </w:r>
                  <w:r>
                    <w:rPr>
                      <w:rFonts w:ascii="宋体" w:hAnsi="宋体" w:eastAsia="宋体" w:cs="宋体"/>
                      <w:color w:val="auto"/>
                      <w:sz w:val="21"/>
                      <w:szCs w:val="21"/>
                    </w:rPr>
                    <w:t xml:space="preserve"> </w:t>
                  </w: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14"/>
                      <w:sz w:val="21"/>
                      <w:szCs w:val="21"/>
                    </w:rPr>
                    <w:t xml:space="preserve"> </w:t>
                  </w:r>
                  <w:r>
                    <w:rPr>
                      <w:rFonts w:ascii="宋体" w:hAnsi="宋体" w:eastAsia="宋体" w:cs="宋体"/>
                      <w:color w:val="auto"/>
                      <w:spacing w:val="14"/>
                      <w:sz w:val="21"/>
                      <w:szCs w:val="21"/>
                    </w:rPr>
                    <w:t>物</w:t>
                  </w:r>
                  <w:r>
                    <w:rPr>
                      <w:rFonts w:ascii="宋体" w:hAnsi="宋体" w:eastAsia="宋体" w:cs="宋体"/>
                      <w:color w:val="auto"/>
                      <w:spacing w:val="13"/>
                      <w:sz w:val="21"/>
                      <w:szCs w:val="21"/>
                    </w:rPr>
                    <w:t>料</w:t>
                  </w:r>
                  <w:r>
                    <w:rPr>
                      <w:rFonts w:hint="eastAsia" w:ascii="宋体" w:hAnsi="宋体" w:eastAsia="宋体" w:cs="宋体"/>
                      <w:color w:val="auto"/>
                      <w:spacing w:val="13"/>
                      <w:sz w:val="21"/>
                      <w:szCs w:val="21"/>
                      <w:lang w:eastAsia="zh-CN"/>
                    </w:rPr>
                    <w:t>：</w:t>
                  </w:r>
                  <w:r>
                    <w:rPr>
                      <w:rFonts w:ascii="宋体" w:hAnsi="宋体" w:eastAsia="宋体" w:cs="宋体"/>
                      <w:color w:val="auto"/>
                      <w:spacing w:val="13"/>
                      <w:sz w:val="21"/>
                      <w:szCs w:val="21"/>
                    </w:rPr>
                    <w:t>应</w:t>
                  </w:r>
                  <w:r>
                    <w:rPr>
                      <w:rFonts w:ascii="宋体" w:hAnsi="宋体" w:eastAsia="宋体" w:cs="宋体"/>
                      <w:color w:val="auto"/>
                      <w:spacing w:val="7"/>
                      <w:sz w:val="21"/>
                      <w:szCs w:val="21"/>
                    </w:rPr>
                    <w:t>采用气力输送设备、管状</w:t>
                  </w:r>
                  <w:r>
                    <w:rPr>
                      <w:rFonts w:ascii="宋体" w:hAnsi="宋体" w:eastAsia="宋体" w:cs="宋体"/>
                      <w:color w:val="auto"/>
                      <w:sz w:val="21"/>
                      <w:szCs w:val="21"/>
                    </w:rPr>
                    <w:t xml:space="preserve"> </w:t>
                  </w:r>
                  <w:r>
                    <w:rPr>
                      <w:rFonts w:ascii="宋体" w:hAnsi="宋体" w:eastAsia="宋体" w:cs="宋体"/>
                      <w:color w:val="auto"/>
                      <w:spacing w:val="12"/>
                      <w:sz w:val="21"/>
                      <w:szCs w:val="21"/>
                    </w:rPr>
                    <w:t>带</w:t>
                  </w:r>
                  <w:r>
                    <w:rPr>
                      <w:rFonts w:ascii="宋体" w:hAnsi="宋体" w:eastAsia="宋体" w:cs="宋体"/>
                      <w:color w:val="auto"/>
                      <w:spacing w:val="7"/>
                      <w:sz w:val="21"/>
                      <w:szCs w:val="21"/>
                    </w:rPr>
                    <w:t>式输送机、螺旋输送机等</w:t>
                  </w:r>
                  <w:r>
                    <w:rPr>
                      <w:rFonts w:ascii="宋体" w:hAnsi="宋体" w:eastAsia="宋体" w:cs="宋体"/>
                      <w:color w:val="auto"/>
                      <w:sz w:val="21"/>
                      <w:szCs w:val="21"/>
                    </w:rPr>
                    <w:t xml:space="preserve"> </w:t>
                  </w:r>
                  <w:r>
                    <w:rPr>
                      <w:rFonts w:ascii="宋体" w:hAnsi="宋体" w:eastAsia="宋体" w:cs="宋体"/>
                      <w:color w:val="auto"/>
                      <w:spacing w:val="12"/>
                      <w:sz w:val="21"/>
                      <w:szCs w:val="21"/>
                    </w:rPr>
                    <w:t>密</w:t>
                  </w:r>
                  <w:r>
                    <w:rPr>
                      <w:rFonts w:ascii="宋体" w:hAnsi="宋体" w:eastAsia="宋体" w:cs="宋体"/>
                      <w:color w:val="auto"/>
                      <w:spacing w:val="7"/>
                      <w:sz w:val="21"/>
                      <w:szCs w:val="21"/>
                    </w:rPr>
                    <w:t>闭输送方式，或者采用密</w:t>
                  </w:r>
                  <w:r>
                    <w:rPr>
                      <w:rFonts w:ascii="宋体" w:hAnsi="宋体" w:eastAsia="宋体" w:cs="宋体"/>
                      <w:color w:val="auto"/>
                      <w:spacing w:val="12"/>
                      <w:sz w:val="21"/>
                      <w:szCs w:val="21"/>
                    </w:rPr>
                    <w:t>闭</w:t>
                  </w:r>
                  <w:r>
                    <w:rPr>
                      <w:rFonts w:ascii="宋体" w:hAnsi="宋体" w:eastAsia="宋体" w:cs="宋体"/>
                      <w:color w:val="auto"/>
                      <w:spacing w:val="7"/>
                      <w:sz w:val="21"/>
                      <w:szCs w:val="21"/>
                    </w:rPr>
                    <w:t>的包装袋、容器或罐车行</w:t>
                  </w:r>
                  <w:r>
                    <w:rPr>
                      <w:rFonts w:ascii="宋体" w:hAnsi="宋体" w:eastAsia="宋体" w:cs="宋体"/>
                      <w:color w:val="auto"/>
                      <w:spacing w:val="6"/>
                      <w:sz w:val="21"/>
                      <w:szCs w:val="21"/>
                    </w:rPr>
                    <w:t>物料转移。</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宋体" w:hAnsi="宋体" w:eastAsia="宋体" w:cs="宋体"/>
                      <w:color w:val="auto"/>
                      <w:spacing w:val="7"/>
                      <w:sz w:val="21"/>
                      <w:szCs w:val="21"/>
                      <w:lang w:eastAsia="zh-CN"/>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ascii="宋体" w:hAnsi="宋体" w:eastAsia="宋体" w:cs="宋体"/>
                      <w:color w:val="auto"/>
                      <w:spacing w:val="6"/>
                      <w:sz w:val="21"/>
                      <w:szCs w:val="21"/>
                    </w:rPr>
                    <w:t>危险废物为废</w:t>
                  </w:r>
                  <w:r>
                    <w:rPr>
                      <w:rFonts w:ascii="宋体" w:hAnsi="宋体" w:eastAsia="宋体" w:cs="宋体"/>
                      <w:color w:val="auto"/>
                      <w:spacing w:val="-4"/>
                      <w:sz w:val="21"/>
                      <w:szCs w:val="21"/>
                    </w:rPr>
                    <w:t>矿</w:t>
                  </w:r>
                  <w:r>
                    <w:rPr>
                      <w:rFonts w:ascii="宋体" w:hAnsi="宋体" w:eastAsia="宋体" w:cs="宋体"/>
                      <w:color w:val="auto"/>
                      <w:spacing w:val="-3"/>
                      <w:sz w:val="21"/>
                      <w:szCs w:val="21"/>
                    </w:rPr>
                    <w:t>物</w:t>
                  </w:r>
                  <w:r>
                    <w:rPr>
                      <w:rFonts w:ascii="宋体" w:hAnsi="宋体" w:eastAsia="宋体" w:cs="宋体"/>
                      <w:color w:val="auto"/>
                      <w:spacing w:val="-2"/>
                      <w:sz w:val="21"/>
                      <w:szCs w:val="21"/>
                    </w:rPr>
                    <w:t>油</w:t>
                  </w:r>
                  <w:r>
                    <w:rPr>
                      <w:rFonts w:hint="eastAsia" w:ascii="宋体" w:hAnsi="宋体" w:eastAsia="宋体" w:cs="宋体"/>
                      <w:color w:val="auto"/>
                      <w:spacing w:val="-2"/>
                      <w:sz w:val="21"/>
                      <w:szCs w:val="21"/>
                      <w:lang w:eastAsia="zh-CN"/>
                    </w:rPr>
                    <w:t>和废有机溶剂等</w:t>
                  </w:r>
                  <w:r>
                    <w:rPr>
                      <w:rFonts w:ascii="宋体" w:hAnsi="宋体" w:eastAsia="宋体" w:cs="宋体"/>
                      <w:color w:val="auto"/>
                      <w:spacing w:val="-2"/>
                      <w:sz w:val="21"/>
                      <w:szCs w:val="21"/>
                    </w:rPr>
                    <w:t>，以储</w:t>
                  </w:r>
                  <w:r>
                    <w:rPr>
                      <w:rFonts w:hint="eastAsia" w:ascii="宋体" w:hAnsi="宋体" w:cs="宋体"/>
                      <w:color w:val="auto"/>
                      <w:spacing w:val="-2"/>
                      <w:sz w:val="21"/>
                      <w:szCs w:val="21"/>
                      <w:lang w:eastAsia="zh-CN"/>
                    </w:rPr>
                    <w:t>存桶</w:t>
                  </w:r>
                  <w:r>
                    <w:rPr>
                      <w:rFonts w:ascii="宋体" w:hAnsi="宋体" w:eastAsia="宋体" w:cs="宋体"/>
                      <w:color w:val="auto"/>
                      <w:spacing w:val="-2"/>
                      <w:sz w:val="21"/>
                      <w:szCs w:val="21"/>
                    </w:rPr>
                    <w:t>形</w:t>
                  </w:r>
                  <w:r>
                    <w:rPr>
                      <w:rFonts w:ascii="宋体" w:hAnsi="宋体" w:eastAsia="宋体" w:cs="宋体"/>
                      <w:color w:val="auto"/>
                      <w:spacing w:val="-3"/>
                      <w:sz w:val="21"/>
                      <w:szCs w:val="21"/>
                    </w:rPr>
                    <w:t>式密闭贮存</w:t>
                  </w:r>
                  <w:r>
                    <w:rPr>
                      <w:rFonts w:ascii="宋体" w:hAnsi="宋体" w:eastAsia="宋体" w:cs="宋体"/>
                      <w:color w:val="auto"/>
                      <w:spacing w:val="-3"/>
                      <w:sz w:val="21"/>
                      <w:szCs w:val="21"/>
                      <w:highlight w:val="none"/>
                    </w:rPr>
                    <w:t>，</w:t>
                  </w:r>
                  <w:r>
                    <w:rPr>
                      <w:rFonts w:hint="eastAsia" w:ascii="宋体" w:hAnsi="宋体" w:cs="宋体"/>
                      <w:color w:val="auto"/>
                      <w:spacing w:val="-3"/>
                      <w:sz w:val="21"/>
                      <w:szCs w:val="21"/>
                      <w:highlight w:val="none"/>
                      <w:lang w:eastAsia="zh-CN"/>
                    </w:rPr>
                    <w:t>密闭容器</w:t>
                  </w:r>
                  <w:r>
                    <w:rPr>
                      <w:rFonts w:ascii="宋体" w:hAnsi="宋体" w:eastAsia="宋体" w:cs="宋体"/>
                      <w:color w:val="auto"/>
                      <w:spacing w:val="8"/>
                      <w:sz w:val="21"/>
                      <w:szCs w:val="21"/>
                      <w:highlight w:val="none"/>
                    </w:rPr>
                    <w:t>转</w:t>
                  </w:r>
                  <w:r>
                    <w:rPr>
                      <w:rFonts w:ascii="宋体" w:hAnsi="宋体" w:eastAsia="宋体" w:cs="宋体"/>
                      <w:color w:val="auto"/>
                      <w:spacing w:val="12"/>
                      <w:sz w:val="21"/>
                      <w:szCs w:val="21"/>
                      <w:highlight w:val="none"/>
                    </w:rPr>
                    <w:t>运</w:t>
                  </w:r>
                  <w:r>
                    <w:rPr>
                      <w:rFonts w:hint="eastAsia" w:ascii="宋体" w:hAnsi="宋体" w:eastAsia="宋体" w:cs="宋体"/>
                      <w:color w:val="auto"/>
                      <w:spacing w:val="8"/>
                      <w:sz w:val="21"/>
                      <w:szCs w:val="21"/>
                      <w:highlight w:val="none"/>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工艺过程</w:t>
                  </w:r>
                </w:p>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VOCs 无组</w:t>
                  </w:r>
                </w:p>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织排放</w:t>
                  </w:r>
                </w:p>
              </w:tc>
              <w:tc>
                <w:tcPr>
                  <w:tcW w:w="532"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both"/>
                    <w:textAlignment w:val="auto"/>
                    <w:rPr>
                      <w:rFonts w:ascii="宋体" w:hAnsi="宋体" w:eastAsia="宋体" w:cs="宋体"/>
                      <w:color w:val="auto"/>
                      <w:spacing w:val="8"/>
                      <w:sz w:val="21"/>
                      <w:szCs w:val="21"/>
                    </w:rPr>
                  </w:pPr>
                  <w:r>
                    <w:rPr>
                      <w:rFonts w:hint="eastAsia" w:ascii="Times New Roman" w:hAnsi="Times New Roman" w:cs="Times New Roman"/>
                      <w:color w:val="auto"/>
                      <w:sz w:val="21"/>
                      <w:szCs w:val="21"/>
                      <w:lang w:val="en-US" w:eastAsia="zh-CN"/>
                    </w:rPr>
                    <w:t>VOCs</w:t>
                  </w:r>
                  <w:r>
                    <w:rPr>
                      <w:rFonts w:ascii="宋体" w:hAnsi="宋体" w:eastAsia="宋体" w:cs="宋体"/>
                      <w:color w:val="auto"/>
                      <w:spacing w:val="13"/>
                      <w:sz w:val="21"/>
                      <w:szCs w:val="21"/>
                    </w:rPr>
                    <w:t>物料投</w:t>
                  </w:r>
                  <w:r>
                    <w:rPr>
                      <w:rFonts w:ascii="宋体" w:hAnsi="宋体" w:eastAsia="宋体" w:cs="宋体"/>
                      <w:color w:val="auto"/>
                      <w:spacing w:val="8"/>
                      <w:sz w:val="21"/>
                      <w:szCs w:val="21"/>
                    </w:rPr>
                    <w:t>加</w:t>
                  </w:r>
                  <w:r>
                    <w:rPr>
                      <w:rFonts w:ascii="宋体" w:hAnsi="宋体" w:eastAsia="宋体" w:cs="宋体"/>
                      <w:color w:val="auto"/>
                      <w:spacing w:val="7"/>
                      <w:sz w:val="21"/>
                      <w:szCs w:val="21"/>
                    </w:rPr>
                    <w:t>和卸放</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center"/>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center"/>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Times New Roman" w:hAnsi="Times New Roman" w:eastAsia="Times New Roman" w:cs="Times New Roman"/>
                      <w:color w:val="auto"/>
                      <w:spacing w:val="6"/>
                      <w:sz w:val="21"/>
                      <w:szCs w:val="21"/>
                    </w:rPr>
                  </w:pPr>
                  <w:r>
                    <w:rPr>
                      <w:rFonts w:ascii="宋体" w:hAnsi="宋体" w:eastAsia="宋体" w:cs="宋体"/>
                      <w:color w:val="auto"/>
                      <w:spacing w:val="8"/>
                      <w:sz w:val="21"/>
                      <w:szCs w:val="21"/>
                    </w:rPr>
                    <w:t>无</w:t>
                  </w:r>
                  <w:r>
                    <w:rPr>
                      <w:rFonts w:ascii="宋体" w:hAnsi="宋体" w:eastAsia="宋体" w:cs="宋体"/>
                      <w:color w:val="auto"/>
                      <w:spacing w:val="6"/>
                      <w:sz w:val="21"/>
                      <w:szCs w:val="21"/>
                    </w:rPr>
                    <w:t>法密闭投加的，应在密闭空间内操作，</w:t>
                  </w:r>
                  <w:r>
                    <w:rPr>
                      <w:rFonts w:hint="eastAsia" w:ascii="宋体" w:hAnsi="宋体" w:eastAsia="宋体" w:cs="宋体"/>
                      <w:color w:val="auto"/>
                      <w:spacing w:val="6"/>
                      <w:sz w:val="21"/>
                      <w:szCs w:val="21"/>
                      <w:lang w:val="en-US" w:eastAsia="zh-CN"/>
                    </w:rPr>
                    <w:t>或进行局部气体收集，</w:t>
                  </w:r>
                  <w:r>
                    <w:rPr>
                      <w:rFonts w:ascii="宋体" w:hAnsi="宋体" w:eastAsia="宋体" w:cs="宋体"/>
                      <w:color w:val="auto"/>
                      <w:spacing w:val="3"/>
                      <w:sz w:val="21"/>
                      <w:szCs w:val="21"/>
                    </w:rPr>
                    <w:t>废气应排至</w:t>
                  </w:r>
                  <w:r>
                    <w:rPr>
                      <w:rFonts w:ascii="Times New Roman" w:hAnsi="Times New Roman" w:eastAsia="Times New Roman" w:cs="Times New Roman"/>
                      <w:color w:val="auto"/>
                      <w:sz w:val="21"/>
                      <w:szCs w:val="21"/>
                    </w:rPr>
                    <w:t xml:space="preserve">VOCs </w:t>
                  </w:r>
                  <w:r>
                    <w:rPr>
                      <w:rFonts w:ascii="宋体" w:hAnsi="宋体" w:eastAsia="宋体" w:cs="宋体"/>
                      <w:color w:val="auto"/>
                      <w:spacing w:val="8"/>
                      <w:sz w:val="21"/>
                      <w:szCs w:val="21"/>
                    </w:rPr>
                    <w:t>废气收集处理系统</w:t>
                  </w:r>
                  <w:r>
                    <w:rPr>
                      <w:rFonts w:ascii="宋体" w:hAnsi="宋体" w:eastAsia="宋体" w:cs="宋体"/>
                      <w:color w:val="auto"/>
                      <w:spacing w:val="6"/>
                      <w:sz w:val="21"/>
                      <w:szCs w:val="21"/>
                    </w:rPr>
                    <w:t>。</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ascii="宋体" w:hAnsi="宋体" w:eastAsia="宋体" w:cs="宋体"/>
                      <w:color w:val="auto"/>
                      <w:spacing w:val="7"/>
                      <w:sz w:val="21"/>
                      <w:szCs w:val="21"/>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ascii="宋体" w:hAnsi="宋体" w:eastAsia="宋体" w:cs="宋体"/>
                      <w:color w:val="auto"/>
                      <w:spacing w:val="6"/>
                      <w:sz w:val="21"/>
                      <w:szCs w:val="21"/>
                    </w:rPr>
                    <w:t>危险废物为废</w:t>
                  </w:r>
                  <w:r>
                    <w:rPr>
                      <w:rFonts w:ascii="宋体" w:hAnsi="宋体" w:eastAsia="宋体" w:cs="宋体"/>
                      <w:color w:val="auto"/>
                      <w:spacing w:val="-4"/>
                      <w:sz w:val="21"/>
                      <w:szCs w:val="21"/>
                    </w:rPr>
                    <w:t>矿</w:t>
                  </w:r>
                  <w:r>
                    <w:rPr>
                      <w:rFonts w:ascii="宋体" w:hAnsi="宋体" w:eastAsia="宋体" w:cs="宋体"/>
                      <w:color w:val="auto"/>
                      <w:spacing w:val="-3"/>
                      <w:sz w:val="21"/>
                      <w:szCs w:val="21"/>
                    </w:rPr>
                    <w:t>物</w:t>
                  </w:r>
                  <w:r>
                    <w:rPr>
                      <w:rFonts w:ascii="宋体" w:hAnsi="宋体" w:eastAsia="宋体" w:cs="宋体"/>
                      <w:color w:val="auto"/>
                      <w:spacing w:val="-2"/>
                      <w:sz w:val="21"/>
                      <w:szCs w:val="21"/>
                    </w:rPr>
                    <w:t>油</w:t>
                  </w:r>
                  <w:r>
                    <w:rPr>
                      <w:rFonts w:hint="eastAsia" w:ascii="宋体" w:hAnsi="宋体" w:eastAsia="宋体" w:cs="宋体"/>
                      <w:color w:val="auto"/>
                      <w:spacing w:val="-2"/>
                      <w:sz w:val="21"/>
                      <w:szCs w:val="21"/>
                      <w:lang w:eastAsia="zh-CN"/>
                    </w:rPr>
                    <w:t>和废有机溶剂等</w:t>
                  </w:r>
                  <w:r>
                    <w:rPr>
                      <w:rFonts w:ascii="宋体" w:hAnsi="宋体" w:eastAsia="宋体" w:cs="宋体"/>
                      <w:color w:val="auto"/>
                      <w:spacing w:val="-2"/>
                      <w:sz w:val="21"/>
                      <w:szCs w:val="21"/>
                    </w:rPr>
                    <w:t>，以储</w:t>
                  </w:r>
                  <w:r>
                    <w:rPr>
                      <w:rFonts w:hint="eastAsia" w:ascii="宋体" w:hAnsi="宋体" w:cs="宋体"/>
                      <w:color w:val="auto"/>
                      <w:spacing w:val="-2"/>
                      <w:sz w:val="21"/>
                      <w:szCs w:val="21"/>
                      <w:lang w:eastAsia="zh-CN"/>
                    </w:rPr>
                    <w:t>存桶</w:t>
                  </w:r>
                  <w:r>
                    <w:rPr>
                      <w:rFonts w:ascii="宋体" w:hAnsi="宋体" w:eastAsia="宋体" w:cs="宋体"/>
                      <w:color w:val="auto"/>
                      <w:spacing w:val="-2"/>
                      <w:sz w:val="21"/>
                      <w:szCs w:val="21"/>
                    </w:rPr>
                    <w:t>形</w:t>
                  </w:r>
                  <w:r>
                    <w:rPr>
                      <w:rFonts w:ascii="宋体" w:hAnsi="宋体" w:eastAsia="宋体" w:cs="宋体"/>
                      <w:color w:val="auto"/>
                      <w:spacing w:val="-3"/>
                      <w:sz w:val="21"/>
                      <w:szCs w:val="21"/>
                    </w:rPr>
                    <w:t>式密闭贮存</w:t>
                  </w:r>
                  <w:r>
                    <w:rPr>
                      <w:rFonts w:ascii="宋体" w:hAnsi="宋体" w:eastAsia="宋体" w:cs="宋体"/>
                      <w:color w:val="auto"/>
                      <w:spacing w:val="8"/>
                      <w:sz w:val="21"/>
                      <w:szCs w:val="21"/>
                    </w:rPr>
                    <w:t>，符合要求</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532"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ascii="宋体" w:hAnsi="宋体" w:eastAsia="宋体" w:cs="宋体"/>
                      <w:color w:val="auto"/>
                      <w:spacing w:val="8"/>
                      <w:sz w:val="21"/>
                      <w:szCs w:val="21"/>
                    </w:rPr>
                  </w:pP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z w:val="21"/>
                      <w:szCs w:val="21"/>
                    </w:rPr>
                    <w:t xml:space="preserve"> </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使用过程</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hanging="26" w:firstLineChars="0"/>
                    <w:jc w:val="left"/>
                    <w:textAlignment w:val="baseline"/>
                    <w:rPr>
                      <w:rFonts w:hint="default" w:ascii="Times New Roman" w:hAnsi="Times New Roman" w:eastAsia="宋体" w:cs="Times New Roman"/>
                      <w:color w:val="auto"/>
                      <w:spacing w:val="5"/>
                      <w:sz w:val="21"/>
                      <w:szCs w:val="21"/>
                    </w:rPr>
                  </w:pPr>
                  <w:r>
                    <w:rPr>
                      <w:rFonts w:hint="default" w:ascii="Times New Roman" w:hAnsi="Times New Roman" w:eastAsia="Times New Roman" w:cs="Times New Roman"/>
                      <w:color w:val="auto"/>
                      <w:spacing w:val="5"/>
                      <w:sz w:val="21"/>
                      <w:szCs w:val="21"/>
                    </w:rPr>
                    <w:t xml:space="preserve">1 </w:t>
                  </w:r>
                  <w:r>
                    <w:rPr>
                      <w:rFonts w:hint="default" w:ascii="Times New Roman" w:hAnsi="Times New Roman" w:eastAsia="宋体" w:cs="Times New Roman"/>
                      <w:color w:val="auto"/>
                      <w:spacing w:val="5"/>
                      <w:sz w:val="21"/>
                      <w:szCs w:val="21"/>
                    </w:rPr>
                    <w:t>、调配、涂装、印刷、粘结、印染、</w:t>
                  </w:r>
                  <w:r>
                    <w:rPr>
                      <w:rFonts w:hint="default" w:ascii="Times New Roman" w:hAnsi="Times New Roman" w:eastAsia="宋体" w:cs="Times New Roman"/>
                      <w:color w:val="auto"/>
                      <w:spacing w:val="2"/>
                      <w:sz w:val="21"/>
                      <w:szCs w:val="21"/>
                    </w:rPr>
                    <w:t>干</w:t>
                  </w:r>
                  <w:r>
                    <w:rPr>
                      <w:rFonts w:hint="default" w:ascii="Times New Roman" w:hAnsi="Times New Roman" w:eastAsia="宋体" w:cs="Times New Roman"/>
                      <w:color w:val="auto"/>
                      <w:spacing w:val="11"/>
                      <w:sz w:val="21"/>
                      <w:szCs w:val="21"/>
                    </w:rPr>
                    <w:t>燥</w:t>
                  </w:r>
                  <w:r>
                    <w:rPr>
                      <w:rFonts w:hint="default" w:ascii="Times New Roman" w:hAnsi="Times New Roman" w:eastAsia="宋体" w:cs="Times New Roman"/>
                      <w:color w:val="auto"/>
                      <w:spacing w:val="7"/>
                      <w:sz w:val="21"/>
                      <w:szCs w:val="21"/>
                    </w:rPr>
                    <w:t xml:space="preserve">、清洗等过程中使用 </w:t>
                  </w:r>
                  <w:r>
                    <w:rPr>
                      <w:rFonts w:hint="default" w:ascii="Times New Roman" w:hAnsi="Times New Roman" w:eastAsia="Times New Roman" w:cs="Times New Roman"/>
                      <w:color w:val="auto"/>
                      <w:sz w:val="21"/>
                      <w:szCs w:val="21"/>
                    </w:rPr>
                    <w:t>VOCs</w:t>
                  </w:r>
                  <w:r>
                    <w:rPr>
                      <w:rFonts w:hint="default" w:ascii="Times New Roman" w:hAnsi="Times New Roman" w:eastAsia="Times New Roman" w:cs="Times New Roman"/>
                      <w:color w:val="auto"/>
                      <w:spacing w:val="7"/>
                      <w:sz w:val="21"/>
                      <w:szCs w:val="21"/>
                    </w:rPr>
                    <w:t xml:space="preserve"> </w:t>
                  </w:r>
                  <w:r>
                    <w:rPr>
                      <w:rFonts w:hint="default" w:ascii="Times New Roman" w:hAnsi="Times New Roman" w:eastAsia="宋体" w:cs="Times New Roman"/>
                      <w:color w:val="auto"/>
                      <w:spacing w:val="7"/>
                      <w:sz w:val="21"/>
                      <w:szCs w:val="21"/>
                    </w:rPr>
                    <w:t>含量大于</w:t>
                  </w:r>
                  <w:r>
                    <w:rPr>
                      <w:rFonts w:hint="default" w:ascii="Times New Roman" w:hAnsi="Times New Roman" w:eastAsia="宋体" w:cs="Times New Roman"/>
                      <w:color w:val="auto"/>
                      <w:spacing w:val="10"/>
                      <w:sz w:val="21"/>
                      <w:szCs w:val="21"/>
                    </w:rPr>
                    <w:t>等于</w:t>
                  </w:r>
                  <w:r>
                    <w:rPr>
                      <w:rFonts w:hint="default" w:ascii="Times New Roman" w:hAnsi="Times New Roman" w:eastAsia="宋体" w:cs="Times New Roman"/>
                      <w:color w:val="auto"/>
                      <w:spacing w:val="9"/>
                      <w:sz w:val="21"/>
                      <w:szCs w:val="21"/>
                    </w:rPr>
                    <w:t xml:space="preserve"> </w:t>
                  </w:r>
                  <w:r>
                    <w:rPr>
                      <w:rFonts w:hint="default" w:ascii="Times New Roman" w:hAnsi="Times New Roman" w:eastAsia="Times New Roman" w:cs="Times New Roman"/>
                      <w:color w:val="auto"/>
                      <w:spacing w:val="5"/>
                      <w:sz w:val="21"/>
                      <w:szCs w:val="21"/>
                    </w:rPr>
                    <w:t>10%</w:t>
                  </w:r>
                  <w:r>
                    <w:rPr>
                      <w:rFonts w:hint="default" w:ascii="Times New Roman" w:hAnsi="Times New Roman" w:eastAsia="宋体" w:cs="Times New Roman"/>
                      <w:color w:val="auto"/>
                      <w:spacing w:val="5"/>
                      <w:sz w:val="21"/>
                      <w:szCs w:val="21"/>
                    </w:rPr>
                    <w:t>的产品，其使用过程应采用密</w:t>
                  </w:r>
                  <w:r>
                    <w:rPr>
                      <w:rFonts w:hint="default" w:ascii="Times New Roman" w:hAnsi="Times New Roman" w:eastAsia="宋体" w:cs="Times New Roman"/>
                      <w:color w:val="auto"/>
                      <w:spacing w:val="5"/>
                      <w:sz w:val="21"/>
                      <w:szCs w:val="21"/>
                      <w:lang w:val="en-US" w:eastAsia="zh-CN"/>
                    </w:rPr>
                    <w:t xml:space="preserve">闭设备或在密闭空间内操作，或采取局部气体收集措施；废气应排至VOCs 废气收集处理系统。 </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hanging="26" w:firstLineChars="0"/>
                    <w:jc w:val="left"/>
                    <w:textAlignment w:val="baseline"/>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lang w:val="en-US" w:eastAsia="zh-CN"/>
                    </w:rPr>
                    <w:t>2、有机聚合物产品用于制品生产的过程，在（混合/混炼、塑炼/塑化/熔化、加工成型（挤出、注射、压制、压延、发泡、纺丝等）等作业中应采用密闭设备或在密闭空间内操作，或采取局部气体收集措施；废气应排至VOCs 废气收集处理系统。</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hanging="26" w:firstLineChars="0"/>
                    <w:jc w:val="left"/>
                    <w:textAlignment w:val="baseline"/>
                    <w:rPr>
                      <w:rFonts w:hint="default" w:ascii="Times New Roman" w:hAnsi="Times New Roman" w:eastAsia="Times New Roman" w:cs="Times New Roman"/>
                      <w:color w:val="auto"/>
                      <w:spacing w:val="6"/>
                      <w:sz w:val="21"/>
                      <w:szCs w:val="21"/>
                    </w:rPr>
                  </w:pPr>
                </w:p>
              </w:tc>
              <w:tc>
                <w:tcPr>
                  <w:tcW w:w="990" w:type="pct"/>
                  <w:tcBorders>
                    <w:lef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hint="default" w:ascii="Times New Roman" w:hAnsi="Times New Roman" w:eastAsia="宋体" w:cs="Times New Roman"/>
                      <w:color w:val="auto"/>
                      <w:spacing w:val="2"/>
                      <w:sz w:val="21"/>
                      <w:szCs w:val="21"/>
                    </w:rPr>
                    <w:t>涉</w:t>
                  </w:r>
                  <w:r>
                    <w:rPr>
                      <w:rFonts w:hint="eastAsia" w:cs="Times New Roman"/>
                      <w:color w:val="auto"/>
                      <w:spacing w:val="2"/>
                      <w:sz w:val="21"/>
                      <w:szCs w:val="21"/>
                      <w:lang w:eastAsia="zh-CN"/>
                    </w:rPr>
                    <w:t>及</w:t>
                  </w:r>
                  <w:r>
                    <w:rPr>
                      <w:rFonts w:hint="default" w:ascii="Times New Roman" w:hAnsi="Times New Roman" w:eastAsia="Times New Roman" w:cs="Times New Roman"/>
                      <w:color w:val="auto"/>
                      <w:sz w:val="21"/>
                      <w:szCs w:val="21"/>
                    </w:rPr>
                    <w:t>VOCs</w:t>
                  </w:r>
                  <w:r>
                    <w:rPr>
                      <w:rFonts w:hint="default" w:ascii="Times New Roman" w:hAnsi="Times New Roman" w:eastAsia="宋体" w:cs="Times New Roman"/>
                      <w:color w:val="auto"/>
                      <w:spacing w:val="7"/>
                      <w:sz w:val="21"/>
                      <w:szCs w:val="21"/>
                    </w:rPr>
                    <w:t>的</w:t>
                  </w:r>
                  <w:r>
                    <w:rPr>
                      <w:rFonts w:hint="default" w:ascii="Times New Roman" w:hAnsi="Times New Roman" w:eastAsia="宋体" w:cs="Times New Roman"/>
                      <w:color w:val="auto"/>
                      <w:spacing w:val="6"/>
                      <w:sz w:val="21"/>
                      <w:szCs w:val="21"/>
                    </w:rPr>
                    <w:t>危险废物为废</w:t>
                  </w:r>
                  <w:r>
                    <w:rPr>
                      <w:rFonts w:hint="default" w:ascii="Times New Roman" w:hAnsi="Times New Roman" w:eastAsia="宋体" w:cs="Times New Roman"/>
                      <w:color w:val="auto"/>
                      <w:spacing w:val="-4"/>
                      <w:sz w:val="21"/>
                      <w:szCs w:val="21"/>
                    </w:rPr>
                    <w:t>矿</w:t>
                  </w:r>
                  <w:r>
                    <w:rPr>
                      <w:rFonts w:hint="default" w:ascii="Times New Roman" w:hAnsi="Times New Roman" w:eastAsia="宋体" w:cs="Times New Roman"/>
                      <w:color w:val="auto"/>
                      <w:spacing w:val="-3"/>
                      <w:sz w:val="21"/>
                      <w:szCs w:val="21"/>
                    </w:rPr>
                    <w:t>物</w:t>
                  </w:r>
                  <w:r>
                    <w:rPr>
                      <w:rFonts w:hint="default" w:ascii="Times New Roman" w:hAnsi="Times New Roman" w:eastAsia="宋体" w:cs="Times New Roman"/>
                      <w:color w:val="auto"/>
                      <w:spacing w:val="-2"/>
                      <w:sz w:val="21"/>
                      <w:szCs w:val="21"/>
                    </w:rPr>
                    <w:t>油</w:t>
                  </w:r>
                  <w:r>
                    <w:rPr>
                      <w:rFonts w:hint="default" w:ascii="Times New Roman" w:hAnsi="Times New Roman" w:eastAsia="宋体" w:cs="Times New Roman"/>
                      <w:color w:val="auto"/>
                      <w:spacing w:val="-2"/>
                      <w:sz w:val="21"/>
                      <w:szCs w:val="21"/>
                      <w:lang w:eastAsia="zh-CN"/>
                    </w:rPr>
                    <w:t>和废有机溶剂等</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）+经活性炭吸附装置处理，由17m高排气筒排放</w:t>
                  </w:r>
                  <w:r>
                    <w:rPr>
                      <w:rFonts w:hint="default"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default" w:ascii="Times New Roman" w:hAnsi="Times New Roman" w:eastAsia="宋体" w:cs="Times New Roman"/>
                      <w:color w:val="auto"/>
                      <w:spacing w:val="-2"/>
                      <w:sz w:val="21"/>
                      <w:szCs w:val="21"/>
                      <w:lang w:val="en-US" w:eastAsia="zh-CN"/>
                    </w:rPr>
                    <w:t>符合要求</w:t>
                  </w:r>
                  <w:r>
                    <w:rPr>
                      <w:rFonts w:hint="eastAsia" w:ascii="Times New Roman" w:hAnsi="Times New Roman" w:cs="Times New Roman"/>
                      <w:color w:val="auto"/>
                      <w:spacing w:val="-2"/>
                      <w:sz w:val="21"/>
                      <w:szCs w:val="21"/>
                      <w:lang w:val="en-US"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r>
                    <w:rPr>
                      <w:rFonts w:hint="default" w:ascii="Times New Roman" w:hAnsi="Times New Roman" w:eastAsia="宋体" w:cs="Times New Roman"/>
                      <w:color w:val="auto"/>
                      <w:spacing w:val="8"/>
                      <w:sz w:val="21"/>
                      <w:szCs w:val="21"/>
                    </w:rPr>
                    <w:t xml:space="preserve">VOCs </w:t>
                  </w:r>
                  <w:r>
                    <w:rPr>
                      <w:rFonts w:ascii="宋体" w:hAnsi="宋体" w:eastAsia="宋体" w:cs="宋体"/>
                      <w:color w:val="auto"/>
                      <w:spacing w:val="8"/>
                      <w:sz w:val="21"/>
                      <w:szCs w:val="21"/>
                    </w:rPr>
                    <w:t>无组</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r>
                    <w:rPr>
                      <w:rFonts w:ascii="宋体" w:hAnsi="宋体" w:eastAsia="宋体" w:cs="宋体"/>
                      <w:color w:val="auto"/>
                      <w:spacing w:val="8"/>
                      <w:sz w:val="21"/>
                      <w:szCs w:val="21"/>
                    </w:rPr>
                    <w:t>织废气收</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r>
                    <w:rPr>
                      <w:rFonts w:ascii="宋体" w:hAnsi="宋体" w:eastAsia="宋体" w:cs="宋体"/>
                      <w:color w:val="auto"/>
                      <w:spacing w:val="8"/>
                      <w:sz w:val="21"/>
                      <w:szCs w:val="21"/>
                    </w:rPr>
                    <w:t>集处理系</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hint="eastAsia" w:ascii="Times New Roman" w:hAnsi="Times New Roman" w:cs="Times New Roman"/>
                      <w:color w:val="auto"/>
                      <w:sz w:val="21"/>
                      <w:szCs w:val="21"/>
                      <w:lang w:val="en-US" w:eastAsia="zh-CN"/>
                    </w:rPr>
                  </w:pPr>
                  <w:r>
                    <w:rPr>
                      <w:rFonts w:ascii="宋体" w:hAnsi="宋体" w:eastAsia="宋体" w:cs="宋体"/>
                      <w:color w:val="auto"/>
                      <w:spacing w:val="8"/>
                      <w:sz w:val="21"/>
                      <w:szCs w:val="21"/>
                    </w:rPr>
                    <w:t>统</w:t>
                  </w:r>
                </w:p>
              </w:tc>
              <w:tc>
                <w:tcPr>
                  <w:tcW w:w="532" w:type="pct"/>
                  <w:tcBorders>
                    <w:right w:val="single" w:color="auto" w:sz="4" w:space="0"/>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center"/>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center"/>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center"/>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center"/>
                    <w:textAlignment w:val="baseline"/>
                    <w:rPr>
                      <w:rFonts w:ascii="宋体" w:hAnsi="宋体" w:eastAsia="宋体" w:cs="宋体"/>
                      <w:color w:val="auto"/>
                      <w:spacing w:val="8"/>
                      <w:sz w:val="21"/>
                      <w:szCs w:val="21"/>
                    </w:rPr>
                  </w:pPr>
                  <w:r>
                    <w:rPr>
                      <w:rFonts w:ascii="宋体" w:hAnsi="宋体" w:eastAsia="宋体" w:cs="宋体"/>
                      <w:color w:val="auto"/>
                      <w:spacing w:val="8"/>
                      <w:sz w:val="21"/>
                      <w:szCs w:val="21"/>
                    </w:rPr>
                    <w:t>基</w:t>
                  </w:r>
                  <w:r>
                    <w:rPr>
                      <w:rFonts w:ascii="宋体" w:hAnsi="宋体" w:eastAsia="宋体" w:cs="宋体"/>
                      <w:color w:val="auto"/>
                      <w:spacing w:val="7"/>
                      <w:sz w:val="21"/>
                      <w:szCs w:val="21"/>
                    </w:rPr>
                    <w:t>本要求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Times New Roman" w:hAnsi="Times New Roman" w:eastAsia="Times New Roman" w:cs="Times New Roman"/>
                      <w:color w:val="auto"/>
                      <w:spacing w:val="6"/>
                      <w:sz w:val="21"/>
                      <w:szCs w:val="21"/>
                    </w:rPr>
                  </w:pPr>
                  <w:r>
                    <w:rPr>
                      <w:rFonts w:ascii="Times New Roman" w:hAnsi="Times New Roman" w:eastAsia="Times New Roman" w:cs="Times New Roman"/>
                      <w:color w:val="auto"/>
                      <w:sz w:val="21"/>
                      <w:szCs w:val="21"/>
                    </w:rPr>
                    <w:t>VOCs</w:t>
                  </w:r>
                  <w:r>
                    <w:rPr>
                      <w:rFonts w:ascii="宋体" w:hAnsi="宋体" w:eastAsia="宋体" w:cs="宋体"/>
                      <w:color w:val="auto"/>
                      <w:spacing w:val="11"/>
                      <w:sz w:val="21"/>
                      <w:szCs w:val="21"/>
                    </w:rPr>
                    <w:t>废气收集处理系统与生产工艺</w:t>
                  </w:r>
                  <w:r>
                    <w:rPr>
                      <w:rFonts w:ascii="宋体" w:hAnsi="宋体" w:eastAsia="宋体" w:cs="宋体"/>
                      <w:color w:val="auto"/>
                      <w:spacing w:val="10"/>
                      <w:sz w:val="21"/>
                      <w:szCs w:val="21"/>
                    </w:rPr>
                    <w:t>设</w:t>
                  </w:r>
                  <w:r>
                    <w:rPr>
                      <w:rFonts w:ascii="宋体" w:hAnsi="宋体" w:eastAsia="宋体" w:cs="宋体"/>
                      <w:color w:val="auto"/>
                      <w:spacing w:val="12"/>
                      <w:sz w:val="21"/>
                      <w:szCs w:val="21"/>
                    </w:rPr>
                    <w:t>备</w:t>
                  </w:r>
                  <w:r>
                    <w:rPr>
                      <w:rFonts w:ascii="宋体" w:hAnsi="宋体" w:eastAsia="宋体" w:cs="宋体"/>
                      <w:color w:val="auto"/>
                      <w:spacing w:val="10"/>
                      <w:sz w:val="21"/>
                      <w:szCs w:val="21"/>
                    </w:rPr>
                    <w:t>同</w:t>
                  </w:r>
                  <w:r>
                    <w:rPr>
                      <w:rFonts w:ascii="宋体" w:hAnsi="宋体" w:eastAsia="宋体" w:cs="宋体"/>
                      <w:color w:val="auto"/>
                      <w:spacing w:val="6"/>
                      <w:sz w:val="21"/>
                      <w:szCs w:val="21"/>
                    </w:rPr>
                    <w:t>步运行。</w:t>
                  </w: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6"/>
                      <w:sz w:val="21"/>
                      <w:szCs w:val="21"/>
                    </w:rPr>
                    <w:t xml:space="preserve"> </w:t>
                  </w:r>
                  <w:r>
                    <w:rPr>
                      <w:rFonts w:ascii="宋体" w:hAnsi="宋体" w:eastAsia="宋体" w:cs="宋体"/>
                      <w:color w:val="auto"/>
                      <w:spacing w:val="6"/>
                      <w:sz w:val="21"/>
                      <w:szCs w:val="21"/>
                    </w:rPr>
                    <w:t>废气收集处理系统发</w:t>
                  </w:r>
                  <w:r>
                    <w:rPr>
                      <w:rFonts w:ascii="宋体" w:hAnsi="宋体" w:eastAsia="宋体" w:cs="宋体"/>
                      <w:color w:val="auto"/>
                      <w:spacing w:val="15"/>
                      <w:sz w:val="21"/>
                      <w:szCs w:val="21"/>
                    </w:rPr>
                    <w:t>生</w:t>
                  </w:r>
                  <w:r>
                    <w:rPr>
                      <w:rFonts w:ascii="宋体" w:hAnsi="宋体" w:eastAsia="宋体" w:cs="宋体"/>
                      <w:color w:val="auto"/>
                      <w:spacing w:val="9"/>
                      <w:sz w:val="21"/>
                      <w:szCs w:val="21"/>
                    </w:rPr>
                    <w:t>故障或检修时，对应的生产工艺设备</w:t>
                  </w:r>
                  <w:r>
                    <w:rPr>
                      <w:rFonts w:ascii="宋体" w:hAnsi="宋体" w:eastAsia="宋体" w:cs="宋体"/>
                      <w:color w:val="auto"/>
                      <w:spacing w:val="16"/>
                      <w:sz w:val="21"/>
                      <w:szCs w:val="21"/>
                    </w:rPr>
                    <w:t>应</w:t>
                  </w:r>
                  <w:r>
                    <w:rPr>
                      <w:rFonts w:ascii="宋体" w:hAnsi="宋体" w:eastAsia="宋体" w:cs="宋体"/>
                      <w:color w:val="auto"/>
                      <w:spacing w:val="9"/>
                      <w:sz w:val="21"/>
                      <w:szCs w:val="21"/>
                    </w:rPr>
                    <w:t>停止运行，待检修完毕后同步投入使</w:t>
                  </w:r>
                  <w:r>
                    <w:rPr>
                      <w:rFonts w:ascii="宋体" w:hAnsi="宋体" w:eastAsia="宋体" w:cs="宋体"/>
                      <w:color w:val="auto"/>
                      <w:spacing w:val="15"/>
                      <w:sz w:val="21"/>
                      <w:szCs w:val="21"/>
                    </w:rPr>
                    <w:t>用</w:t>
                  </w:r>
                  <w:r>
                    <w:rPr>
                      <w:rFonts w:ascii="宋体" w:hAnsi="宋体" w:eastAsia="宋体" w:cs="宋体"/>
                      <w:color w:val="auto"/>
                      <w:spacing w:val="9"/>
                      <w:sz w:val="21"/>
                      <w:szCs w:val="21"/>
                    </w:rPr>
                    <w:t>；生产工艺设备不能停止运行或不能</w:t>
                  </w:r>
                  <w:r>
                    <w:rPr>
                      <w:rFonts w:ascii="宋体" w:hAnsi="宋体" w:eastAsia="宋体" w:cs="宋体"/>
                      <w:color w:val="auto"/>
                      <w:spacing w:val="17"/>
                      <w:sz w:val="21"/>
                      <w:szCs w:val="21"/>
                    </w:rPr>
                    <w:t>及</w:t>
                  </w:r>
                  <w:r>
                    <w:rPr>
                      <w:rFonts w:ascii="宋体" w:hAnsi="宋体" w:eastAsia="宋体" w:cs="宋体"/>
                      <w:color w:val="auto"/>
                      <w:spacing w:val="9"/>
                      <w:sz w:val="21"/>
                      <w:szCs w:val="21"/>
                    </w:rPr>
                    <w:t>时停止运行的，应设置废气应急处理设</w:t>
                  </w:r>
                  <w:r>
                    <w:rPr>
                      <w:rFonts w:ascii="宋体" w:hAnsi="宋体" w:eastAsia="宋体" w:cs="宋体"/>
                      <w:color w:val="auto"/>
                      <w:spacing w:val="8"/>
                      <w:sz w:val="21"/>
                      <w:szCs w:val="21"/>
                    </w:rPr>
                    <w:t>施或采取其他替代措施。</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宋体" w:hAnsi="宋体" w:eastAsia="宋体" w:cs="宋体"/>
                      <w:color w:val="auto"/>
                      <w:spacing w:val="7"/>
                      <w:sz w:val="21"/>
                      <w:szCs w:val="21"/>
                      <w:lang w:eastAsia="zh-CN"/>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hint="default" w:ascii="Times New Roman" w:hAnsi="Times New Roman" w:eastAsia="宋体" w:cs="Times New Roman"/>
                      <w:color w:val="auto"/>
                      <w:spacing w:val="6"/>
                      <w:sz w:val="21"/>
                      <w:szCs w:val="21"/>
                    </w:rPr>
                    <w:t>危险废物为废</w:t>
                  </w:r>
                  <w:r>
                    <w:rPr>
                      <w:rFonts w:hint="default" w:ascii="Times New Roman" w:hAnsi="Times New Roman" w:eastAsia="宋体" w:cs="Times New Roman"/>
                      <w:color w:val="auto"/>
                      <w:spacing w:val="-4"/>
                      <w:sz w:val="21"/>
                      <w:szCs w:val="21"/>
                    </w:rPr>
                    <w:t>矿</w:t>
                  </w:r>
                  <w:r>
                    <w:rPr>
                      <w:rFonts w:hint="default" w:ascii="Times New Roman" w:hAnsi="Times New Roman" w:eastAsia="宋体" w:cs="Times New Roman"/>
                      <w:color w:val="auto"/>
                      <w:spacing w:val="-3"/>
                      <w:sz w:val="21"/>
                      <w:szCs w:val="21"/>
                    </w:rPr>
                    <w:t>物</w:t>
                  </w:r>
                  <w:r>
                    <w:rPr>
                      <w:rFonts w:hint="default" w:ascii="Times New Roman" w:hAnsi="Times New Roman" w:eastAsia="宋体" w:cs="Times New Roman"/>
                      <w:color w:val="auto"/>
                      <w:spacing w:val="-2"/>
                      <w:sz w:val="21"/>
                      <w:szCs w:val="21"/>
                    </w:rPr>
                    <w:t>油</w:t>
                  </w:r>
                  <w:r>
                    <w:rPr>
                      <w:rFonts w:hint="default" w:ascii="Times New Roman" w:hAnsi="Times New Roman" w:eastAsia="宋体" w:cs="Times New Roman"/>
                      <w:color w:val="auto"/>
                      <w:spacing w:val="-2"/>
                      <w:sz w:val="21"/>
                      <w:szCs w:val="21"/>
                      <w:lang w:eastAsia="zh-CN"/>
                    </w:rPr>
                    <w:t>和废有机溶剂等</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）+经活性炭吸附装置处理，由17m高排气筒排放</w:t>
                  </w:r>
                  <w:r>
                    <w:rPr>
                      <w:rFonts w:hint="default"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eastAsia" w:ascii="宋体" w:hAnsi="宋体" w:eastAsia="宋体" w:cs="宋体"/>
                      <w:color w:val="auto"/>
                      <w:spacing w:val="7"/>
                      <w:sz w:val="21"/>
                      <w:szCs w:val="21"/>
                      <w:lang w:eastAsia="zh-CN"/>
                    </w:rPr>
                    <w:t>及时对环保设备进行检查维护，确保正常运行。</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hint="eastAsia" w:ascii="宋体" w:hAnsi="宋体" w:eastAsia="宋体" w:cs="宋体"/>
                      <w:color w:val="auto"/>
                      <w:spacing w:val="8"/>
                      <w:sz w:val="21"/>
                      <w:szCs w:val="21"/>
                      <w:lang w:val="en-US" w:eastAsia="zh-CN"/>
                    </w:rPr>
                  </w:pPr>
                </w:p>
              </w:tc>
              <w:tc>
                <w:tcPr>
                  <w:tcW w:w="532" w:type="pct"/>
                  <w:tcBorders>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r>
                    <w:rPr>
                      <w:rFonts w:ascii="宋体" w:hAnsi="宋体" w:eastAsia="宋体" w:cs="宋体"/>
                      <w:color w:val="auto"/>
                      <w:spacing w:val="8"/>
                      <w:sz w:val="21"/>
                      <w:szCs w:val="21"/>
                    </w:rPr>
                    <w:t>废气收集系 统要求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宋体" w:hAnsi="宋体" w:eastAsia="宋体" w:cs="宋体"/>
                      <w:color w:val="auto"/>
                      <w:sz w:val="21"/>
                      <w:szCs w:val="21"/>
                    </w:rPr>
                  </w:pPr>
                  <w:r>
                    <w:rPr>
                      <w:rFonts w:ascii="Times New Roman" w:hAnsi="Times New Roman" w:eastAsia="Times New Roman" w:cs="Times New Roman"/>
                      <w:color w:val="auto"/>
                      <w:spacing w:val="5"/>
                      <w:position w:val="1"/>
                      <w:sz w:val="21"/>
                      <w:szCs w:val="21"/>
                    </w:rPr>
                    <w:t xml:space="preserve">1 </w:t>
                  </w:r>
                  <w:r>
                    <w:rPr>
                      <w:rFonts w:ascii="宋体" w:hAnsi="宋体" w:eastAsia="宋体" w:cs="宋体"/>
                      <w:color w:val="auto"/>
                      <w:spacing w:val="5"/>
                      <w:position w:val="1"/>
                      <w:sz w:val="21"/>
                      <w:szCs w:val="21"/>
                    </w:rPr>
                    <w:t>、企业应考虑生产工艺、操作方式、</w:t>
                  </w:r>
                  <w:r>
                    <w:rPr>
                      <w:rFonts w:ascii="宋体" w:hAnsi="宋体" w:eastAsia="宋体" w:cs="宋体"/>
                      <w:color w:val="auto"/>
                      <w:spacing w:val="2"/>
                      <w:position w:val="1"/>
                      <w:sz w:val="21"/>
                      <w:szCs w:val="21"/>
                    </w:rPr>
                    <w:t>废</w:t>
                  </w:r>
                  <w:r>
                    <w:rPr>
                      <w:rFonts w:ascii="宋体" w:hAnsi="宋体" w:eastAsia="宋体" w:cs="宋体"/>
                      <w:color w:val="auto"/>
                      <w:spacing w:val="7"/>
                      <w:sz w:val="21"/>
                      <w:szCs w:val="21"/>
                    </w:rPr>
                    <w:t>气性质、处理方法等因素，对</w:t>
                  </w: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7"/>
                      <w:sz w:val="21"/>
                      <w:szCs w:val="21"/>
                    </w:rPr>
                    <w:t xml:space="preserve"> </w:t>
                  </w:r>
                  <w:r>
                    <w:rPr>
                      <w:rFonts w:ascii="宋体" w:hAnsi="宋体" w:eastAsia="宋体" w:cs="宋体"/>
                      <w:color w:val="auto"/>
                      <w:spacing w:val="4"/>
                      <w:sz w:val="21"/>
                      <w:szCs w:val="21"/>
                    </w:rPr>
                    <w:t>废</w:t>
                  </w:r>
                  <w:r>
                    <w:rPr>
                      <w:rFonts w:ascii="宋体" w:hAnsi="宋体" w:eastAsia="宋体" w:cs="宋体"/>
                      <w:color w:val="auto"/>
                      <w:sz w:val="21"/>
                      <w:szCs w:val="21"/>
                    </w:rPr>
                    <w:t xml:space="preserve"> </w:t>
                  </w:r>
                  <w:r>
                    <w:rPr>
                      <w:rFonts w:ascii="宋体" w:hAnsi="宋体" w:eastAsia="宋体" w:cs="宋体"/>
                      <w:color w:val="auto"/>
                      <w:spacing w:val="10"/>
                      <w:sz w:val="21"/>
                      <w:szCs w:val="21"/>
                    </w:rPr>
                    <w:t>气</w:t>
                  </w:r>
                  <w:r>
                    <w:rPr>
                      <w:rFonts w:ascii="宋体" w:hAnsi="宋体" w:eastAsia="宋体" w:cs="宋体"/>
                      <w:color w:val="auto"/>
                      <w:spacing w:val="7"/>
                      <w:sz w:val="21"/>
                      <w:szCs w:val="21"/>
                    </w:rPr>
                    <w:t>进行分类收集。</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0"/>
                      <w:sz w:val="21"/>
                      <w:szCs w:val="21"/>
                    </w:rPr>
                    <w:t>2</w:t>
                  </w:r>
                  <w:r>
                    <w:rPr>
                      <w:rFonts w:ascii="Times New Roman" w:hAnsi="Times New Roman" w:eastAsia="Times New Roman" w:cs="Times New Roman"/>
                      <w:color w:val="auto"/>
                      <w:spacing w:val="8"/>
                      <w:sz w:val="21"/>
                      <w:szCs w:val="21"/>
                    </w:rPr>
                    <w:t xml:space="preserve"> </w:t>
                  </w:r>
                  <w:r>
                    <w:rPr>
                      <w:rFonts w:ascii="宋体" w:hAnsi="宋体" w:eastAsia="宋体" w:cs="宋体"/>
                      <w:color w:val="auto"/>
                      <w:spacing w:val="5"/>
                      <w:sz w:val="21"/>
                      <w:szCs w:val="21"/>
                    </w:rPr>
                    <w:t>、废气收集系统排风罩(集气罩) 的设</w:t>
                  </w:r>
                  <w:r>
                    <w:rPr>
                      <w:rFonts w:ascii="宋体" w:hAnsi="宋体" w:eastAsia="宋体" w:cs="宋体"/>
                      <w:color w:val="auto"/>
                      <w:spacing w:val="5"/>
                      <w:position w:val="1"/>
                      <w:sz w:val="21"/>
                      <w:szCs w:val="21"/>
                    </w:rPr>
                    <w:t xml:space="preserve">置应符合 </w:t>
                  </w:r>
                  <w:r>
                    <w:rPr>
                      <w:rFonts w:ascii="Times New Roman" w:hAnsi="Times New Roman" w:eastAsia="Times New Roman" w:cs="Times New Roman"/>
                      <w:color w:val="auto"/>
                      <w:position w:val="1"/>
                      <w:sz w:val="21"/>
                      <w:szCs w:val="21"/>
                    </w:rPr>
                    <w:t>GB</w:t>
                  </w:r>
                  <w:r>
                    <w:rPr>
                      <w:rFonts w:ascii="Times New Roman" w:hAnsi="Times New Roman" w:eastAsia="Times New Roman" w:cs="Times New Roman"/>
                      <w:color w:val="auto"/>
                      <w:spacing w:val="5"/>
                      <w:position w:val="1"/>
                      <w:sz w:val="21"/>
                      <w:szCs w:val="21"/>
                    </w:rPr>
                    <w:t>/</w:t>
                  </w:r>
                  <w:r>
                    <w:rPr>
                      <w:rFonts w:ascii="Times New Roman" w:hAnsi="Times New Roman" w:eastAsia="Times New Roman" w:cs="Times New Roman"/>
                      <w:color w:val="auto"/>
                      <w:position w:val="1"/>
                      <w:sz w:val="21"/>
                      <w:szCs w:val="21"/>
                    </w:rPr>
                    <w:t>T</w:t>
                  </w:r>
                  <w:r>
                    <w:rPr>
                      <w:rFonts w:ascii="Times New Roman" w:hAnsi="Times New Roman" w:eastAsia="Times New Roman" w:cs="Times New Roman"/>
                      <w:color w:val="auto"/>
                      <w:spacing w:val="5"/>
                      <w:position w:val="1"/>
                      <w:sz w:val="21"/>
                      <w:szCs w:val="21"/>
                    </w:rPr>
                    <w:t xml:space="preserve"> 16758 </w:t>
                  </w:r>
                  <w:r>
                    <w:rPr>
                      <w:rFonts w:ascii="宋体" w:hAnsi="宋体" w:eastAsia="宋体" w:cs="宋体"/>
                      <w:color w:val="auto"/>
                      <w:spacing w:val="5"/>
                      <w:position w:val="1"/>
                      <w:sz w:val="21"/>
                      <w:szCs w:val="21"/>
                    </w:rPr>
                    <w:t>的规定，采用外部</w:t>
                  </w:r>
                  <w:r>
                    <w:rPr>
                      <w:rFonts w:ascii="宋体" w:hAnsi="宋体" w:eastAsia="宋体" w:cs="宋体"/>
                      <w:color w:val="auto"/>
                      <w:spacing w:val="4"/>
                      <w:position w:val="2"/>
                      <w:sz w:val="21"/>
                      <w:szCs w:val="21"/>
                    </w:rPr>
                    <w:t>排风</w:t>
                  </w:r>
                  <w:r>
                    <w:rPr>
                      <w:rFonts w:ascii="宋体" w:hAnsi="宋体" w:eastAsia="宋体" w:cs="宋体"/>
                      <w:color w:val="auto"/>
                      <w:spacing w:val="3"/>
                      <w:position w:val="2"/>
                      <w:sz w:val="21"/>
                      <w:szCs w:val="21"/>
                    </w:rPr>
                    <w:t>罩</w:t>
                  </w:r>
                  <w:r>
                    <w:rPr>
                      <w:rFonts w:ascii="宋体" w:hAnsi="宋体" w:eastAsia="宋体" w:cs="宋体"/>
                      <w:color w:val="auto"/>
                      <w:spacing w:val="2"/>
                      <w:position w:val="2"/>
                      <w:sz w:val="21"/>
                      <w:szCs w:val="21"/>
                    </w:rPr>
                    <w:t xml:space="preserve">的，应按 </w:t>
                  </w:r>
                  <w:r>
                    <w:rPr>
                      <w:rFonts w:ascii="Times New Roman" w:hAnsi="Times New Roman" w:eastAsia="Times New Roman" w:cs="Times New Roman"/>
                      <w:color w:val="auto"/>
                      <w:position w:val="2"/>
                      <w:sz w:val="21"/>
                      <w:szCs w:val="21"/>
                    </w:rPr>
                    <w:t>GB</w:t>
                  </w:r>
                  <w:r>
                    <w:rPr>
                      <w:rFonts w:ascii="Times New Roman" w:hAnsi="Times New Roman" w:eastAsia="Times New Roman" w:cs="Times New Roman"/>
                      <w:color w:val="auto"/>
                      <w:spacing w:val="2"/>
                      <w:position w:val="2"/>
                      <w:sz w:val="21"/>
                      <w:szCs w:val="21"/>
                    </w:rPr>
                    <w:t>/</w:t>
                  </w:r>
                  <w:r>
                    <w:rPr>
                      <w:rFonts w:ascii="Times New Roman" w:hAnsi="Times New Roman" w:eastAsia="Times New Roman" w:cs="Times New Roman"/>
                      <w:color w:val="auto"/>
                      <w:position w:val="2"/>
                      <w:sz w:val="21"/>
                      <w:szCs w:val="21"/>
                    </w:rPr>
                    <w:t>T</w:t>
                  </w:r>
                  <w:r>
                    <w:rPr>
                      <w:rFonts w:ascii="Times New Roman" w:hAnsi="Times New Roman" w:eastAsia="Times New Roman" w:cs="Times New Roman"/>
                      <w:color w:val="auto"/>
                      <w:spacing w:val="2"/>
                      <w:position w:val="2"/>
                      <w:sz w:val="21"/>
                      <w:szCs w:val="21"/>
                    </w:rPr>
                    <w:t xml:space="preserve"> 16758 </w:t>
                  </w:r>
                  <w:r>
                    <w:rPr>
                      <w:rFonts w:ascii="宋体" w:hAnsi="宋体" w:eastAsia="宋体" w:cs="宋体"/>
                      <w:color w:val="auto"/>
                      <w:spacing w:val="2"/>
                      <w:position w:val="2"/>
                      <w:sz w:val="21"/>
                      <w:szCs w:val="21"/>
                    </w:rPr>
                    <w:t>、</w:t>
                  </w:r>
                  <w:r>
                    <w:rPr>
                      <w:rFonts w:ascii="Times New Roman" w:hAnsi="Times New Roman" w:eastAsia="Times New Roman" w:cs="Times New Roman"/>
                      <w:color w:val="auto"/>
                      <w:position w:val="2"/>
                      <w:sz w:val="21"/>
                      <w:szCs w:val="21"/>
                    </w:rPr>
                    <w:t>AQ</w:t>
                  </w:r>
                  <w:r>
                    <w:rPr>
                      <w:rFonts w:ascii="Times New Roman" w:hAnsi="Times New Roman" w:eastAsia="Times New Roman" w:cs="Times New Roman"/>
                      <w:color w:val="auto"/>
                      <w:spacing w:val="2"/>
                      <w:position w:val="2"/>
                      <w:sz w:val="21"/>
                      <w:szCs w:val="21"/>
                    </w:rPr>
                    <w:t>/</w:t>
                  </w:r>
                  <w:r>
                    <w:rPr>
                      <w:rFonts w:ascii="Times New Roman" w:hAnsi="Times New Roman" w:eastAsia="Times New Roman" w:cs="Times New Roman"/>
                      <w:color w:val="auto"/>
                      <w:position w:val="2"/>
                      <w:sz w:val="21"/>
                      <w:szCs w:val="21"/>
                    </w:rPr>
                    <w:t>T</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宋体" w:hAnsi="宋体" w:eastAsia="宋体" w:cs="宋体"/>
                      <w:color w:val="auto"/>
                      <w:sz w:val="21"/>
                      <w:szCs w:val="21"/>
                    </w:rPr>
                  </w:pPr>
                  <w:r>
                    <w:rPr>
                      <w:rFonts w:ascii="Times New Roman" w:hAnsi="Times New Roman" w:eastAsia="Times New Roman" w:cs="Times New Roman"/>
                      <w:color w:val="auto"/>
                      <w:spacing w:val="12"/>
                      <w:sz w:val="21"/>
                      <w:szCs w:val="21"/>
                    </w:rPr>
                    <w:t>4</w:t>
                  </w:r>
                  <w:r>
                    <w:rPr>
                      <w:rFonts w:ascii="Times New Roman" w:hAnsi="Times New Roman" w:eastAsia="Times New Roman" w:cs="Times New Roman"/>
                      <w:color w:val="auto"/>
                      <w:spacing w:val="9"/>
                      <w:sz w:val="21"/>
                      <w:szCs w:val="21"/>
                    </w:rPr>
                    <w:t>2</w:t>
                  </w:r>
                  <w:r>
                    <w:rPr>
                      <w:rFonts w:ascii="Times New Roman" w:hAnsi="Times New Roman" w:eastAsia="Times New Roman" w:cs="Times New Roman"/>
                      <w:color w:val="auto"/>
                      <w:spacing w:val="6"/>
                      <w:sz w:val="21"/>
                      <w:szCs w:val="21"/>
                    </w:rPr>
                    <w:t>74-2016</w:t>
                  </w:r>
                  <w:r>
                    <w:rPr>
                      <w:rFonts w:ascii="宋体" w:hAnsi="宋体" w:eastAsia="宋体" w:cs="宋体"/>
                      <w:color w:val="auto"/>
                      <w:spacing w:val="6"/>
                      <w:sz w:val="21"/>
                      <w:szCs w:val="21"/>
                    </w:rPr>
                    <w:t>方法测量控制风速，测量点应</w:t>
                  </w:r>
                  <w:r>
                    <w:rPr>
                      <w:rFonts w:ascii="宋体" w:hAnsi="宋体" w:eastAsia="宋体" w:cs="宋体"/>
                      <w:color w:val="auto"/>
                      <w:spacing w:val="12"/>
                      <w:sz w:val="21"/>
                      <w:szCs w:val="21"/>
                    </w:rPr>
                    <w:t>选</w:t>
                  </w:r>
                  <w:r>
                    <w:rPr>
                      <w:rFonts w:ascii="宋体" w:hAnsi="宋体" w:eastAsia="宋体" w:cs="宋体"/>
                      <w:color w:val="auto"/>
                      <w:spacing w:val="7"/>
                      <w:sz w:val="21"/>
                      <w:szCs w:val="21"/>
                    </w:rPr>
                    <w:t>取在距排风罩开口面最远处的</w:t>
                  </w:r>
                  <w:r>
                    <w:rPr>
                      <w:rFonts w:ascii="Times New Roman" w:hAnsi="Times New Roman" w:eastAsia="Times New Roman" w:cs="Times New Roman"/>
                      <w:color w:val="auto"/>
                      <w:sz w:val="21"/>
                      <w:szCs w:val="21"/>
                    </w:rPr>
                    <w:t>VOCs</w:t>
                  </w:r>
                  <w:r>
                    <w:rPr>
                      <w:rFonts w:ascii="宋体" w:hAnsi="宋体" w:eastAsia="宋体" w:cs="宋体"/>
                      <w:color w:val="auto"/>
                      <w:spacing w:val="15"/>
                      <w:sz w:val="21"/>
                      <w:szCs w:val="21"/>
                    </w:rPr>
                    <w:t>无</w:t>
                  </w:r>
                  <w:r>
                    <w:rPr>
                      <w:rFonts w:ascii="宋体" w:hAnsi="宋体" w:eastAsia="宋体" w:cs="宋体"/>
                      <w:color w:val="auto"/>
                      <w:spacing w:val="9"/>
                      <w:sz w:val="21"/>
                      <w:szCs w:val="21"/>
                    </w:rPr>
                    <w:t>组织排放位置，控制风速不应低于</w:t>
                  </w:r>
                  <w:r>
                    <w:rPr>
                      <w:rFonts w:ascii="Times New Roman" w:hAnsi="Times New Roman" w:eastAsia="Times New Roman" w:cs="Times New Roman"/>
                      <w:color w:val="auto"/>
                      <w:spacing w:val="16"/>
                      <w:position w:val="1"/>
                      <w:sz w:val="21"/>
                      <w:szCs w:val="21"/>
                    </w:rPr>
                    <w:t>0</w:t>
                  </w:r>
                  <w:r>
                    <w:rPr>
                      <w:rFonts w:ascii="Times New Roman" w:hAnsi="Times New Roman" w:eastAsia="Times New Roman" w:cs="Times New Roman"/>
                      <w:color w:val="auto"/>
                      <w:spacing w:val="11"/>
                      <w:position w:val="1"/>
                      <w:sz w:val="21"/>
                      <w:szCs w:val="21"/>
                    </w:rPr>
                    <w:t>.</w:t>
                  </w:r>
                  <w:r>
                    <w:rPr>
                      <w:rFonts w:ascii="Times New Roman" w:hAnsi="Times New Roman" w:eastAsia="Times New Roman" w:cs="Times New Roman"/>
                      <w:color w:val="auto"/>
                      <w:spacing w:val="8"/>
                      <w:position w:val="1"/>
                      <w:sz w:val="21"/>
                      <w:szCs w:val="21"/>
                    </w:rPr>
                    <w:t>3</w:t>
                  </w:r>
                  <w:r>
                    <w:rPr>
                      <w:rFonts w:ascii="Times New Roman" w:hAnsi="Times New Roman" w:eastAsia="Times New Roman" w:cs="Times New Roman"/>
                      <w:color w:val="auto"/>
                      <w:position w:val="1"/>
                      <w:sz w:val="21"/>
                      <w:szCs w:val="21"/>
                    </w:rPr>
                    <w:t>m</w:t>
                  </w:r>
                  <w:r>
                    <w:rPr>
                      <w:rFonts w:ascii="Times New Roman" w:hAnsi="Times New Roman" w:eastAsia="Times New Roman" w:cs="Times New Roman"/>
                      <w:color w:val="auto"/>
                      <w:spacing w:val="8"/>
                      <w:position w:val="1"/>
                      <w:sz w:val="21"/>
                      <w:szCs w:val="21"/>
                    </w:rPr>
                    <w:t>/</w:t>
                  </w:r>
                  <w:r>
                    <w:rPr>
                      <w:rFonts w:ascii="Times New Roman" w:hAnsi="Times New Roman" w:eastAsia="Times New Roman" w:cs="Times New Roman"/>
                      <w:color w:val="auto"/>
                      <w:position w:val="1"/>
                      <w:sz w:val="21"/>
                      <w:szCs w:val="21"/>
                    </w:rPr>
                    <w:t>s</w:t>
                  </w:r>
                  <w:r>
                    <w:rPr>
                      <w:rFonts w:ascii="Times New Roman" w:hAnsi="Times New Roman" w:eastAsia="Times New Roman" w:cs="Times New Roman"/>
                      <w:color w:val="auto"/>
                      <w:spacing w:val="8"/>
                      <w:position w:val="1"/>
                      <w:sz w:val="21"/>
                      <w:szCs w:val="21"/>
                    </w:rPr>
                    <w:t xml:space="preserve"> </w:t>
                  </w:r>
                  <w:r>
                    <w:rPr>
                      <w:rFonts w:ascii="宋体" w:hAnsi="宋体" w:eastAsia="宋体" w:cs="宋体"/>
                      <w:color w:val="auto"/>
                      <w:spacing w:val="8"/>
                      <w:position w:val="1"/>
                      <w:sz w:val="21"/>
                      <w:szCs w:val="21"/>
                    </w:rPr>
                    <w:t>(行业相关规范有具体规定的，按</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Times New Roman" w:hAnsi="Times New Roman" w:eastAsia="Times New Roman" w:cs="Times New Roman"/>
                      <w:color w:val="auto"/>
                      <w:spacing w:val="6"/>
                      <w:sz w:val="21"/>
                      <w:szCs w:val="21"/>
                    </w:rPr>
                  </w:pPr>
                  <w:r>
                    <w:rPr>
                      <w:rFonts w:ascii="宋体" w:hAnsi="宋体" w:eastAsia="宋体" w:cs="宋体"/>
                      <w:color w:val="auto"/>
                      <w:spacing w:val="7"/>
                      <w:sz w:val="21"/>
                      <w:szCs w:val="21"/>
                    </w:rPr>
                    <w:t xml:space="preserve">相关规定执行) </w:t>
                  </w:r>
                  <w:r>
                    <w:rPr>
                      <w:rFonts w:ascii="宋体" w:hAnsi="宋体" w:eastAsia="宋体" w:cs="宋体"/>
                      <w:color w:val="auto"/>
                      <w:spacing w:val="5"/>
                      <w:sz w:val="21"/>
                      <w:szCs w:val="21"/>
                    </w:rPr>
                    <w:t>。</w:t>
                  </w:r>
                </w:p>
              </w:tc>
              <w:tc>
                <w:tcPr>
                  <w:tcW w:w="990" w:type="pct"/>
                  <w:tcBorders>
                    <w:lef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ascii="宋体" w:hAnsi="宋体" w:eastAsia="宋体" w:cs="宋体"/>
                      <w:color w:val="auto"/>
                      <w:spacing w:val="7"/>
                      <w:sz w:val="21"/>
                      <w:szCs w:val="21"/>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hint="default" w:ascii="Times New Roman" w:hAnsi="Times New Roman" w:eastAsia="宋体" w:cs="Times New Roman"/>
                      <w:color w:val="auto"/>
                      <w:spacing w:val="6"/>
                      <w:sz w:val="21"/>
                      <w:szCs w:val="21"/>
                    </w:rPr>
                    <w:t>危险废物为废</w:t>
                  </w:r>
                  <w:r>
                    <w:rPr>
                      <w:rFonts w:hint="default" w:ascii="Times New Roman" w:hAnsi="Times New Roman" w:eastAsia="宋体" w:cs="Times New Roman"/>
                      <w:color w:val="auto"/>
                      <w:spacing w:val="-4"/>
                      <w:sz w:val="21"/>
                      <w:szCs w:val="21"/>
                    </w:rPr>
                    <w:t>矿</w:t>
                  </w:r>
                  <w:r>
                    <w:rPr>
                      <w:rFonts w:hint="default" w:ascii="Times New Roman" w:hAnsi="Times New Roman" w:eastAsia="宋体" w:cs="Times New Roman"/>
                      <w:color w:val="auto"/>
                      <w:spacing w:val="-3"/>
                      <w:sz w:val="21"/>
                      <w:szCs w:val="21"/>
                    </w:rPr>
                    <w:t>物</w:t>
                  </w:r>
                  <w:r>
                    <w:rPr>
                      <w:rFonts w:hint="default" w:ascii="Times New Roman" w:hAnsi="Times New Roman" w:eastAsia="宋体" w:cs="Times New Roman"/>
                      <w:color w:val="auto"/>
                      <w:spacing w:val="-2"/>
                      <w:sz w:val="21"/>
                      <w:szCs w:val="21"/>
                    </w:rPr>
                    <w:t>油</w:t>
                  </w:r>
                  <w:r>
                    <w:rPr>
                      <w:rFonts w:hint="default" w:ascii="Times New Roman" w:hAnsi="Times New Roman" w:eastAsia="宋体" w:cs="Times New Roman"/>
                      <w:color w:val="auto"/>
                      <w:spacing w:val="-2"/>
                      <w:sz w:val="21"/>
                      <w:szCs w:val="21"/>
                      <w:lang w:eastAsia="zh-CN"/>
                    </w:rPr>
                    <w:t>和废有机溶剂等</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）+经活性炭吸附装置处理，由17m高排气筒排放</w:t>
                  </w:r>
                  <w:r>
                    <w:rPr>
                      <w:rFonts w:hint="default"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hint="eastAsia" w:ascii="宋体" w:hAnsi="宋体" w:eastAsia="宋体" w:cs="宋体"/>
                      <w:color w:val="auto"/>
                      <w:spacing w:val="8"/>
                      <w:sz w:val="21"/>
                      <w:szCs w:val="21"/>
                      <w:lang w:val="en-US" w:eastAsia="zh-CN"/>
                    </w:rPr>
                  </w:pPr>
                </w:p>
              </w:tc>
              <w:tc>
                <w:tcPr>
                  <w:tcW w:w="532" w:type="pct"/>
                  <w:tcBorders>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r>
                    <w:rPr>
                      <w:rFonts w:hint="default" w:ascii="Times New Roman" w:hAnsi="Times New Roman" w:eastAsia="宋体" w:cs="Times New Roman"/>
                      <w:color w:val="auto"/>
                      <w:spacing w:val="8"/>
                      <w:sz w:val="21"/>
                      <w:szCs w:val="21"/>
                    </w:rPr>
                    <w:t>VOCs 排放控制</w:t>
                  </w:r>
                  <w:r>
                    <w:rPr>
                      <w:rFonts w:ascii="宋体" w:hAnsi="宋体" w:eastAsia="宋体" w:cs="宋体"/>
                      <w:color w:val="auto"/>
                      <w:spacing w:val="8"/>
                      <w:sz w:val="21"/>
                      <w:szCs w:val="21"/>
                    </w:rPr>
                    <w:t>要求</w:t>
                  </w:r>
                </w:p>
              </w:tc>
              <w:tc>
                <w:tcPr>
                  <w:tcW w:w="1207" w:type="pct"/>
                  <w:gridSpan w:val="2"/>
                  <w:tcBorders>
                    <w:left w:val="single" w:color="auto" w:sz="4" w:space="0"/>
                    <w:right w:val="single" w:color="auto" w:sz="4" w:space="0"/>
                    <w:tl2br w:val="nil"/>
                    <w:tr2bl w:val="nil"/>
                  </w:tcBorders>
                  <w:vAlign w:val="top"/>
                </w:tcPr>
                <w:p>
                  <w:pPr>
                    <w:keepNext w:val="0"/>
                    <w:keepLines w:val="0"/>
                    <w:widowControl/>
                    <w:suppressLineNumbers w:val="0"/>
                    <w:jc w:val="left"/>
                    <w:rPr>
                      <w:color w:val="auto"/>
                      <w:sz w:val="21"/>
                      <w:szCs w:val="21"/>
                    </w:rPr>
                  </w:pPr>
                  <w:r>
                    <w:rPr>
                      <w:rFonts w:ascii="Times New Roman" w:hAnsi="Times New Roman" w:eastAsia="Times New Roman" w:cs="Times New Roman"/>
                      <w:color w:val="auto"/>
                      <w:spacing w:val="4"/>
                      <w:sz w:val="21"/>
                      <w:szCs w:val="21"/>
                    </w:rPr>
                    <w:t xml:space="preserve">1 </w:t>
                  </w:r>
                  <w:r>
                    <w:rPr>
                      <w:rFonts w:ascii="宋体" w:hAnsi="宋体" w:eastAsia="宋体" w:cs="宋体"/>
                      <w:color w:val="auto"/>
                      <w:spacing w:val="4"/>
                      <w:sz w:val="21"/>
                      <w:szCs w:val="21"/>
                    </w:rPr>
                    <w:t>、收</w:t>
                  </w:r>
                  <w:r>
                    <w:rPr>
                      <w:rFonts w:ascii="宋体" w:hAnsi="宋体" w:eastAsia="宋体" w:cs="宋体"/>
                      <w:color w:val="auto"/>
                      <w:spacing w:val="2"/>
                      <w:sz w:val="21"/>
                      <w:szCs w:val="21"/>
                    </w:rPr>
                    <w:t xml:space="preserve">集的废气中 </w:t>
                  </w:r>
                  <w:r>
                    <w:rPr>
                      <w:rFonts w:ascii="Times New Roman" w:hAnsi="Times New Roman" w:eastAsia="Times New Roman" w:cs="Times New Roman"/>
                      <w:color w:val="auto"/>
                      <w:sz w:val="21"/>
                      <w:szCs w:val="21"/>
                    </w:rPr>
                    <w:t>NMHC</w:t>
                  </w:r>
                  <w:r>
                    <w:rPr>
                      <w:rFonts w:ascii="宋体" w:hAnsi="宋体" w:eastAsia="宋体" w:cs="宋体"/>
                      <w:color w:val="auto"/>
                      <w:spacing w:val="2"/>
                      <w:sz w:val="21"/>
                      <w:szCs w:val="21"/>
                    </w:rPr>
                    <w:t>初始排放速率</w:t>
                  </w:r>
                  <w:r>
                    <w:rPr>
                      <w:rFonts w:ascii="Times New Roman" w:hAnsi="Times New Roman" w:eastAsia="Times New Roman" w:cs="Times New Roman"/>
                      <w:color w:val="auto"/>
                      <w:spacing w:val="12"/>
                      <w:sz w:val="21"/>
                      <w:szCs w:val="21"/>
                    </w:rPr>
                    <w:t>≥3</w:t>
                  </w:r>
                  <w:r>
                    <w:rPr>
                      <w:rFonts w:ascii="Times New Roman" w:hAnsi="Times New Roman" w:eastAsia="Times New Roman" w:cs="Times New Roman"/>
                      <w:color w:val="auto"/>
                      <w:sz w:val="21"/>
                      <w:szCs w:val="21"/>
                    </w:rPr>
                    <w:t>kg</w:t>
                  </w:r>
                  <w:r>
                    <w:rPr>
                      <w:rFonts w:ascii="Times New Roman" w:hAnsi="Times New Roman" w:eastAsia="Times New Roman" w:cs="Times New Roman"/>
                      <w:color w:val="auto"/>
                      <w:spacing w:val="7"/>
                      <w:sz w:val="21"/>
                      <w:szCs w:val="21"/>
                    </w:rPr>
                    <w:t>/</w:t>
                  </w:r>
                  <w:r>
                    <w:rPr>
                      <w:rFonts w:ascii="Times New Roman" w:hAnsi="Times New Roman" w:eastAsia="Times New Roman" w:cs="Times New Roman"/>
                      <w:color w:val="auto"/>
                      <w:sz w:val="21"/>
                      <w:szCs w:val="21"/>
                    </w:rPr>
                    <w:t>h</w:t>
                  </w:r>
                  <w:r>
                    <w:rPr>
                      <w:rFonts w:ascii="宋体" w:hAnsi="宋体" w:eastAsia="宋体" w:cs="宋体"/>
                      <w:color w:val="auto"/>
                      <w:spacing w:val="6"/>
                      <w:sz w:val="21"/>
                      <w:szCs w:val="21"/>
                    </w:rPr>
                    <w:t>时，应配置</w:t>
                  </w:r>
                  <w:r>
                    <w:rPr>
                      <w:rFonts w:ascii="Times New Roman" w:hAnsi="Times New Roman" w:eastAsia="Times New Roman" w:cs="Times New Roman"/>
                      <w:color w:val="auto"/>
                      <w:sz w:val="21"/>
                      <w:szCs w:val="21"/>
                    </w:rPr>
                    <w:t>VOCs</w:t>
                  </w:r>
                  <w:r>
                    <w:rPr>
                      <w:rFonts w:ascii="宋体" w:hAnsi="宋体" w:eastAsia="宋体" w:cs="宋体"/>
                      <w:color w:val="auto"/>
                      <w:spacing w:val="6"/>
                      <w:sz w:val="21"/>
                      <w:szCs w:val="21"/>
                    </w:rPr>
                    <w:t>处理设施，处</w:t>
                  </w:r>
                  <w:r>
                    <w:rPr>
                      <w:rFonts w:ascii="宋体" w:hAnsi="宋体" w:eastAsia="宋体" w:cs="宋体"/>
                      <w:color w:val="auto"/>
                      <w:spacing w:val="10"/>
                      <w:sz w:val="21"/>
                      <w:szCs w:val="21"/>
                    </w:rPr>
                    <w:t>理效</w:t>
                  </w:r>
                  <w:r>
                    <w:rPr>
                      <w:rFonts w:ascii="宋体" w:hAnsi="宋体" w:eastAsia="宋体" w:cs="宋体"/>
                      <w:color w:val="auto"/>
                      <w:spacing w:val="5"/>
                      <w:sz w:val="21"/>
                      <w:szCs w:val="21"/>
                    </w:rPr>
                    <w:t>率不应低于</w:t>
                  </w:r>
                  <w:r>
                    <w:rPr>
                      <w:rFonts w:ascii="Times New Roman" w:hAnsi="Times New Roman" w:eastAsia="Times New Roman" w:cs="Times New Roman"/>
                      <w:color w:val="auto"/>
                      <w:spacing w:val="5"/>
                      <w:sz w:val="21"/>
                      <w:szCs w:val="21"/>
                    </w:rPr>
                    <w:t>80%</w:t>
                  </w:r>
                  <w:r>
                    <w:rPr>
                      <w:rFonts w:ascii="宋体" w:hAnsi="宋体" w:eastAsia="宋体" w:cs="宋体"/>
                      <w:color w:val="auto"/>
                      <w:spacing w:val="5"/>
                      <w:sz w:val="21"/>
                      <w:szCs w:val="21"/>
                    </w:rPr>
                    <w:t>；对于重点地区，</w:t>
                  </w:r>
                  <w:r>
                    <w:rPr>
                      <w:rFonts w:ascii="宋体" w:hAnsi="宋体" w:eastAsia="宋体" w:cs="宋体"/>
                      <w:color w:val="auto"/>
                      <w:spacing w:val="8"/>
                      <w:sz w:val="21"/>
                      <w:szCs w:val="21"/>
                    </w:rPr>
                    <w:t>收</w:t>
                  </w:r>
                  <w:r>
                    <w:rPr>
                      <w:rFonts w:ascii="宋体" w:hAnsi="宋体" w:eastAsia="宋体" w:cs="宋体"/>
                      <w:color w:val="auto"/>
                      <w:spacing w:val="6"/>
                      <w:sz w:val="21"/>
                      <w:szCs w:val="21"/>
                    </w:rPr>
                    <w:t>集的废气中</w:t>
                  </w:r>
                  <w:r>
                    <w:rPr>
                      <w:rFonts w:ascii="Times New Roman" w:hAnsi="Times New Roman" w:eastAsia="Times New Roman" w:cs="Times New Roman"/>
                      <w:color w:val="auto"/>
                      <w:sz w:val="21"/>
                      <w:szCs w:val="21"/>
                    </w:rPr>
                    <w:t>NMHC</w:t>
                  </w:r>
                  <w:r>
                    <w:rPr>
                      <w:rFonts w:ascii="宋体" w:hAnsi="宋体" w:eastAsia="宋体" w:cs="宋体"/>
                      <w:color w:val="auto"/>
                      <w:spacing w:val="6"/>
                      <w:sz w:val="21"/>
                      <w:szCs w:val="21"/>
                    </w:rPr>
                    <w:t>初始排放速率</w:t>
                  </w:r>
                  <w:r>
                    <w:rPr>
                      <w:rFonts w:ascii="Times New Roman" w:hAnsi="Times New Roman" w:eastAsia="Times New Roman" w:cs="Times New Roman"/>
                      <w:color w:val="auto"/>
                      <w:spacing w:val="12"/>
                      <w:sz w:val="21"/>
                      <w:szCs w:val="21"/>
                    </w:rPr>
                    <w:t>≥2</w:t>
                  </w:r>
                  <w:r>
                    <w:rPr>
                      <w:rFonts w:ascii="Times New Roman" w:hAnsi="Times New Roman" w:eastAsia="Times New Roman" w:cs="Times New Roman"/>
                      <w:color w:val="auto"/>
                      <w:sz w:val="21"/>
                      <w:szCs w:val="21"/>
                    </w:rPr>
                    <w:t>kg</w:t>
                  </w:r>
                  <w:r>
                    <w:rPr>
                      <w:rFonts w:ascii="Times New Roman" w:hAnsi="Times New Roman" w:eastAsia="Times New Roman" w:cs="Times New Roman"/>
                      <w:color w:val="auto"/>
                      <w:spacing w:val="7"/>
                      <w:sz w:val="21"/>
                      <w:szCs w:val="21"/>
                    </w:rPr>
                    <w:t>/</w:t>
                  </w:r>
                  <w:r>
                    <w:rPr>
                      <w:rFonts w:ascii="Times New Roman" w:hAnsi="Times New Roman" w:eastAsia="Times New Roman" w:cs="Times New Roman"/>
                      <w:color w:val="auto"/>
                      <w:sz w:val="21"/>
                      <w:szCs w:val="21"/>
                    </w:rPr>
                    <w:t>h</w:t>
                  </w:r>
                  <w:r>
                    <w:rPr>
                      <w:rFonts w:ascii="宋体" w:hAnsi="宋体" w:eastAsia="宋体" w:cs="宋体"/>
                      <w:color w:val="auto"/>
                      <w:spacing w:val="6"/>
                      <w:sz w:val="21"/>
                      <w:szCs w:val="21"/>
                    </w:rPr>
                    <w:t>时，应配置</w:t>
                  </w:r>
                  <w:r>
                    <w:rPr>
                      <w:rFonts w:ascii="Times New Roman" w:hAnsi="Times New Roman" w:eastAsia="Times New Roman" w:cs="Times New Roman"/>
                      <w:color w:val="auto"/>
                      <w:sz w:val="21"/>
                      <w:szCs w:val="21"/>
                    </w:rPr>
                    <w:t>VOCs</w:t>
                  </w:r>
                  <w:r>
                    <w:rPr>
                      <w:rFonts w:ascii="宋体" w:hAnsi="宋体" w:eastAsia="宋体" w:cs="宋体"/>
                      <w:color w:val="auto"/>
                      <w:spacing w:val="6"/>
                      <w:sz w:val="21"/>
                      <w:szCs w:val="21"/>
                    </w:rPr>
                    <w:t>处理设施，处理效率不应低于</w:t>
                  </w:r>
                  <w:r>
                    <w:rPr>
                      <w:rFonts w:ascii="Times New Roman" w:hAnsi="Times New Roman" w:eastAsia="Times New Roman" w:cs="Times New Roman"/>
                      <w:color w:val="auto"/>
                      <w:spacing w:val="6"/>
                      <w:sz w:val="21"/>
                      <w:szCs w:val="21"/>
                    </w:rPr>
                    <w:t>80%</w:t>
                  </w:r>
                  <w:r>
                    <w:rPr>
                      <w:rFonts w:ascii="宋体" w:hAnsi="宋体" w:eastAsia="宋体" w:cs="宋体"/>
                      <w:color w:val="auto"/>
                      <w:spacing w:val="6"/>
                      <w:sz w:val="21"/>
                      <w:szCs w:val="21"/>
                    </w:rPr>
                    <w:t>；采用的原辅材料</w:t>
                  </w:r>
                  <w:r>
                    <w:rPr>
                      <w:rFonts w:ascii="宋体" w:hAnsi="宋体" w:eastAsia="宋体" w:cs="宋体"/>
                      <w:color w:val="auto"/>
                      <w:sz w:val="21"/>
                      <w:szCs w:val="21"/>
                    </w:rPr>
                    <w:t xml:space="preserve"> </w:t>
                  </w:r>
                  <w:r>
                    <w:rPr>
                      <w:rFonts w:ascii="宋体" w:hAnsi="宋体" w:eastAsia="宋体" w:cs="宋体"/>
                      <w:color w:val="auto"/>
                      <w:spacing w:val="8"/>
                      <w:sz w:val="21"/>
                      <w:szCs w:val="21"/>
                    </w:rPr>
                    <w:t>符合国家有关低</w:t>
                  </w:r>
                  <w:r>
                    <w:rPr>
                      <w:rFonts w:ascii="Times New Roman" w:hAnsi="Times New Roman" w:eastAsia="Times New Roman" w:cs="Times New Roman"/>
                      <w:color w:val="auto"/>
                      <w:sz w:val="21"/>
                      <w:szCs w:val="21"/>
                    </w:rPr>
                    <w:t>VOCs</w:t>
                  </w:r>
                  <w:r>
                    <w:rPr>
                      <w:rFonts w:ascii="宋体" w:hAnsi="宋体" w:eastAsia="宋体" w:cs="宋体"/>
                      <w:color w:val="auto"/>
                      <w:spacing w:val="8"/>
                      <w:sz w:val="21"/>
                      <w:szCs w:val="21"/>
                    </w:rPr>
                    <w:t>含量产品规定</w:t>
                  </w:r>
                  <w:r>
                    <w:rPr>
                      <w:rFonts w:ascii="宋体" w:hAnsi="宋体" w:eastAsia="宋体" w:cs="宋体"/>
                      <w:color w:val="auto"/>
                      <w:spacing w:val="5"/>
                      <w:sz w:val="21"/>
                      <w:szCs w:val="21"/>
                    </w:rPr>
                    <w:t>的</w:t>
                  </w:r>
                  <w:r>
                    <w:rPr>
                      <w:rFonts w:hint="eastAsia" w:ascii="宋体" w:hAnsi="宋体" w:eastAsia="宋体" w:cs="宋体"/>
                      <w:color w:val="auto"/>
                      <w:kern w:val="0"/>
                      <w:sz w:val="21"/>
                      <w:szCs w:val="21"/>
                      <w:lang w:val="en-US" w:eastAsia="zh-CN" w:bidi="ar"/>
                    </w:rPr>
                    <w:t xml:space="preserve">除外。 </w:t>
                  </w:r>
                </w:p>
                <w:p>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、排气筒高度不低于</w:t>
                  </w:r>
                  <w:r>
                    <w:rPr>
                      <w:rFonts w:hint="default" w:ascii="Times New Roman" w:hAnsi="Times New Roman" w:eastAsia="宋体" w:cs="Times New Roman"/>
                      <w:color w:val="auto"/>
                      <w:kern w:val="0"/>
                      <w:sz w:val="21"/>
                      <w:szCs w:val="21"/>
                      <w:lang w:val="en-US" w:eastAsia="zh-CN" w:bidi="ar"/>
                    </w:rPr>
                    <w:t>15m</w:t>
                  </w:r>
                  <w:r>
                    <w:rPr>
                      <w:rFonts w:hint="eastAsia" w:ascii="宋体" w:hAnsi="宋体" w:eastAsia="宋体" w:cs="宋体"/>
                      <w:color w:val="auto"/>
                      <w:kern w:val="0"/>
                      <w:sz w:val="21"/>
                      <w:szCs w:val="21"/>
                      <w:lang w:val="en-US" w:eastAsia="zh-CN" w:bidi="ar"/>
                    </w:rPr>
                    <w:t xml:space="preserve">（因安全考虑或有特殊工艺要求的除外），具体高度以及与周围建筑物的相对高度关系应根据环境影响评价文件确定。 </w:t>
                  </w:r>
                </w:p>
                <w:p>
                  <w:pPr>
                    <w:keepNext w:val="0"/>
                    <w:keepLines w:val="0"/>
                    <w:widowControl/>
                    <w:suppressLineNumbers w:val="0"/>
                    <w:jc w:val="left"/>
                    <w:rPr>
                      <w:rFonts w:ascii="Times New Roman" w:hAnsi="Times New Roman" w:eastAsia="Times New Roman" w:cs="Times New Roman"/>
                      <w:color w:val="auto"/>
                      <w:spacing w:val="6"/>
                      <w:sz w:val="21"/>
                      <w:szCs w:val="21"/>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、当执行不同排放控制要求的废气合并排气筒排放时，应在废气混合前进行监测，并执行相应的排放控制要求；若可选择的监控位置只能对混合后的废气进行检测，则应按各排放控制要求中最严格的规定执行。</w:t>
                  </w:r>
                </w:p>
              </w:tc>
              <w:tc>
                <w:tcPr>
                  <w:tcW w:w="990"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宋体" w:hAnsi="宋体" w:eastAsia="宋体" w:cs="宋体"/>
                      <w:color w:val="auto"/>
                      <w:spacing w:val="7"/>
                      <w:sz w:val="21"/>
                      <w:szCs w:val="21"/>
                      <w:lang w:eastAsia="zh-CN"/>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ascii="宋体" w:hAnsi="宋体" w:eastAsia="宋体" w:cs="宋体"/>
                      <w:color w:val="auto"/>
                      <w:spacing w:val="6"/>
                      <w:sz w:val="21"/>
                      <w:szCs w:val="21"/>
                    </w:rPr>
                    <w:t>危险废物为废</w:t>
                  </w:r>
                  <w:r>
                    <w:rPr>
                      <w:rFonts w:ascii="宋体" w:hAnsi="宋体" w:eastAsia="宋体" w:cs="宋体"/>
                      <w:color w:val="auto"/>
                      <w:spacing w:val="-4"/>
                      <w:sz w:val="21"/>
                      <w:szCs w:val="21"/>
                    </w:rPr>
                    <w:t>矿</w:t>
                  </w:r>
                  <w:r>
                    <w:rPr>
                      <w:rFonts w:ascii="宋体" w:hAnsi="宋体" w:eastAsia="宋体" w:cs="宋体"/>
                      <w:color w:val="auto"/>
                      <w:spacing w:val="-3"/>
                      <w:sz w:val="21"/>
                      <w:szCs w:val="21"/>
                    </w:rPr>
                    <w:t>物</w:t>
                  </w:r>
                  <w:r>
                    <w:rPr>
                      <w:rFonts w:ascii="宋体" w:hAnsi="宋体" w:eastAsia="宋体" w:cs="宋体"/>
                      <w:color w:val="auto"/>
                      <w:spacing w:val="-2"/>
                      <w:sz w:val="21"/>
                      <w:szCs w:val="21"/>
                    </w:rPr>
                    <w:t>油</w:t>
                  </w:r>
                  <w:r>
                    <w:rPr>
                      <w:rFonts w:hint="eastAsia" w:ascii="宋体" w:hAnsi="宋体" w:eastAsia="宋体" w:cs="宋体"/>
                      <w:color w:val="auto"/>
                      <w:spacing w:val="-2"/>
                      <w:sz w:val="21"/>
                      <w:szCs w:val="21"/>
                      <w:lang w:eastAsia="zh-CN"/>
                    </w:rPr>
                    <w:t>和废有机溶剂等</w:t>
                  </w:r>
                  <w:r>
                    <w:rPr>
                      <w:rFonts w:ascii="宋体" w:hAnsi="宋体" w:eastAsia="宋体" w:cs="宋体"/>
                      <w:color w:val="auto"/>
                      <w:spacing w:val="-2"/>
                      <w:sz w:val="21"/>
                      <w:szCs w:val="21"/>
                    </w:rPr>
                    <w:t>，</w:t>
                  </w:r>
                  <w:r>
                    <w:rPr>
                      <w:rFonts w:hint="default" w:ascii="Times New Roman" w:hAnsi="Times New Roman" w:eastAsia="宋体" w:cs="Times New Roman"/>
                      <w:color w:val="auto"/>
                      <w:kern w:val="2"/>
                      <w:sz w:val="21"/>
                      <w:szCs w:val="21"/>
                      <w:lang w:val="en-US" w:eastAsia="zh-CN"/>
                    </w:rPr>
                    <w:t>经</w:t>
                  </w:r>
                  <w:r>
                    <w:rPr>
                      <w:rFonts w:hint="eastAsia" w:ascii="Times New Roman" w:hAnsi="Times New Roman" w:eastAsia="宋体" w:cs="Times New Roman"/>
                      <w:color w:val="auto"/>
                      <w:kern w:val="2"/>
                      <w:sz w:val="21"/>
                      <w:szCs w:val="21"/>
                      <w:lang w:val="en-US" w:eastAsia="zh-CN"/>
                    </w:rPr>
                    <w:t>集气罩和管道收集+</w:t>
                  </w:r>
                  <w:r>
                    <w:rPr>
                      <w:rFonts w:hint="eastAsia" w:cs="Times New Roman"/>
                      <w:color w:val="auto"/>
                      <w:kern w:val="2"/>
                      <w:sz w:val="21"/>
                      <w:szCs w:val="21"/>
                      <w:lang w:val="en-US" w:eastAsia="zh-CN"/>
                    </w:rPr>
                    <w:t>经活性炭吸附装置处理</w:t>
                  </w:r>
                  <w:r>
                    <w:rPr>
                      <w:rFonts w:hint="default" w:ascii="Times New Roman" w:hAnsi="Times New Roman" w:eastAsia="宋体" w:cs="Times New Roman"/>
                      <w:color w:val="auto"/>
                      <w:kern w:val="2"/>
                      <w:sz w:val="21"/>
                      <w:szCs w:val="21"/>
                    </w:rPr>
                    <w:t>，由1</w:t>
                  </w:r>
                  <w:r>
                    <w:rPr>
                      <w:rFonts w:hint="eastAsia" w:ascii="Times New Roman" w:hAnsi="Times New Roman" w:eastAsia="宋体" w:cs="Times New Roman"/>
                      <w:color w:val="auto"/>
                      <w:kern w:val="2"/>
                      <w:sz w:val="21"/>
                      <w:szCs w:val="21"/>
                      <w:lang w:val="en-US" w:eastAsia="zh-CN"/>
                    </w:rPr>
                    <w:t>7</w:t>
                  </w:r>
                  <w:r>
                    <w:rPr>
                      <w:rFonts w:hint="default" w:ascii="Times New Roman" w:hAnsi="Times New Roman" w:eastAsia="宋体" w:cs="Times New Roman"/>
                      <w:color w:val="auto"/>
                      <w:kern w:val="2"/>
                      <w:sz w:val="21"/>
                      <w:szCs w:val="21"/>
                    </w:rPr>
                    <w:t>m高排气筒排放</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eastAsia" w:cs="Times New Roman"/>
                      <w:color w:val="auto"/>
                      <w:kern w:val="2"/>
                      <w:sz w:val="21"/>
                      <w:szCs w:val="21"/>
                      <w:lang w:val="en-US" w:eastAsia="zh-CN"/>
                    </w:rPr>
                    <w:t>有机废气排放速率远小于</w:t>
                  </w:r>
                  <w:r>
                    <w:rPr>
                      <w:rFonts w:ascii="Times New Roman" w:hAnsi="Times New Roman" w:eastAsia="Times New Roman" w:cs="Times New Roman"/>
                      <w:color w:val="auto"/>
                      <w:spacing w:val="12"/>
                      <w:sz w:val="21"/>
                      <w:szCs w:val="21"/>
                    </w:rPr>
                    <w:t>2</w:t>
                  </w:r>
                  <w:r>
                    <w:rPr>
                      <w:rFonts w:ascii="Times New Roman" w:hAnsi="Times New Roman" w:eastAsia="Times New Roman" w:cs="Times New Roman"/>
                      <w:color w:val="auto"/>
                      <w:sz w:val="21"/>
                      <w:szCs w:val="21"/>
                    </w:rPr>
                    <w:t>kg</w:t>
                  </w:r>
                  <w:r>
                    <w:rPr>
                      <w:rFonts w:ascii="Times New Roman" w:hAnsi="Times New Roman" w:eastAsia="Times New Roman" w:cs="Times New Roman"/>
                      <w:color w:val="auto"/>
                      <w:spacing w:val="7"/>
                      <w:sz w:val="21"/>
                      <w:szCs w:val="21"/>
                    </w:rPr>
                    <w:t>/</w:t>
                  </w:r>
                  <w:r>
                    <w:rPr>
                      <w:rFonts w:ascii="Times New Roman" w:hAnsi="Times New Roman" w:eastAsia="Times New Roman" w:cs="Times New Roman"/>
                      <w:color w:val="auto"/>
                      <w:sz w:val="21"/>
                      <w:szCs w:val="21"/>
                    </w:rPr>
                    <w:t>h</w:t>
                  </w:r>
                  <w:r>
                    <w:rPr>
                      <w:rFonts w:hint="eastAsia" w:eastAsia="宋体" w:cs="Times New Roman"/>
                      <w:color w:val="auto"/>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532" w:type="pct"/>
                  <w:tcBorders>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textAlignment w:val="baseline"/>
                    <w:rPr>
                      <w:rFonts w:ascii="宋体" w:hAnsi="宋体" w:eastAsia="宋体" w:cs="宋体"/>
                      <w:color w:val="auto"/>
                      <w:spacing w:val="8"/>
                      <w:sz w:val="21"/>
                      <w:szCs w:val="21"/>
                    </w:rPr>
                  </w:pPr>
                  <w:r>
                    <w:rPr>
                      <w:rFonts w:ascii="宋体" w:hAnsi="宋体" w:eastAsia="宋体" w:cs="宋体"/>
                      <w:color w:val="auto"/>
                      <w:spacing w:val="9"/>
                      <w:sz w:val="21"/>
                      <w:szCs w:val="21"/>
                    </w:rPr>
                    <w:t>记</w:t>
                  </w:r>
                  <w:r>
                    <w:rPr>
                      <w:rFonts w:ascii="宋体" w:hAnsi="宋体" w:eastAsia="宋体" w:cs="宋体"/>
                      <w:color w:val="auto"/>
                      <w:spacing w:val="7"/>
                      <w:sz w:val="21"/>
                      <w:szCs w:val="21"/>
                    </w:rPr>
                    <w:t>录要求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firstLine="60"/>
                    <w:textAlignment w:val="baseline"/>
                    <w:rPr>
                      <w:rFonts w:ascii="Times New Roman" w:hAnsi="Times New Roman" w:eastAsia="Times New Roman" w:cs="Times New Roman"/>
                      <w:color w:val="auto"/>
                      <w:spacing w:val="6"/>
                      <w:sz w:val="21"/>
                      <w:szCs w:val="21"/>
                    </w:rPr>
                  </w:pPr>
                  <w:r>
                    <w:rPr>
                      <w:rFonts w:ascii="宋体" w:hAnsi="宋体" w:eastAsia="宋体" w:cs="宋体"/>
                      <w:color w:val="auto"/>
                      <w:spacing w:val="11"/>
                      <w:sz w:val="21"/>
                      <w:szCs w:val="21"/>
                    </w:rPr>
                    <w:t>企</w:t>
                  </w:r>
                  <w:r>
                    <w:rPr>
                      <w:rFonts w:ascii="宋体" w:hAnsi="宋体" w:eastAsia="宋体" w:cs="宋体"/>
                      <w:color w:val="auto"/>
                      <w:spacing w:val="10"/>
                      <w:sz w:val="21"/>
                      <w:szCs w:val="21"/>
                    </w:rPr>
                    <w:t>业应建立台帐，记录废气</w:t>
                  </w:r>
                  <w:r>
                    <w:rPr>
                      <w:rFonts w:hint="eastAsia" w:ascii="宋体" w:hAnsi="宋体" w:eastAsia="宋体" w:cs="宋体"/>
                      <w:color w:val="auto"/>
                      <w:spacing w:val="10"/>
                      <w:sz w:val="21"/>
                      <w:szCs w:val="21"/>
                      <w:lang w:eastAsia="zh-CN"/>
                    </w:rPr>
                    <w:t>收集</w:t>
                  </w:r>
                  <w:r>
                    <w:rPr>
                      <w:rFonts w:ascii="宋体" w:hAnsi="宋体" w:eastAsia="宋体" w:cs="宋体"/>
                      <w:color w:val="auto"/>
                      <w:spacing w:val="10"/>
                      <w:sz w:val="21"/>
                      <w:szCs w:val="21"/>
                    </w:rPr>
                    <w:t>系统、</w:t>
                  </w:r>
                  <w:r>
                    <w:rPr>
                      <w:rFonts w:ascii="Times New Roman" w:hAnsi="Times New Roman" w:eastAsia="Times New Roman" w:cs="Times New Roman"/>
                      <w:color w:val="auto"/>
                      <w:sz w:val="21"/>
                      <w:szCs w:val="21"/>
                    </w:rPr>
                    <w:t>VOCs</w:t>
                  </w:r>
                  <w:r>
                    <w:rPr>
                      <w:rFonts w:ascii="宋体" w:hAnsi="宋体" w:eastAsia="宋体" w:cs="宋体"/>
                      <w:color w:val="auto"/>
                      <w:spacing w:val="9"/>
                      <w:sz w:val="21"/>
                      <w:szCs w:val="21"/>
                    </w:rPr>
                    <w:t>处</w:t>
                  </w:r>
                  <w:r>
                    <w:rPr>
                      <w:rFonts w:ascii="宋体" w:hAnsi="宋体" w:eastAsia="宋体" w:cs="宋体"/>
                      <w:color w:val="auto"/>
                      <w:spacing w:val="7"/>
                      <w:sz w:val="21"/>
                      <w:szCs w:val="21"/>
                    </w:rPr>
                    <w:t>理设施的主要运行和维护信息，</w:t>
                  </w:r>
                  <w:r>
                    <w:rPr>
                      <w:rFonts w:ascii="宋体" w:hAnsi="宋体" w:eastAsia="宋体" w:cs="宋体"/>
                      <w:color w:val="auto"/>
                      <w:spacing w:val="11"/>
                      <w:sz w:val="21"/>
                      <w:szCs w:val="21"/>
                    </w:rPr>
                    <w:t>如</w:t>
                  </w:r>
                  <w:r>
                    <w:rPr>
                      <w:rFonts w:ascii="宋体" w:hAnsi="宋体" w:eastAsia="宋体" w:cs="宋体"/>
                      <w:color w:val="auto"/>
                      <w:spacing w:val="10"/>
                      <w:sz w:val="21"/>
                      <w:szCs w:val="21"/>
                    </w:rPr>
                    <w:t>运行时间、废气处理量、操作温度、</w:t>
                  </w:r>
                  <w:r>
                    <w:rPr>
                      <w:rFonts w:ascii="宋体" w:hAnsi="宋体" w:eastAsia="宋体" w:cs="宋体"/>
                      <w:color w:val="auto"/>
                      <w:spacing w:val="9"/>
                      <w:sz w:val="21"/>
                      <w:szCs w:val="21"/>
                    </w:rPr>
                    <w:t>停留时间、吸附剂再生</w:t>
                  </w:r>
                  <w:r>
                    <w:rPr>
                      <w:rFonts w:ascii="Times New Roman" w:hAnsi="Times New Roman" w:eastAsia="Times New Roman" w:cs="Times New Roman"/>
                      <w:color w:val="auto"/>
                      <w:spacing w:val="9"/>
                      <w:sz w:val="21"/>
                      <w:szCs w:val="21"/>
                    </w:rPr>
                    <w:t>/</w:t>
                  </w:r>
                  <w:r>
                    <w:rPr>
                      <w:rFonts w:ascii="宋体" w:hAnsi="宋体" w:eastAsia="宋体" w:cs="宋体"/>
                      <w:color w:val="auto"/>
                      <w:spacing w:val="9"/>
                      <w:sz w:val="21"/>
                      <w:szCs w:val="21"/>
                    </w:rPr>
                    <w:t>更换周期和更换</w:t>
                  </w:r>
                  <w:r>
                    <w:rPr>
                      <w:rFonts w:ascii="宋体" w:hAnsi="宋体" w:eastAsia="宋体" w:cs="宋体"/>
                      <w:color w:val="auto"/>
                      <w:spacing w:val="16"/>
                      <w:sz w:val="21"/>
                      <w:szCs w:val="21"/>
                    </w:rPr>
                    <w:t>量</w:t>
                  </w:r>
                  <w:r>
                    <w:rPr>
                      <w:rFonts w:ascii="宋体" w:hAnsi="宋体" w:eastAsia="宋体" w:cs="宋体"/>
                      <w:color w:val="auto"/>
                      <w:spacing w:val="9"/>
                      <w:sz w:val="21"/>
                      <w:szCs w:val="21"/>
                    </w:rPr>
                    <w:t>、催化剂更换周期和更换量、吸附液</w:t>
                  </w:r>
                  <w:r>
                    <w:rPr>
                      <w:rFonts w:ascii="Times New Roman" w:hAnsi="Times New Roman" w:eastAsia="Times New Roman" w:cs="Times New Roman"/>
                      <w:color w:val="auto"/>
                      <w:sz w:val="21"/>
                      <w:szCs w:val="21"/>
                    </w:rPr>
                    <w:t>pH</w:t>
                  </w:r>
                  <w:r>
                    <w:rPr>
                      <w:rFonts w:ascii="宋体" w:hAnsi="宋体" w:eastAsia="宋体" w:cs="宋体"/>
                      <w:color w:val="auto"/>
                      <w:spacing w:val="10"/>
                      <w:sz w:val="21"/>
                      <w:szCs w:val="21"/>
                    </w:rPr>
                    <w:t>值等关键运行参数。台账保存期限不</w:t>
                  </w:r>
                  <w:r>
                    <w:rPr>
                      <w:rFonts w:ascii="宋体" w:hAnsi="宋体" w:eastAsia="宋体" w:cs="宋体"/>
                      <w:color w:val="auto"/>
                      <w:spacing w:val="-4"/>
                      <w:sz w:val="21"/>
                      <w:szCs w:val="21"/>
                    </w:rPr>
                    <w:t>少</w:t>
                  </w:r>
                  <w:r>
                    <w:rPr>
                      <w:rFonts w:ascii="宋体" w:hAnsi="宋体" w:eastAsia="宋体" w:cs="宋体"/>
                      <w:color w:val="auto"/>
                      <w:spacing w:val="-3"/>
                      <w:sz w:val="21"/>
                      <w:szCs w:val="21"/>
                    </w:rPr>
                    <w:t>于</w:t>
                  </w:r>
                  <w:r>
                    <w:rPr>
                      <w:rFonts w:ascii="Times New Roman" w:hAnsi="Times New Roman" w:eastAsia="Times New Roman" w:cs="Times New Roman"/>
                      <w:color w:val="auto"/>
                      <w:spacing w:val="-3"/>
                      <w:sz w:val="21"/>
                      <w:szCs w:val="21"/>
                    </w:rPr>
                    <w:t>3</w:t>
                  </w:r>
                  <w:r>
                    <w:rPr>
                      <w:rFonts w:ascii="宋体" w:hAnsi="宋体" w:eastAsia="宋体" w:cs="宋体"/>
                      <w:color w:val="auto"/>
                      <w:spacing w:val="-3"/>
                      <w:sz w:val="21"/>
                      <w:szCs w:val="21"/>
                    </w:rPr>
                    <w:t>年。</w:t>
                  </w:r>
                </w:p>
              </w:tc>
              <w:tc>
                <w:tcPr>
                  <w:tcW w:w="990" w:type="pct"/>
                  <w:tcBorders>
                    <w:lef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eastAsia" w:ascii="宋体" w:hAnsi="宋体" w:eastAsia="宋体" w:cs="宋体"/>
                      <w:color w:val="auto"/>
                      <w:spacing w:val="7"/>
                      <w:sz w:val="21"/>
                      <w:szCs w:val="21"/>
                      <w:lang w:eastAsia="zh-CN"/>
                    </w:rPr>
                  </w:pPr>
                  <w:r>
                    <w:rPr>
                      <w:rFonts w:ascii="宋体" w:hAnsi="宋体" w:eastAsia="宋体" w:cs="宋体"/>
                      <w:color w:val="auto"/>
                      <w:spacing w:val="11"/>
                      <w:sz w:val="21"/>
                      <w:szCs w:val="21"/>
                    </w:rPr>
                    <w:t>本</w:t>
                  </w:r>
                  <w:r>
                    <w:rPr>
                      <w:rFonts w:ascii="宋体" w:hAnsi="宋体" w:eastAsia="宋体" w:cs="宋体"/>
                      <w:color w:val="auto"/>
                      <w:spacing w:val="8"/>
                      <w:sz w:val="21"/>
                      <w:szCs w:val="21"/>
                    </w:rPr>
                    <w:t>评价要求企业</w:t>
                  </w:r>
                  <w:r>
                    <w:rPr>
                      <w:rFonts w:ascii="宋体" w:hAnsi="宋体" w:eastAsia="宋体" w:cs="宋体"/>
                      <w:color w:val="auto"/>
                      <w:spacing w:val="10"/>
                      <w:sz w:val="21"/>
                      <w:szCs w:val="21"/>
                    </w:rPr>
                    <w:t>建</w:t>
                  </w:r>
                  <w:r>
                    <w:rPr>
                      <w:rFonts w:ascii="宋体" w:hAnsi="宋体" w:eastAsia="宋体" w:cs="宋体"/>
                      <w:color w:val="auto"/>
                      <w:spacing w:val="8"/>
                      <w:sz w:val="21"/>
                      <w:szCs w:val="21"/>
                    </w:rPr>
                    <w:t>立台账记录相</w:t>
                  </w:r>
                  <w:r>
                    <w:rPr>
                      <w:rFonts w:ascii="宋体" w:hAnsi="宋体" w:eastAsia="宋体" w:cs="宋体"/>
                      <w:color w:val="auto"/>
                      <w:spacing w:val="6"/>
                      <w:sz w:val="21"/>
                      <w:szCs w:val="21"/>
                    </w:rPr>
                    <w:t>关信</w:t>
                  </w:r>
                  <w:r>
                    <w:rPr>
                      <w:rFonts w:ascii="宋体" w:hAnsi="宋体" w:eastAsia="宋体" w:cs="宋体"/>
                      <w:color w:val="auto"/>
                      <w:spacing w:val="5"/>
                      <w:sz w:val="21"/>
                      <w:szCs w:val="21"/>
                    </w:rPr>
                    <w:t>息</w:t>
                  </w:r>
                  <w:r>
                    <w:rPr>
                      <w:rFonts w:hint="eastAsia" w:ascii="宋体" w:hAnsi="宋体" w:eastAsia="宋体" w:cs="宋体"/>
                      <w:color w:val="auto"/>
                      <w:spacing w:val="5"/>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1064" w:type="pct"/>
                  <w:gridSpan w:val="2"/>
                  <w:tcBorders>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宋体" w:hAnsi="宋体" w:eastAsia="宋体" w:cs="宋体"/>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宋体" w:hAnsi="宋体" w:eastAsia="宋体" w:cs="宋体"/>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textAlignment w:val="baseline"/>
                    <w:rPr>
                      <w:rFonts w:ascii="宋体" w:hAnsi="宋体" w:eastAsia="宋体" w:cs="宋体"/>
                      <w:color w:val="auto"/>
                      <w:spacing w:val="8"/>
                      <w:sz w:val="21"/>
                      <w:szCs w:val="21"/>
                    </w:rPr>
                  </w:pPr>
                  <w:r>
                    <w:rPr>
                      <w:rFonts w:ascii="宋体" w:hAnsi="宋体" w:eastAsia="宋体" w:cs="宋体"/>
                      <w:color w:val="auto"/>
                      <w:spacing w:val="11"/>
                      <w:sz w:val="21"/>
                      <w:szCs w:val="21"/>
                    </w:rPr>
                    <w:t>企业厂区内及周边污染监控要求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r>
                    <w:rPr>
                      <w:rFonts w:ascii="宋体" w:hAnsi="宋体" w:eastAsia="宋体" w:cs="宋体"/>
                      <w:color w:val="auto"/>
                      <w:spacing w:val="11"/>
                      <w:sz w:val="21"/>
                      <w:szCs w:val="21"/>
                    </w:rPr>
                    <w:t>1 、企业边界及周边</w:t>
                  </w:r>
                  <w:r>
                    <w:rPr>
                      <w:rFonts w:hint="default" w:ascii="Times New Roman" w:hAnsi="Times New Roman" w:eastAsia="宋体" w:cs="Times New Roman"/>
                      <w:color w:val="auto"/>
                      <w:spacing w:val="11"/>
                      <w:sz w:val="21"/>
                      <w:szCs w:val="21"/>
                    </w:rPr>
                    <w:t>VOCs监控要求执行GB16297或相关行业排放标准的规定。</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Times New Roman" w:hAnsi="Times New Roman" w:eastAsia="Times New Roman" w:cs="Times New Roman"/>
                      <w:color w:val="auto"/>
                      <w:spacing w:val="6"/>
                      <w:sz w:val="21"/>
                      <w:szCs w:val="21"/>
                    </w:rPr>
                  </w:pPr>
                  <w:r>
                    <w:rPr>
                      <w:rFonts w:hint="default" w:ascii="Times New Roman" w:hAnsi="Times New Roman" w:eastAsia="宋体" w:cs="Times New Roman"/>
                      <w:color w:val="auto"/>
                      <w:spacing w:val="11"/>
                      <w:sz w:val="21"/>
                      <w:szCs w:val="21"/>
                    </w:rPr>
                    <w:t>2 、地方生态环境主管部门可根据当地环境保护需要，对厂区内 VOCs</w:t>
                  </w:r>
                  <w:r>
                    <w:rPr>
                      <w:rFonts w:ascii="宋体" w:hAnsi="宋体" w:eastAsia="宋体" w:cs="宋体"/>
                      <w:color w:val="auto"/>
                      <w:spacing w:val="11"/>
                      <w:sz w:val="21"/>
                      <w:szCs w:val="21"/>
                    </w:rPr>
                    <w:t>无组织排放状况进行监控，具体实施方式由各地自行确定。</w:t>
                  </w:r>
                </w:p>
              </w:tc>
              <w:tc>
                <w:tcPr>
                  <w:tcW w:w="990" w:type="pct"/>
                  <w:tcBorders>
                    <w:lef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eastAsia" w:ascii="宋体" w:hAnsi="宋体" w:eastAsia="宋体" w:cs="宋体"/>
                      <w:color w:val="auto"/>
                      <w:spacing w:val="7"/>
                      <w:sz w:val="21"/>
                      <w:szCs w:val="21"/>
                      <w:lang w:eastAsia="zh-CN"/>
                    </w:rPr>
                  </w:pPr>
                  <w:r>
                    <w:rPr>
                      <w:rFonts w:ascii="宋体" w:hAnsi="宋体" w:eastAsia="宋体" w:cs="宋体"/>
                      <w:color w:val="auto"/>
                      <w:spacing w:val="11"/>
                      <w:sz w:val="21"/>
                      <w:szCs w:val="21"/>
                    </w:rPr>
                    <w:t>本评价要求企业对厂界挥发性有机物进行监测</w:t>
                  </w:r>
                  <w:r>
                    <w:rPr>
                      <w:rFonts w:hint="eastAsia" w:ascii="宋体" w:hAnsi="宋体" w:eastAsia="宋体" w:cs="宋体"/>
                      <w:color w:val="auto"/>
                      <w:spacing w:val="11"/>
                      <w:sz w:val="21"/>
                      <w:szCs w:val="21"/>
                      <w:lang w:eastAsia="zh-CN"/>
                    </w:rPr>
                    <w:t>。由于本项目属于危废暂存间，按照相关要求应进行密闭，同时根据</w:t>
                  </w:r>
                  <w:r>
                    <w:rPr>
                      <w:rFonts w:hint="default" w:ascii="Times New Roman" w:hAnsi="Times New Roman" w:eastAsia="宋体" w:cs="Times New Roman"/>
                      <w:color w:val="auto"/>
                      <w:spacing w:val="11"/>
                      <w:sz w:val="21"/>
                      <w:szCs w:val="21"/>
                    </w:rPr>
                    <w:t>地方生态环境主管部门</w:t>
                  </w:r>
                  <w:r>
                    <w:rPr>
                      <w:rFonts w:hint="eastAsia" w:ascii="Times New Roman" w:hAnsi="Times New Roman" w:eastAsia="宋体" w:cs="Times New Roman"/>
                      <w:color w:val="auto"/>
                      <w:spacing w:val="11"/>
                      <w:sz w:val="21"/>
                      <w:szCs w:val="21"/>
                      <w:lang w:eastAsia="zh-CN"/>
                    </w:rPr>
                    <w:t>规定，本项目无需进行厂内（危废间内部）监测。</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7" w:hRule="atLeast"/>
              </w:trPr>
              <w:tc>
                <w:tcPr>
                  <w:tcW w:w="1408"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1064" w:type="pct"/>
                  <w:gridSpan w:val="2"/>
                  <w:tcBorders>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textAlignment w:val="baseline"/>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11"/>
                      <w:sz w:val="21"/>
                      <w:szCs w:val="21"/>
                    </w:rPr>
                    <w:t>污染物监测要求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1、企业应按照有关法律、《环境监测管理办法》和HJ819等规定，建立企业监测制度，制定企业监测方案，对污染物排放状况及其周边环境质量的影响开展自行监测，保存原始监测记录，并公布 监测结果。</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2、对于挥发性有机液体储罐、挥发性有机液体装载设施以及废气收集处理系统的 VOCs排放，监测采样和测定方法按GB/T16157、HJ/T397、HJ732以及HJ38、HJ1012、HJ1013的规定执行。</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Times New Roman" w:cs="Times New Roman"/>
                      <w:color w:val="auto"/>
                      <w:spacing w:val="6"/>
                      <w:sz w:val="21"/>
                      <w:szCs w:val="21"/>
                    </w:rPr>
                  </w:pPr>
                  <w:r>
                    <w:rPr>
                      <w:rFonts w:hint="default" w:ascii="Times New Roman" w:hAnsi="Times New Roman" w:eastAsia="宋体" w:cs="Times New Roman"/>
                      <w:color w:val="auto"/>
                      <w:spacing w:val="11"/>
                      <w:sz w:val="21"/>
                      <w:szCs w:val="21"/>
                    </w:rPr>
                    <w:t>3、企业边界及周边VOCs监测按 HJ/T55的规定执行。</w:t>
                  </w:r>
                </w:p>
              </w:tc>
              <w:tc>
                <w:tcPr>
                  <w:tcW w:w="990" w:type="pct"/>
                  <w:tcBorders>
                    <w:lef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textAlignment w:val="baseline"/>
                    <w:rPr>
                      <w:rFonts w:hint="eastAsia" w:ascii="Times New Roman" w:hAnsi="Times New Roman" w:eastAsia="宋体" w:cs="Times New Roman"/>
                      <w:color w:val="auto"/>
                      <w:spacing w:val="7"/>
                      <w:sz w:val="21"/>
                      <w:szCs w:val="21"/>
                      <w:lang w:eastAsia="zh-CN"/>
                    </w:rPr>
                  </w:pPr>
                  <w:r>
                    <w:rPr>
                      <w:rFonts w:hint="eastAsia" w:ascii="Times New Roman" w:hAnsi="Times New Roman" w:eastAsia="宋体" w:cs="Times New Roman"/>
                      <w:color w:val="auto"/>
                      <w:spacing w:val="11"/>
                      <w:sz w:val="21"/>
                      <w:szCs w:val="21"/>
                      <w:lang w:eastAsia="zh-CN"/>
                    </w:rPr>
                    <w:t>企业原有危废暂存间按照相关要求进行自行监测。</w:t>
                  </w:r>
                  <w:r>
                    <w:rPr>
                      <w:rFonts w:hint="default" w:ascii="Times New Roman" w:hAnsi="Times New Roman" w:eastAsia="宋体" w:cs="Times New Roman"/>
                      <w:color w:val="auto"/>
                      <w:spacing w:val="11"/>
                      <w:sz w:val="21"/>
                      <w:szCs w:val="21"/>
                    </w:rPr>
                    <w:t>本评价要求企业开展自行监测</w:t>
                  </w:r>
                  <w:r>
                    <w:rPr>
                      <w:rFonts w:hint="eastAsia" w:ascii="Times New Roman" w:hAnsi="Times New Roman" w:eastAsia="宋体" w:cs="Times New Roman"/>
                      <w:color w:val="auto"/>
                      <w:spacing w:val="11"/>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restar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《废电池污染防治技术政策》  </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2016年12月26日环境保护部</w:t>
                  </w:r>
                  <w:r>
                    <w:rPr>
                      <w:rFonts w:hint="eastAsia" w:cs="Times New Roman"/>
                      <w:color w:val="auto"/>
                      <w:sz w:val="21"/>
                      <w:szCs w:val="21"/>
                      <w:lang w:val="en-US" w:eastAsia="zh-CN"/>
                    </w:rPr>
                    <w:t>）</w:t>
                  </w:r>
                </w:p>
              </w:tc>
              <w:tc>
                <w:tcPr>
                  <w:tcW w:w="2271" w:type="pct"/>
                  <w:gridSpan w:val="4"/>
                  <w:tcBorders>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hanging="3" w:firstLineChars="0"/>
                    <w:jc w:val="center"/>
                    <w:textAlignment w:val="auto"/>
                    <w:rPr>
                      <w:rFonts w:ascii="Times New Roman" w:hAnsi="Times New Roman" w:eastAsia="Times New Roman" w:cs="Times New Roman"/>
                      <w:b/>
                      <w:bCs/>
                      <w:color w:val="auto"/>
                      <w:spacing w:val="6"/>
                      <w:sz w:val="21"/>
                      <w:szCs w:val="21"/>
                    </w:rPr>
                  </w:pPr>
                  <w:r>
                    <w:rPr>
                      <w:rFonts w:hint="eastAsia" w:ascii="宋体" w:hAnsi="宋体" w:eastAsia="宋体" w:cs="宋体"/>
                      <w:b/>
                      <w:bCs/>
                      <w:color w:val="auto"/>
                      <w:spacing w:val="8"/>
                      <w:sz w:val="21"/>
                      <w:szCs w:val="21"/>
                      <w:lang w:eastAsia="zh-CN"/>
                    </w:rPr>
                    <w:t>文件要求</w:t>
                  </w:r>
                </w:p>
              </w:tc>
              <w:tc>
                <w:tcPr>
                  <w:tcW w:w="990"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宋体" w:hAnsi="宋体" w:eastAsia="宋体" w:cs="宋体"/>
                      <w:b/>
                      <w:bCs/>
                      <w:color w:val="auto"/>
                      <w:spacing w:val="7"/>
                      <w:sz w:val="21"/>
                      <w:szCs w:val="21"/>
                      <w:lang w:eastAsia="zh-CN"/>
                    </w:rPr>
                  </w:pPr>
                  <w:r>
                    <w:rPr>
                      <w:rFonts w:hint="eastAsia" w:ascii="宋体" w:hAnsi="宋体" w:eastAsia="宋体" w:cs="宋体"/>
                      <w:b/>
                      <w:bCs/>
                      <w:color w:val="auto"/>
                      <w:spacing w:val="7"/>
                      <w:sz w:val="21"/>
                      <w:szCs w:val="21"/>
                      <w:lang w:eastAsia="zh-CN"/>
                    </w:rPr>
                    <w:t>本项目情况</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b/>
                      <w:bCs/>
                      <w:color w:val="auto"/>
                      <w:sz w:val="21"/>
                      <w:szCs w:val="21"/>
                      <w:lang w:val="en-US" w:eastAsia="zh-CN"/>
                    </w:rPr>
                  </w:pPr>
                  <w:r>
                    <w:rPr>
                      <w:rFonts w:hint="eastAsia"/>
                      <w:b/>
                      <w:bCs/>
                      <w:color w:val="auto"/>
                      <w:sz w:val="21"/>
                      <w:szCs w:val="21"/>
                      <w:lang w:val="en-US" w:eastAsia="zh-CN"/>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restar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收集</w:t>
                  </w:r>
                </w:p>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1739" w:type="pct"/>
                  <w:gridSpan w:val="3"/>
                  <w:tcBorders>
                    <w:top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在具有资源化利用条件的地区，鼓励分类收集废原电池。</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本项目废电池为办公使用的干电池电池收集、暂 存项目，分类收集暂存。</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1739" w:type="pct"/>
                  <w:gridSpan w:val="3"/>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鼓励电池生产企业、废电池收集企业及利用企业等建设废电池收集体系。</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本项目为危废暂存间，属于废电池收集体系。</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1739" w:type="pct"/>
                  <w:gridSpan w:val="3"/>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废电池收集企业应设立具有显 著标识的废电池分类收集设施。鼓励消费者将废电池送到相应 的废电池收集网点装置中。</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本项目废电池为本公司办公使用的干电池电池收集、暂存项目，分类收集暂存。</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1739" w:type="pct"/>
                  <w:gridSpan w:val="3"/>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收集过程中应保持废电池的结构和外形完整，严禁私自破损废电池，已破损的废电池应单独存放。</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本项目废电池为本公司办公使用的干电池电池收集、暂存项目，分类收集暂存。收集过程中保持废电池的结构和外形完整，确保未破损的密封式免维护废电池，贮存于单独的专用</w:t>
                  </w:r>
                  <w:r>
                    <w:rPr>
                      <w:rFonts w:hint="eastAsia" w:cs="Times New Roman"/>
                      <w:color w:val="auto"/>
                      <w:sz w:val="21"/>
                      <w:szCs w:val="21"/>
                      <w:lang w:val="en-US" w:eastAsia="zh-CN"/>
                    </w:rPr>
                    <w:t>袋或容器内</w:t>
                  </w:r>
                  <w:r>
                    <w:rPr>
                      <w:rFonts w:hint="eastAsia" w:ascii="Times New Roman" w:hAnsi="Times New Roman" w:eastAsia="宋体" w:cs="Times New Roman"/>
                      <w:color w:val="auto"/>
                      <w:sz w:val="21"/>
                      <w:szCs w:val="21"/>
                      <w:lang w:val="en-US"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贮存</w:t>
                  </w:r>
                </w:p>
              </w:tc>
              <w:tc>
                <w:tcPr>
                  <w:tcW w:w="1739" w:type="pct"/>
                  <w:gridSpan w:val="3"/>
                  <w:tcBorders>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废电池应分类贮存，禁止露天堆放。破损的废电池应单独贮存。贮存场所应定期清理、清运</w:t>
                  </w:r>
                  <w:r>
                    <w:rPr>
                      <w:rFonts w:hint="eastAsia" w:ascii="Times New Roman" w:hAnsi="Times New Roman" w:eastAsia="宋体" w:cs="Times New Roman"/>
                      <w:color w:val="auto"/>
                      <w:sz w:val="21"/>
                      <w:szCs w:val="21"/>
                      <w:lang w:val="en-US" w:eastAsia="zh-CN"/>
                    </w:rPr>
                    <w:t>。</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本项目设置有专门的废电池贮存区域，设置于室内，将收集的废</w:t>
                  </w:r>
                  <w:r>
                    <w:rPr>
                      <w:rFonts w:hint="eastAsia" w:ascii="Times New Roman" w:hAnsi="Times New Roman" w:eastAsia="宋体" w:cs="Times New Roman"/>
                      <w:color w:val="auto"/>
                      <w:sz w:val="21"/>
                      <w:szCs w:val="21"/>
                      <w:lang w:val="en-US" w:eastAsia="zh-CN"/>
                    </w:rPr>
                    <w:t>干</w:t>
                  </w:r>
                  <w:r>
                    <w:rPr>
                      <w:rFonts w:hint="default" w:ascii="Times New Roman" w:hAnsi="Times New Roman" w:eastAsia="宋体" w:cs="Times New Roman"/>
                      <w:color w:val="auto"/>
                      <w:sz w:val="21"/>
                      <w:szCs w:val="21"/>
                      <w:lang w:val="en-US" w:eastAsia="zh-CN"/>
                    </w:rPr>
                    <w:t>电池分类</w:t>
                  </w:r>
                  <w:r>
                    <w:rPr>
                      <w:rFonts w:hint="eastAsia" w:ascii="Times New Roman" w:hAnsi="Times New Roman" w:eastAsia="宋体" w:cs="Times New Roman"/>
                      <w:color w:val="auto"/>
                      <w:sz w:val="21"/>
                      <w:szCs w:val="21"/>
                      <w:lang w:val="en-US" w:eastAsia="zh-CN"/>
                    </w:rPr>
                    <w:t>贮存于单独的专用</w:t>
                  </w:r>
                  <w:r>
                    <w:rPr>
                      <w:rFonts w:hint="eastAsia" w:cs="Times New Roman"/>
                      <w:color w:val="auto"/>
                      <w:sz w:val="21"/>
                      <w:szCs w:val="21"/>
                      <w:lang w:val="en-US" w:eastAsia="zh-CN"/>
                    </w:rPr>
                    <w:t>袋或容器内</w:t>
                  </w:r>
                  <w:r>
                    <w:rPr>
                      <w:rFonts w:hint="default" w:ascii="Times New Roman" w:hAnsi="Times New Roman" w:eastAsia="宋体" w:cs="Times New Roman"/>
                      <w:color w:val="2622E3"/>
                      <w:sz w:val="21"/>
                      <w:szCs w:val="21"/>
                      <w:highlight w:val="none"/>
                      <w:lang w:val="en-US"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1739" w:type="pct"/>
                  <w:gridSpan w:val="3"/>
                  <w:tcBorders>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废铅蓄电池的贮存场所应防止电解液泄漏。废铅蓄电池的贮存应避免遭受雨淋水浸</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本项目废电池为本公司办公使用的干电池电池收集、暂存项目，不涉及废铅蓄电池收集和暂存。收集、暂存严格按照</w:t>
                  </w:r>
                  <w:r>
                    <w:rPr>
                      <w:rFonts w:hint="eastAsia"/>
                      <w:color w:val="auto"/>
                      <w:sz w:val="21"/>
                      <w:szCs w:val="21"/>
                      <w:lang w:val="en-US" w:eastAsia="zh-CN"/>
                    </w:rPr>
                    <w:t>《危险废物贮存污染控制标准》（GB 18597-2023）进行贮存。</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pPr>
              <w:adjustRightInd w:val="0"/>
              <w:snapToGrid w:val="0"/>
              <w:spacing w:line="360" w:lineRule="auto"/>
              <w:rPr>
                <w:b/>
                <w:bCs/>
                <w:color w:val="auto"/>
                <w:sz w:val="24"/>
                <w:szCs w:val="24"/>
              </w:rPr>
            </w:pPr>
            <w:r>
              <w:rPr>
                <w:rFonts w:hint="eastAsia"/>
                <w:b/>
                <w:bCs/>
                <w:color w:val="auto"/>
                <w:sz w:val="24"/>
                <w:szCs w:val="24"/>
                <w:lang w:val="en-US" w:eastAsia="zh-CN"/>
              </w:rPr>
              <w:t>4</w:t>
            </w:r>
            <w:r>
              <w:rPr>
                <w:rFonts w:hint="eastAsia"/>
                <w:b/>
                <w:bCs/>
                <w:color w:val="auto"/>
                <w:sz w:val="24"/>
                <w:szCs w:val="24"/>
              </w:rPr>
              <w:t>、与相关</w:t>
            </w:r>
            <w:r>
              <w:rPr>
                <w:rFonts w:hint="eastAsia"/>
                <w:b/>
                <w:bCs/>
                <w:color w:val="auto"/>
                <w:sz w:val="24"/>
                <w:szCs w:val="24"/>
                <w:lang w:val="en-US" w:eastAsia="zh-CN"/>
              </w:rPr>
              <w:t>相关法规条例的</w:t>
            </w:r>
            <w:r>
              <w:rPr>
                <w:rFonts w:hint="eastAsia"/>
                <w:b/>
                <w:bCs/>
                <w:color w:val="auto"/>
                <w:sz w:val="24"/>
                <w:szCs w:val="24"/>
              </w:rPr>
              <w:t>相符性分析</w:t>
            </w:r>
          </w:p>
          <w:p>
            <w:pPr>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auto"/>
              <w:rPr>
                <w:b/>
                <w:bCs/>
                <w:color w:val="auto"/>
                <w:sz w:val="24"/>
                <w:szCs w:val="24"/>
              </w:rPr>
            </w:pPr>
            <w:r>
              <w:rPr>
                <w:rFonts w:hint="eastAsia"/>
                <w:b/>
                <w:bCs/>
                <w:color w:val="auto"/>
                <w:sz w:val="24"/>
                <w:szCs w:val="24"/>
                <w:lang w:val="en-US" w:eastAsia="zh-CN"/>
              </w:rPr>
              <w:t>表1-5</w:t>
            </w:r>
            <w:r>
              <w:rPr>
                <w:b/>
                <w:bCs/>
                <w:color w:val="auto"/>
                <w:sz w:val="24"/>
                <w:szCs w:val="24"/>
              </w:rPr>
              <w:t>本项目与环境管理政策相符性分析</w:t>
            </w:r>
          </w:p>
          <w:tbl>
            <w:tblPr>
              <w:tblStyle w:val="31"/>
              <w:tblW w:w="4950"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68"/>
              <w:gridCol w:w="2607"/>
              <w:gridCol w:w="2351"/>
              <w:gridCol w:w="9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lang w:val="en" w:eastAsia="zh-CN"/>
                    </w:rPr>
                  </w:pPr>
                  <w:r>
                    <w:rPr>
                      <w:rFonts w:hint="default"/>
                      <w:b/>
                      <w:bCs/>
                      <w:color w:val="auto"/>
                    </w:rPr>
                    <w:t>名称</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default" w:ascii="Times New Roman" w:hAnsi="Times New Roman" w:cs="Times New Roman"/>
                      <w:color w:val="auto"/>
                      <w:sz w:val="21"/>
                      <w:szCs w:val="21"/>
                      <w:lang w:val="en" w:eastAsia="zh-CN"/>
                    </w:rPr>
                  </w:pPr>
                  <w:r>
                    <w:rPr>
                      <w:rFonts w:hint="default"/>
                      <w:b/>
                      <w:bCs/>
                      <w:color w:val="auto"/>
                    </w:rPr>
                    <w:t>要求</w:t>
                  </w:r>
                </w:p>
              </w:tc>
              <w:tc>
                <w:tcPr>
                  <w:tcW w:w="16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eastAsia"/>
                      <w:color w:val="auto"/>
                      <w:lang w:val="en-US" w:eastAsia="zh-CN"/>
                    </w:rPr>
                  </w:pPr>
                  <w:r>
                    <w:rPr>
                      <w:rFonts w:hint="default"/>
                      <w:b/>
                      <w:bCs/>
                      <w:color w:val="auto"/>
                    </w:rPr>
                    <w:t>本项目情况</w:t>
                  </w: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lang w:val="en-US" w:eastAsia="zh-CN"/>
                    </w:rPr>
                  </w:pPr>
                  <w:r>
                    <w:rPr>
                      <w:rFonts w:hint="default"/>
                      <w:b/>
                      <w:bCs/>
                      <w:color w:val="auto"/>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color w:val="auto"/>
                      <w:lang w:val="en-US" w:eastAsia="zh-CN"/>
                    </w:rPr>
                  </w:pPr>
                  <w:r>
                    <w:rPr>
                      <w:rFonts w:hint="default"/>
                      <w:color w:val="auto"/>
                      <w:lang w:val="en-US" w:eastAsia="zh-CN"/>
                    </w:rPr>
                    <w:t>《关于印发&lt;</w:t>
                  </w:r>
                  <w:r>
                    <w:rPr>
                      <w:rFonts w:hint="eastAsia"/>
                      <w:color w:val="auto"/>
                      <w:lang w:val="en-US" w:eastAsia="zh-CN"/>
                    </w:rPr>
                    <w:t>“</w:t>
                  </w:r>
                  <w:r>
                    <w:rPr>
                      <w:rFonts w:hint="default"/>
                      <w:color w:val="auto"/>
                      <w:lang w:val="en-US" w:eastAsia="zh-CN"/>
                    </w:rPr>
                    <w:t>十三五</w:t>
                  </w:r>
                  <w:r>
                    <w:rPr>
                      <w:rFonts w:hint="eastAsia"/>
                      <w:color w:val="auto"/>
                      <w:lang w:val="en-US" w:eastAsia="zh-CN"/>
                    </w:rPr>
                    <w:t>”</w:t>
                  </w:r>
                  <w:r>
                    <w:rPr>
                      <w:rFonts w:hint="default"/>
                      <w:color w:val="auto"/>
                      <w:lang w:val="en-US" w:eastAsia="zh-CN"/>
                    </w:rPr>
                    <w:t xml:space="preserve">挥发性有机物污染防治工作方案&gt;的通知》 </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color w:val="auto"/>
                      <w:lang w:val="en-US" w:eastAsia="zh-CN"/>
                    </w:rPr>
                  </w:pPr>
                  <w:r>
                    <w:rPr>
                      <w:rFonts w:hint="default"/>
                      <w:color w:val="auto"/>
                      <w:lang w:val="en-US" w:eastAsia="zh-CN"/>
                    </w:rPr>
                    <w:t xml:space="preserve">（环大气[2017]121号）相符性分析 </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color w:val="auto"/>
                      <w:lang w:val="en-US" w:eastAsia="zh-CN"/>
                    </w:rPr>
                  </w:pP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color w:val="auto"/>
                      <w:lang w:val="en-US"/>
                    </w:rPr>
                  </w:pPr>
                  <w:r>
                    <w:rPr>
                      <w:rFonts w:hint="default"/>
                      <w:color w:val="auto"/>
                      <w:lang w:val="en-US" w:eastAsia="zh-CN"/>
                    </w:rPr>
                    <w:t>严格建设项目环境准入。提高 VOCs 排放重点行业环保准入门槛，严格控制新增污染物排放量。重点地区要严格限制石化、化工、包装印刷、工业涂装等高 VOCs 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 VOCs 排放项目，应从源头加强控制，使用低（无）VOCs含量的原辅材料，加强废气收集， 安装高效治理设施</w:t>
                  </w:r>
                  <w:r>
                    <w:rPr>
                      <w:rFonts w:hint="eastAsia"/>
                      <w:color w:val="auto"/>
                      <w:lang w:val="en-US" w:eastAsia="zh-CN"/>
                    </w:rPr>
                    <w:t>。</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US" w:eastAsia="zh-CN"/>
                    </w:rPr>
                  </w:pPr>
                  <w:r>
                    <w:rPr>
                      <w:rFonts w:hint="eastAsia" w:cs="Times New Roman"/>
                      <w:color w:val="auto"/>
                      <w:sz w:val="21"/>
                      <w:szCs w:val="21"/>
                      <w:lang w:val="en-US" w:eastAsia="zh-CN"/>
                    </w:rPr>
                    <w:t>（1）项目位于</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厂区内，</w:t>
                  </w:r>
                  <w:r>
                    <w:rPr>
                      <w:rFonts w:hint="eastAsia" w:cs="Times New Roman"/>
                      <w:color w:val="auto"/>
                      <w:sz w:val="21"/>
                      <w:szCs w:val="21"/>
                      <w:lang w:val="en-US" w:eastAsia="zh-CN"/>
                    </w:rPr>
                    <w:t>位于</w:t>
                  </w:r>
                  <w:r>
                    <w:rPr>
                      <w:rFonts w:hint="default" w:ascii="Times New Roman" w:hAnsi="Times New Roman" w:eastAsia="宋体" w:cs="Times New Roman"/>
                      <w:color w:val="auto"/>
                      <w:sz w:val="21"/>
                      <w:szCs w:val="21"/>
                      <w:vertAlign w:val="baseline"/>
                      <w:lang w:val="en-US" w:eastAsia="zh-CN"/>
                    </w:rPr>
                    <w:t>渭南高新区技术产业开发试验区</w:t>
                  </w:r>
                  <w:r>
                    <w:rPr>
                      <w:rFonts w:hint="eastAsia" w:cs="Times New Roman"/>
                      <w:color w:val="auto"/>
                      <w:sz w:val="21"/>
                      <w:szCs w:val="21"/>
                      <w:vertAlign w:val="baseline"/>
                      <w:lang w:val="en-US" w:eastAsia="zh-CN"/>
                    </w:rPr>
                    <w:t>，符合园区规划；（2）</w:t>
                  </w:r>
                  <w:r>
                    <w:rPr>
                      <w:rFonts w:hint="default"/>
                      <w:color w:val="auto"/>
                      <w:lang w:val="en-US" w:eastAsia="zh-CN"/>
                    </w:rPr>
                    <w:t>本项目属于危险废物收集、暂存项目，非传统的生产型企业，不使用含VOCs的原辅材料，危险废物临时贮存过程中产生的有机废气经</w:t>
                  </w:r>
                  <w:r>
                    <w:rPr>
                      <w:rFonts w:hint="eastAsia"/>
                      <w:color w:val="auto"/>
                      <w:lang w:val="en-US" w:eastAsia="zh-CN"/>
                    </w:rPr>
                    <w:t>集气罩收集+活性炭吸附+17m排气筒排放，经</w:t>
                  </w:r>
                  <w:r>
                    <w:rPr>
                      <w:rFonts w:hint="default"/>
                      <w:color w:val="auto"/>
                      <w:lang w:val="en-US" w:eastAsia="zh-CN"/>
                    </w:rPr>
                    <w:t>收集和处理后，污染物排放不会对周边环境及居民造成明显的影响。</w:t>
                  </w:r>
                  <w:r>
                    <w:rPr>
                      <w:rFonts w:hint="eastAsia" w:ascii="Times New Roman" w:hAnsi="Times New Roman" w:cs="Times New Roman"/>
                      <w:color w:val="auto"/>
                      <w:sz w:val="21"/>
                      <w:szCs w:val="21"/>
                      <w:lang w:val="en-US" w:eastAsia="zh-CN"/>
                    </w:rPr>
                    <w:t xml:space="preserve"> </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auto"/>
                      <w:lang w:val="en" w:eastAsia="zh-CN"/>
                    </w:rPr>
                  </w:pPr>
                  <w:r>
                    <w:rPr>
                      <w:rFonts w:hint="eastAsia"/>
                      <w:color w:val="auto"/>
                      <w:lang w:val="en" w:eastAsia="zh-CN"/>
                    </w:rPr>
                    <w:t>陕西省人民政府办公厅关于印发蓝天碧水净土保卫战2022 年工作方案的通知（陕政</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auto"/>
                      <w:lang w:val="en" w:eastAsia="zh-CN"/>
                    </w:rPr>
                  </w:pPr>
                  <w:r>
                    <w:rPr>
                      <w:rFonts w:hint="eastAsia"/>
                      <w:color w:val="auto"/>
                      <w:lang w:val="en" w:eastAsia="zh-CN"/>
                    </w:rPr>
                    <w:t>办发〔2022〕8号）</w:t>
                  </w:r>
                </w:p>
              </w:tc>
              <w:tc>
                <w:tcPr>
                  <w:tcW w:w="1794" w:type="pct"/>
                  <w:tcBorders>
                    <w:tl2br w:val="nil"/>
                    <w:tr2bl w:val="nil"/>
                  </w:tcBorders>
                  <w:vAlign w:val="center"/>
                </w:tcPr>
                <w:p>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加快推进石化、现代煤化工、焦化、农药、制药、工业涂装、包装印刷、油品储运销等重点行业挥发性有机物深度治理，推进涉挥发性有机物产业聚集区整治提升，加强夏季臭氧污染区域联防联控。</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cs="Times New Roman" w:eastAsiaTheme="minorEastAsia"/>
                      <w:color w:val="auto"/>
                      <w:kern w:val="0"/>
                      <w:sz w:val="21"/>
                      <w:szCs w:val="21"/>
                      <w:lang w:val="en-US" w:eastAsia="zh-CN"/>
                    </w:rPr>
                  </w:pPr>
                  <w:r>
                    <w:rPr>
                      <w:rFonts w:hint="default" w:ascii="Times New Roman" w:hAnsi="Times New Roman" w:eastAsia="宋体" w:cs="Times New Roman"/>
                      <w:spacing w:val="2"/>
                      <w:sz w:val="21"/>
                      <w:szCs w:val="21"/>
                    </w:rPr>
                    <w:t>本项目涉</w:t>
                  </w:r>
                  <w:r>
                    <w:rPr>
                      <w:rFonts w:hint="default" w:ascii="Times New Roman" w:hAnsi="Times New Roman" w:eastAsia="Times New Roman" w:cs="Times New Roman"/>
                      <w:sz w:val="21"/>
                      <w:szCs w:val="21"/>
                    </w:rPr>
                    <w:t>VOCs</w:t>
                  </w:r>
                  <w:r>
                    <w:rPr>
                      <w:rFonts w:hint="default" w:ascii="Times New Roman" w:hAnsi="Times New Roman" w:eastAsia="宋体" w:cs="Times New Roman"/>
                      <w:spacing w:val="7"/>
                      <w:sz w:val="21"/>
                      <w:szCs w:val="21"/>
                    </w:rPr>
                    <w:t>的</w:t>
                  </w:r>
                  <w:r>
                    <w:rPr>
                      <w:rFonts w:hint="default" w:ascii="Times New Roman" w:hAnsi="Times New Roman" w:eastAsia="宋体" w:cs="Times New Roman"/>
                      <w:spacing w:val="6"/>
                      <w:sz w:val="21"/>
                      <w:szCs w:val="21"/>
                    </w:rPr>
                    <w:t>危险废物为废</w:t>
                  </w:r>
                  <w:r>
                    <w:rPr>
                      <w:rFonts w:hint="default" w:ascii="Times New Roman" w:hAnsi="Times New Roman" w:eastAsia="宋体" w:cs="Times New Roman"/>
                      <w:spacing w:val="-4"/>
                      <w:sz w:val="21"/>
                      <w:szCs w:val="21"/>
                    </w:rPr>
                    <w:t>矿</w:t>
                  </w:r>
                  <w:r>
                    <w:rPr>
                      <w:rFonts w:hint="default" w:ascii="Times New Roman" w:hAnsi="Times New Roman" w:eastAsia="宋体" w:cs="Times New Roman"/>
                      <w:spacing w:val="-3"/>
                      <w:sz w:val="21"/>
                      <w:szCs w:val="21"/>
                    </w:rPr>
                    <w:t>物</w:t>
                  </w:r>
                  <w:r>
                    <w:rPr>
                      <w:rFonts w:hint="default" w:ascii="Times New Roman" w:hAnsi="Times New Roman" w:eastAsia="宋体" w:cs="Times New Roman"/>
                      <w:spacing w:val="-2"/>
                      <w:sz w:val="21"/>
                      <w:szCs w:val="21"/>
                    </w:rPr>
                    <w:t>油</w:t>
                  </w:r>
                  <w:r>
                    <w:rPr>
                      <w:rFonts w:hint="default" w:ascii="Times New Roman" w:hAnsi="Times New Roman" w:eastAsia="宋体" w:cs="Times New Roman"/>
                      <w:spacing w:val="-2"/>
                      <w:sz w:val="21"/>
                      <w:szCs w:val="21"/>
                      <w:lang w:eastAsia="zh-CN"/>
                    </w:rPr>
                    <w:t>和废有机溶剂等</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default" w:ascii="Times New Roman" w:hAnsi="Times New Roman" w:eastAsia="宋体" w:cs="Times New Roman"/>
                      <w:color w:val="auto"/>
                      <w:spacing w:val="-2"/>
                      <w:sz w:val="21"/>
                      <w:szCs w:val="21"/>
                      <w:lang w:val="en-US" w:eastAsia="zh-CN"/>
                    </w:rPr>
                    <w:t>（</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w:t>
                  </w:r>
                  <w:r>
                    <w:rPr>
                      <w:rFonts w:hint="default" w:ascii="Times New Roman" w:hAnsi="Times New Roman" w:eastAsia="宋体" w:cs="Times New Roman"/>
                      <w:spacing w:val="-2"/>
                      <w:sz w:val="21"/>
                      <w:szCs w:val="21"/>
                      <w:lang w:val="en-US" w:eastAsia="zh-CN"/>
                    </w:rPr>
                    <w:t>+经活性炭吸附装置处理，由17m高排气筒排放</w:t>
                  </w:r>
                  <w:r>
                    <w:rPr>
                      <w:rFonts w:hint="default" w:ascii="Times New Roman" w:hAnsi="Times New Roman" w:cs="Times New Roman"/>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eastAsia" w:cs="Times New Roman" w:eastAsiaTheme="minorEastAsia"/>
                      <w:color w:val="auto"/>
                      <w:kern w:val="0"/>
                      <w:sz w:val="21"/>
                      <w:szCs w:val="21"/>
                      <w:lang w:val="en-US" w:eastAsia="zh-CN"/>
                    </w:rPr>
                    <w:t>。</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color w:val="auto"/>
                      <w:lang w:val="en-US" w:eastAsia="zh-CN"/>
                    </w:rPr>
                  </w:pPr>
                  <w:r>
                    <w:rPr>
                      <w:rFonts w:hint="eastAsia"/>
                      <w:color w:val="auto"/>
                      <w:lang w:val="en-US" w:eastAsia="zh-CN"/>
                    </w:rPr>
                    <w:t>《西安市蓝天保卫战2022年工作方案》（市政办发</w:t>
                  </w:r>
                  <w:r>
                    <w:rPr>
                      <w:rFonts w:hint="eastAsia"/>
                      <w:color w:val="auto"/>
                      <w:lang w:val="en" w:eastAsia="zh-CN"/>
                    </w:rPr>
                    <w:t>〔</w:t>
                  </w:r>
                  <w:r>
                    <w:rPr>
                      <w:rFonts w:hint="eastAsia"/>
                      <w:color w:val="auto"/>
                      <w:lang w:val="en-US" w:eastAsia="zh-CN"/>
                    </w:rPr>
                    <w:t>2022</w:t>
                  </w:r>
                  <w:r>
                    <w:rPr>
                      <w:rFonts w:hint="eastAsia"/>
                      <w:color w:val="auto"/>
                      <w:lang w:val="en" w:eastAsia="zh-CN"/>
                    </w:rPr>
                    <w:t>〕</w:t>
                  </w:r>
                  <w:r>
                    <w:rPr>
                      <w:rFonts w:hint="eastAsia"/>
                      <w:color w:val="auto"/>
                      <w:lang w:val="en-US" w:eastAsia="zh-CN"/>
                    </w:rPr>
                    <w:t>18</w:t>
                  </w:r>
                  <w:r>
                    <w:rPr>
                      <w:rFonts w:hint="eastAsia"/>
                      <w:color w:val="auto"/>
                      <w:lang w:val="en" w:eastAsia="zh-CN"/>
                    </w:rPr>
                    <w:t>号）</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强化VOCs无组织排放整治。全面排查含VOCs物料储存、转移和输送、设备与管线组件、敞开液面以及工艺过程等环节无组织排放情况，对达不到相关标准要求的开展整治</w:t>
                  </w:r>
                  <w:r>
                    <w:rPr>
                      <w:rFonts w:hint="eastAsia" w:cs="Times New Roman"/>
                      <w:color w:val="auto"/>
                      <w:kern w:val="2"/>
                      <w:sz w:val="21"/>
                      <w:szCs w:val="24"/>
                      <w:lang w:val="en" w:eastAsia="zh-CN" w:bidi="ar-SA"/>
                    </w:rPr>
                    <w:t>。</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spacing w:val="2"/>
                      <w:sz w:val="21"/>
                      <w:szCs w:val="21"/>
                    </w:rPr>
                    <w:t>本项目涉</w:t>
                  </w:r>
                  <w:r>
                    <w:rPr>
                      <w:rFonts w:hint="default" w:ascii="Times New Roman" w:hAnsi="Times New Roman" w:eastAsia="Times New Roman" w:cs="Times New Roman"/>
                      <w:sz w:val="21"/>
                      <w:szCs w:val="21"/>
                    </w:rPr>
                    <w:t>VOCs</w:t>
                  </w:r>
                  <w:r>
                    <w:rPr>
                      <w:rFonts w:hint="default" w:ascii="Times New Roman" w:hAnsi="Times New Roman" w:eastAsia="宋体" w:cs="Times New Roman"/>
                      <w:spacing w:val="7"/>
                      <w:sz w:val="21"/>
                      <w:szCs w:val="21"/>
                    </w:rPr>
                    <w:t>的</w:t>
                  </w:r>
                  <w:r>
                    <w:rPr>
                      <w:rFonts w:hint="default" w:ascii="Times New Roman" w:hAnsi="Times New Roman" w:eastAsia="宋体" w:cs="Times New Roman"/>
                      <w:spacing w:val="6"/>
                      <w:sz w:val="21"/>
                      <w:szCs w:val="21"/>
                    </w:rPr>
                    <w:t>危险废物为废</w:t>
                  </w:r>
                  <w:r>
                    <w:rPr>
                      <w:rFonts w:hint="default" w:ascii="Times New Roman" w:hAnsi="Times New Roman" w:eastAsia="宋体" w:cs="Times New Roman"/>
                      <w:spacing w:val="-4"/>
                      <w:sz w:val="21"/>
                      <w:szCs w:val="21"/>
                    </w:rPr>
                    <w:t>矿</w:t>
                  </w:r>
                  <w:r>
                    <w:rPr>
                      <w:rFonts w:hint="default" w:ascii="Times New Roman" w:hAnsi="Times New Roman" w:eastAsia="宋体" w:cs="Times New Roman"/>
                      <w:spacing w:val="-3"/>
                      <w:sz w:val="21"/>
                      <w:szCs w:val="21"/>
                    </w:rPr>
                    <w:t>物</w:t>
                  </w:r>
                  <w:r>
                    <w:rPr>
                      <w:rFonts w:hint="default" w:ascii="Times New Roman" w:hAnsi="Times New Roman" w:eastAsia="宋体" w:cs="Times New Roman"/>
                      <w:spacing w:val="-2"/>
                      <w:sz w:val="21"/>
                      <w:szCs w:val="21"/>
                    </w:rPr>
                    <w:t>油</w:t>
                  </w:r>
                  <w:r>
                    <w:rPr>
                      <w:rFonts w:hint="default" w:ascii="Times New Roman" w:hAnsi="Times New Roman" w:eastAsia="宋体" w:cs="Times New Roman"/>
                      <w:spacing w:val="-2"/>
                      <w:sz w:val="21"/>
                      <w:szCs w:val="21"/>
                      <w:lang w:eastAsia="zh-CN"/>
                    </w:rPr>
                    <w:t>和废有机溶剂等</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default" w:ascii="Times New Roman" w:hAnsi="Times New Roman" w:eastAsia="宋体" w:cs="Times New Roman"/>
                      <w:color w:val="auto"/>
                      <w:spacing w:val="-2"/>
                      <w:sz w:val="21"/>
                      <w:szCs w:val="21"/>
                      <w:lang w:val="en-US" w:eastAsia="zh-CN"/>
                    </w:rPr>
                    <w:t>（</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w:t>
                  </w:r>
                  <w:r>
                    <w:rPr>
                      <w:rFonts w:hint="default" w:ascii="Times New Roman" w:hAnsi="Times New Roman" w:eastAsia="宋体" w:cs="Times New Roman"/>
                      <w:spacing w:val="-2"/>
                      <w:sz w:val="21"/>
                      <w:szCs w:val="21"/>
                      <w:lang w:val="en-US" w:eastAsia="zh-CN"/>
                    </w:rPr>
                    <w:t>+经活性炭吸附装置处理，由17m高排气筒排放</w:t>
                  </w:r>
                  <w:r>
                    <w:rPr>
                      <w:rFonts w:hint="default" w:ascii="Times New Roman" w:hAnsi="Times New Roman" w:cs="Times New Roman"/>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渭南市蓝天保卫战2022年工作方案</w:t>
                  </w:r>
                  <w:r>
                    <w:rPr>
                      <w:rFonts w:hint="default" w:ascii="Times New Roman" w:hAnsi="Times New Roman" w:eastAsia="宋体" w:cs="Times New Roman"/>
                      <w:color w:val="auto"/>
                      <w:sz w:val="21"/>
                      <w:szCs w:val="21"/>
                      <w:lang w:eastAsia="zh-CN"/>
                    </w:rPr>
                    <w:t>》</w:t>
                  </w:r>
                </w:p>
              </w:tc>
              <w:tc>
                <w:tcPr>
                  <w:tcW w:w="1794" w:type="pct"/>
                  <w:tcBorders>
                    <w:tl2br w:val="nil"/>
                    <w:tr2bl w:val="nil"/>
                  </w:tcBorders>
                  <w:vAlign w:val="center"/>
                </w:tcPr>
                <w:p>
                  <w:pPr>
                    <w:pStyle w:val="64"/>
                    <w:adjustRightInd/>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四</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开展挥发性有机物排查整治专项行动</w:t>
                  </w:r>
                </w:p>
                <w:p>
                  <w:pPr>
                    <w:pStyle w:val="64"/>
                    <w:adjustRightInd/>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强化挥发性有机物无组织排放整治。以石化、化工、工业涂装、包装印刷、家具、电子制造、工程机械制造等涉挥发性有机物行业企业为重点，全面组织排查含挥发性有机物物料储存、转移和输送、设备与管线组件、敞开液面以及工艺过程等环节无组织排放情况，对达不到相关标准要求的开展整治。</w:t>
                  </w:r>
                </w:p>
                <w:p>
                  <w:pPr>
                    <w:pStyle w:val="64"/>
                    <w:adjustRightInd/>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1"/>
                    </w:rPr>
                    <w:t>10.开展简易低效挥发性有机物治理设施清理整顿。对照渭南市挥发性有机物排查整治清单，全面梳理挥发性有机物治理设施台账，对采用单一低温等离子、光氧化、光催化以及非水溶性挥发性有机物废气采用单一喷淋吸收等治理技术且无法稳定达标的，加快推进升级改造，严把工程质量，确保稳定达标排放。</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spacing w:val="2"/>
                      <w:sz w:val="21"/>
                      <w:szCs w:val="21"/>
                    </w:rPr>
                    <w:t>本项目涉</w:t>
                  </w:r>
                  <w:r>
                    <w:rPr>
                      <w:rFonts w:hint="default" w:ascii="Times New Roman" w:hAnsi="Times New Roman" w:eastAsia="Times New Roman" w:cs="Times New Roman"/>
                      <w:sz w:val="21"/>
                      <w:szCs w:val="21"/>
                    </w:rPr>
                    <w:t>VOCs</w:t>
                  </w:r>
                  <w:r>
                    <w:rPr>
                      <w:rFonts w:hint="default" w:ascii="Times New Roman" w:hAnsi="Times New Roman" w:eastAsia="宋体" w:cs="Times New Roman"/>
                      <w:spacing w:val="7"/>
                      <w:sz w:val="21"/>
                      <w:szCs w:val="21"/>
                    </w:rPr>
                    <w:t>的</w:t>
                  </w:r>
                  <w:r>
                    <w:rPr>
                      <w:rFonts w:hint="default" w:ascii="Times New Roman" w:hAnsi="Times New Roman" w:eastAsia="宋体" w:cs="Times New Roman"/>
                      <w:spacing w:val="6"/>
                      <w:sz w:val="21"/>
                      <w:szCs w:val="21"/>
                    </w:rPr>
                    <w:t>危险废物为废</w:t>
                  </w:r>
                  <w:r>
                    <w:rPr>
                      <w:rFonts w:hint="default" w:ascii="Times New Roman" w:hAnsi="Times New Roman" w:eastAsia="宋体" w:cs="Times New Roman"/>
                      <w:spacing w:val="-4"/>
                      <w:sz w:val="21"/>
                      <w:szCs w:val="21"/>
                    </w:rPr>
                    <w:t>矿</w:t>
                  </w:r>
                  <w:r>
                    <w:rPr>
                      <w:rFonts w:hint="default" w:ascii="Times New Roman" w:hAnsi="Times New Roman" w:eastAsia="宋体" w:cs="Times New Roman"/>
                      <w:spacing w:val="-3"/>
                      <w:sz w:val="21"/>
                      <w:szCs w:val="21"/>
                    </w:rPr>
                    <w:t>物</w:t>
                  </w:r>
                  <w:r>
                    <w:rPr>
                      <w:rFonts w:hint="default" w:ascii="Times New Roman" w:hAnsi="Times New Roman" w:eastAsia="宋体" w:cs="Times New Roman"/>
                      <w:spacing w:val="-2"/>
                      <w:sz w:val="21"/>
                      <w:szCs w:val="21"/>
                    </w:rPr>
                    <w:t>油</w:t>
                  </w:r>
                  <w:r>
                    <w:rPr>
                      <w:rFonts w:hint="default" w:ascii="Times New Roman" w:hAnsi="Times New Roman" w:eastAsia="宋体" w:cs="Times New Roman"/>
                      <w:spacing w:val="-2"/>
                      <w:sz w:val="21"/>
                      <w:szCs w:val="21"/>
                      <w:lang w:eastAsia="zh-CN"/>
                    </w:rPr>
                    <w:t>和废有机溶剂等</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产生的废气利用现有的废气收集和治理环保设施，即经集气罩收集（危废暂存间封闭管理）+经活性炭吸附装置处理，由17m高排气筒排放</w:t>
                  </w:r>
                  <w:r>
                    <w:rPr>
                      <w:rFonts w:hint="default" w:ascii="Times New Roman" w:hAnsi="Times New Roman" w:cs="Times New Roman"/>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p>
              </w:tc>
              <w:tc>
                <w:tcPr>
                  <w:tcW w:w="644" w:type="pct"/>
                  <w:tcBorders>
                    <w:tl2br w:val="nil"/>
                    <w:tr2bl w:val="nil"/>
                  </w:tcBorders>
                  <w:vAlign w:val="center"/>
                </w:tcPr>
                <w:p>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eastAsia="zh-CN"/>
                    </w:rPr>
                  </w:pPr>
                </w:p>
              </w:tc>
              <w:tc>
                <w:tcPr>
                  <w:tcW w:w="1794" w:type="pct"/>
                  <w:tcBorders>
                    <w:tl2br w:val="nil"/>
                    <w:tr2bl w:val="nil"/>
                  </w:tcBorders>
                  <w:vAlign w:val="center"/>
                </w:tcPr>
                <w:p>
                  <w:pPr>
                    <w:pStyle w:val="64"/>
                    <w:adjustRightInd/>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1"/>
                    </w:rPr>
                    <w:t>37.全面落实排污许可</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一证式</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管理。全面贯彻落实《排污许可管理条例》，构建以排污许可制为核心的固定污染源监管制度体系，确保固定污染源排污许可全覆盖，对无证排污和不按证排污企业检查加大处罚力度。推进多污染物协同减排，明确减排区域、减排行业和减排可行性技术，紧抓挥发性有机物、氮氧化物重点减排工程建设，完善重点减排工程调度、通报、考核制度。</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1"/>
                      <w:lang w:val="en-US" w:eastAsia="zh-CN"/>
                    </w:rPr>
                    <w:t>本项目为危废暂存间项目，位于渭南高新区海泰新型电子材料有限责任公司现有厂区内，用于暂存渭南高新区海泰新型电子材料有限责任公司危险废物，之后由有资质单位转运清理处置。渭南高新区海泰新型电子材料有限责任公司</w:t>
                  </w:r>
                  <w:r>
                    <w:rPr>
                      <w:rFonts w:hint="eastAsia" w:ascii="Times New Roman" w:hAnsi="Times New Roman" w:eastAsia="宋体" w:cs="Times New Roman"/>
                      <w:color w:val="auto"/>
                      <w:kern w:val="2"/>
                      <w:sz w:val="21"/>
                      <w:szCs w:val="21"/>
                      <w:lang w:val="en-US" w:eastAsia="zh-CN"/>
                    </w:rPr>
                    <w:t>有合法的排污许可证，</w:t>
                  </w:r>
                  <w:r>
                    <w:rPr>
                      <w:rFonts w:hint="default" w:ascii="Times New Roman" w:hAnsi="Times New Roman" w:eastAsia="宋体" w:cs="Times New Roman"/>
                      <w:color w:val="auto"/>
                      <w:kern w:val="2"/>
                      <w:sz w:val="21"/>
                      <w:szCs w:val="21"/>
                      <w:lang w:val="en-US" w:eastAsia="zh-CN"/>
                    </w:rPr>
                    <w:t>本项目建成后，按要求</w:t>
                  </w:r>
                  <w:r>
                    <w:rPr>
                      <w:rFonts w:hint="eastAsia" w:ascii="Times New Roman" w:hAnsi="Times New Roman" w:eastAsia="宋体" w:cs="Times New Roman"/>
                      <w:color w:val="auto"/>
                      <w:kern w:val="2"/>
                      <w:sz w:val="21"/>
                      <w:szCs w:val="21"/>
                      <w:lang w:val="en-US" w:eastAsia="zh-CN"/>
                    </w:rPr>
                    <w:t>完善申请</w:t>
                  </w:r>
                  <w:r>
                    <w:rPr>
                      <w:rFonts w:hint="default" w:ascii="Times New Roman" w:hAnsi="Times New Roman" w:eastAsia="宋体" w:cs="Times New Roman"/>
                      <w:color w:val="auto"/>
                      <w:kern w:val="2"/>
                      <w:sz w:val="21"/>
                      <w:szCs w:val="21"/>
                      <w:lang w:val="en-US" w:eastAsia="zh-CN"/>
                    </w:rPr>
                    <w:t>排污许可。</w:t>
                  </w:r>
                </w:p>
              </w:tc>
              <w:tc>
                <w:tcPr>
                  <w:tcW w:w="644" w:type="pct"/>
                  <w:tcBorders>
                    <w:tl2br w:val="nil"/>
                    <w:tr2bl w:val="nil"/>
                  </w:tcBorders>
                  <w:vAlign w:val="center"/>
                </w:tcPr>
                <w:p>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eastAsia="zh-CN"/>
                    </w:rPr>
                  </w:pPr>
                </w:p>
              </w:tc>
              <w:tc>
                <w:tcPr>
                  <w:tcW w:w="1794" w:type="pct"/>
                  <w:tcBorders>
                    <w:tl2br w:val="nil"/>
                    <w:tr2bl w:val="nil"/>
                  </w:tcBorders>
                  <w:vAlign w:val="center"/>
                </w:tcPr>
                <w:p>
                  <w:pPr>
                    <w:pStyle w:val="64"/>
                    <w:adjustRightInd/>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四</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开展挥发性有机物排查整治专项行动</w:t>
                  </w:r>
                </w:p>
                <w:p>
                  <w:pPr>
                    <w:pStyle w:val="64"/>
                    <w:adjustRightInd/>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强化挥发性有机物无组织排放整治。以石化、化工、工业涂装、包装印刷、家具、电子制造、工程机械制造等涉挥发性有机物行业企业为重点，全面组织排查含挥发性有机物物料储存、转移和输送、设备与管线组件、敞开液面以及工艺过程等环节无组织排放情况，对达不到相关标准要求的开展整治。</w:t>
                  </w:r>
                </w:p>
                <w:p>
                  <w:pPr>
                    <w:pStyle w:val="64"/>
                    <w:adjustRightInd/>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1"/>
                    </w:rPr>
                    <w:t>10.开展简易低效挥发性有机物治理设施清理整顿。对照渭南市挥发性有机物排查整治清单，全面梳理挥发性有机物治理设施台账，对采用单一低温等离子、光氧化、光催化以及非水溶性挥发性有机物废气采用单一喷淋吸收等治理技术且无法稳定达标的，加快推进升级改造，严把工程质量，确保稳定达标排放。</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spacing w:val="2"/>
                      <w:sz w:val="21"/>
                      <w:szCs w:val="21"/>
                    </w:rPr>
                    <w:t>本项目涉</w:t>
                  </w:r>
                  <w:r>
                    <w:rPr>
                      <w:rFonts w:hint="default" w:ascii="Times New Roman" w:hAnsi="Times New Roman" w:eastAsia="Times New Roman" w:cs="Times New Roman"/>
                      <w:sz w:val="21"/>
                      <w:szCs w:val="21"/>
                    </w:rPr>
                    <w:t>VOCs</w:t>
                  </w:r>
                  <w:r>
                    <w:rPr>
                      <w:rFonts w:hint="default" w:ascii="Times New Roman" w:hAnsi="Times New Roman" w:eastAsia="宋体" w:cs="Times New Roman"/>
                      <w:spacing w:val="7"/>
                      <w:sz w:val="21"/>
                      <w:szCs w:val="21"/>
                    </w:rPr>
                    <w:t>的</w:t>
                  </w:r>
                  <w:r>
                    <w:rPr>
                      <w:rFonts w:hint="default" w:ascii="Times New Roman" w:hAnsi="Times New Roman" w:eastAsia="宋体" w:cs="Times New Roman"/>
                      <w:spacing w:val="6"/>
                      <w:sz w:val="21"/>
                      <w:szCs w:val="21"/>
                    </w:rPr>
                    <w:t>危险废物为废</w:t>
                  </w:r>
                  <w:r>
                    <w:rPr>
                      <w:rFonts w:hint="default" w:ascii="Times New Roman" w:hAnsi="Times New Roman" w:eastAsia="宋体" w:cs="Times New Roman"/>
                      <w:spacing w:val="-4"/>
                      <w:sz w:val="21"/>
                      <w:szCs w:val="21"/>
                    </w:rPr>
                    <w:t>矿</w:t>
                  </w:r>
                  <w:r>
                    <w:rPr>
                      <w:rFonts w:hint="default" w:ascii="Times New Roman" w:hAnsi="Times New Roman" w:eastAsia="宋体" w:cs="Times New Roman"/>
                      <w:spacing w:val="-3"/>
                      <w:sz w:val="21"/>
                      <w:szCs w:val="21"/>
                    </w:rPr>
                    <w:t>物</w:t>
                  </w:r>
                  <w:r>
                    <w:rPr>
                      <w:rFonts w:hint="default" w:ascii="Times New Roman" w:hAnsi="Times New Roman" w:eastAsia="宋体" w:cs="Times New Roman"/>
                      <w:spacing w:val="-2"/>
                      <w:sz w:val="21"/>
                      <w:szCs w:val="21"/>
                    </w:rPr>
                    <w:t>油</w:t>
                  </w:r>
                  <w:r>
                    <w:rPr>
                      <w:rFonts w:hint="default" w:ascii="Times New Roman" w:hAnsi="Times New Roman" w:eastAsia="宋体" w:cs="Times New Roman"/>
                      <w:spacing w:val="-2"/>
                      <w:sz w:val="21"/>
                      <w:szCs w:val="21"/>
                      <w:lang w:eastAsia="zh-CN"/>
                    </w:rPr>
                    <w:t>和废有机溶剂等</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产生的废气利用现有的废气收集和治理环保设施，即经集气罩收集（危废暂存间封闭管理）+经活性炭吸附装置处理，由17m高排气筒排放</w:t>
                  </w:r>
                  <w:r>
                    <w:rPr>
                      <w:rFonts w:hint="default" w:ascii="Times New Roman" w:hAnsi="Times New Roman" w:cs="Times New Roman"/>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p>
              </w:tc>
              <w:tc>
                <w:tcPr>
                  <w:tcW w:w="644" w:type="pct"/>
                  <w:tcBorders>
                    <w:tl2br w:val="nil"/>
                    <w:tr2bl w:val="nil"/>
                  </w:tcBorders>
                  <w:vAlign w:val="center"/>
                </w:tcPr>
                <w:p>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US" w:eastAsia="zh-CN"/>
                    </w:rPr>
                  </w:pPr>
                  <w:r>
                    <w:rPr>
                      <w:rFonts w:hint="eastAsia"/>
                      <w:color w:val="auto"/>
                      <w:lang w:val="en" w:eastAsia="zh-CN"/>
                    </w:rPr>
                    <w:t>《</w:t>
                  </w:r>
                  <w:r>
                    <w:rPr>
                      <w:rFonts w:hint="eastAsia"/>
                      <w:color w:val="auto"/>
                      <w:lang w:val="en-US" w:eastAsia="zh-CN"/>
                    </w:rPr>
                    <w:t>陕西省“十四五”生态环境保护规划》</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lang w:val="en"/>
                    </w:rPr>
                  </w:pPr>
                  <w:r>
                    <w:rPr>
                      <w:rFonts w:hint="default" w:ascii="Times New Roman" w:hAnsi="Times New Roman" w:eastAsia="宋体" w:cs="Times New Roman"/>
                      <w:color w:val="auto"/>
                      <w:kern w:val="2"/>
                      <w:sz w:val="21"/>
                      <w:szCs w:val="24"/>
                      <w:lang w:val="en" w:eastAsia="zh-CN" w:bidi="ar-SA"/>
                    </w:rPr>
                    <w:t>坚持贯彻新发展理念，把握减污降碳和高质量发展两个关键；抓牢秦岭保护国之大者、黄河流域生态保护国家战略、深入打好污染防治攻坚战三项重点；强化监测、执法、信息、科研四方面能力现代化建设，促进形成党委领导、政府主导、企业主体、社会组织和公众共同参与五元共治的大环保格局。</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US" w:eastAsia="zh-CN"/>
                    </w:rPr>
                  </w:pPr>
                  <w:r>
                    <w:rPr>
                      <w:rFonts w:hint="default" w:ascii="Times New Roman" w:hAnsi="Times New Roman" w:cs="Times New Roman" w:eastAsiaTheme="minorEastAsia"/>
                      <w:color w:val="auto"/>
                      <w:sz w:val="21"/>
                      <w:szCs w:val="21"/>
                    </w:rPr>
                    <w:t>本项目为</w:t>
                  </w:r>
                  <w:r>
                    <w:rPr>
                      <w:rFonts w:hint="eastAsia" w:cs="Times New Roman" w:eastAsiaTheme="minorEastAsia"/>
                      <w:color w:val="auto"/>
                      <w:sz w:val="21"/>
                      <w:szCs w:val="21"/>
                      <w:lang w:val="en-US" w:eastAsia="zh-CN"/>
                    </w:rPr>
                    <w:t>其他</w:t>
                  </w:r>
                  <w:r>
                    <w:rPr>
                      <w:rFonts w:hint="eastAsia" w:cs="Times New Roman" w:eastAsiaTheme="minorEastAsia"/>
                      <w:color w:val="auto"/>
                      <w:kern w:val="21"/>
                      <w:sz w:val="21"/>
                      <w:szCs w:val="21"/>
                      <w:lang w:val="en-US" w:eastAsia="zh-CN"/>
                    </w:rPr>
                    <w:t>危险品仓储</w:t>
                  </w:r>
                  <w:r>
                    <w:rPr>
                      <w:rFonts w:hint="default" w:ascii="Times New Roman" w:hAnsi="Times New Roman" w:cs="Times New Roman" w:eastAsiaTheme="minorEastAsia"/>
                      <w:color w:val="auto"/>
                      <w:kern w:val="21"/>
                      <w:sz w:val="21"/>
                      <w:szCs w:val="21"/>
                    </w:rPr>
                    <w:t>业</w:t>
                  </w:r>
                  <w:r>
                    <w:rPr>
                      <w:rFonts w:hint="eastAsia"/>
                      <w:color w:val="auto"/>
                      <w:lang w:val="en-US" w:eastAsia="zh-CN"/>
                    </w:rPr>
                    <w:t>，运营期产生的各项污染物经治理后可达标排放。</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left"/>
                    <w:rPr>
                      <w:rFonts w:hint="eastAsia"/>
                      <w:color w:val="auto"/>
                      <w:lang w:val="en" w:eastAsia="zh-CN"/>
                    </w:rPr>
                  </w:pPr>
                  <w:r>
                    <w:rPr>
                      <w:rFonts w:hint="eastAsia"/>
                      <w:color w:val="auto"/>
                      <w:lang w:val="en" w:eastAsia="zh-CN"/>
                    </w:rPr>
                    <w:t>《渭南市“十四五”生态环境保护规划》</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强化扬尘管控。落实属地管理、分级负责，严控 施工工地扬尘，构建过程全覆盖、管理全方位、 责任全链条的</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防治体系。控制道路扬</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尘，严格渣 土、工</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程车辆规范化管理，分</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阶段整修未硬化及破损路面，提高道路机械化清扫率。严管物料堆场扬尘。</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 xml:space="preserve">施工期严 格按照规 </w:t>
                  </w:r>
                </w:p>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定，落实工 地</w:t>
                  </w:r>
                  <w:r>
                    <w:rPr>
                      <w:rFonts w:hint="eastAsia"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六个百分之百</w:t>
                  </w:r>
                  <w:r>
                    <w:rPr>
                      <w:rFonts w:hint="eastAsia"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w:t>
                  </w:r>
                </w:p>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eastAsiaTheme="minorEastAsia"/>
                      <w:color w:val="auto"/>
                      <w:sz w:val="21"/>
                      <w:szCs w:val="21"/>
                    </w:rPr>
                  </w:pP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942"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《陕西省固体废物污染防治专项整 </w:t>
                  </w:r>
                </w:p>
                <w:p>
                  <w:pPr>
                    <w:keepNext w:val="0"/>
                    <w:keepLines w:val="0"/>
                    <w:pageBreakBefore w:val="0"/>
                    <w:kinsoku/>
                    <w:wordWrap/>
                    <w:overflowPunct/>
                    <w:topLinePunct w:val="0"/>
                    <w:autoSpaceDE/>
                    <w:autoSpaceDN/>
                    <w:bidi w:val="0"/>
                    <w:spacing w:line="280" w:lineRule="exact"/>
                    <w:jc w:val="both"/>
                    <w:rPr>
                      <w:rFonts w:hint="default" w:ascii="Times New Roman" w:hAnsi="Times New Roman" w:cs="Times New Roman"/>
                      <w:color w:val="auto"/>
                      <w:lang w:val="en" w:eastAsia="zh-CN"/>
                    </w:rPr>
                  </w:pPr>
                  <w:r>
                    <w:rPr>
                      <w:rFonts w:hint="eastAsia" w:ascii="Times New Roman" w:hAnsi="Times New Roman" w:cs="Times New Roman"/>
                      <w:color w:val="auto"/>
                      <w:lang w:val="en-US" w:eastAsia="zh-CN"/>
                    </w:rPr>
                    <w:t>治行动方案》 （陕环发［</w:t>
                  </w:r>
                  <w:r>
                    <w:rPr>
                      <w:rFonts w:hint="default" w:ascii="Times New Roman" w:hAnsi="Times New Roman" w:cs="Times New Roman"/>
                      <w:color w:val="auto"/>
                      <w:lang w:val="en-US" w:eastAsia="zh-CN"/>
                    </w:rPr>
                    <w:t>2018</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xml:space="preserve">29 </w:t>
                  </w:r>
                  <w:r>
                    <w:rPr>
                      <w:rFonts w:hint="eastAsia" w:ascii="Times New Roman" w:hAnsi="Times New Roman" w:cs="Times New Roman"/>
                      <w:color w:val="auto"/>
                      <w:lang w:val="en-US" w:eastAsia="zh-CN"/>
                    </w:rPr>
                    <w:t>号）</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kern w:val="2"/>
                      <w:sz w:val="21"/>
                      <w:szCs w:val="24"/>
                      <w:lang w:val="en" w:eastAsia="zh-CN" w:bidi="ar-SA"/>
                    </w:rPr>
                  </w:pPr>
                  <w:r>
                    <w:rPr>
                      <w:rFonts w:hint="eastAsia" w:ascii="Times New Roman" w:hAnsi="Times New Roman" w:eastAsia="宋体" w:cs="Times New Roman"/>
                      <w:color w:val="auto"/>
                      <w:kern w:val="2"/>
                      <w:sz w:val="21"/>
                      <w:szCs w:val="24"/>
                      <w:lang w:val="en-US" w:eastAsia="zh-CN" w:bidi="ar-SA"/>
                    </w:rPr>
                    <w:t>落实产废企业污染防治主体责任。固体废物产生企业要对固体废物处置全过程负责，细化管理台账、落实申报登记制度，如实申报固体废物利用处置最终去向。企业将自产固体废物交由第三方单位利用处置的，要依法对其设施设备、技术工艺进行核实确认，不得将固体废物交由不具备利用处置资质或者能力、存在环境违法问题的企业处理。</w:t>
                  </w:r>
                </w:p>
              </w:tc>
              <w:tc>
                <w:tcPr>
                  <w:tcW w:w="16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本项目危险废物</w:t>
                  </w:r>
                  <w:r>
                    <w:rPr>
                      <w:rFonts w:hint="eastAsia" w:cs="Times New Roman"/>
                      <w:color w:val="auto"/>
                      <w:kern w:val="2"/>
                      <w:sz w:val="21"/>
                      <w:szCs w:val="24"/>
                      <w:lang w:val="en-US" w:eastAsia="zh-CN" w:bidi="ar-SA"/>
                    </w:rPr>
                    <w:t>贮存</w:t>
                  </w:r>
                  <w:r>
                    <w:rPr>
                      <w:rFonts w:hint="eastAsia" w:ascii="Times New Roman" w:hAnsi="Times New Roman" w:eastAsia="宋体" w:cs="Times New Roman"/>
                      <w:color w:val="auto"/>
                      <w:kern w:val="2"/>
                      <w:sz w:val="21"/>
                      <w:szCs w:val="24"/>
                      <w:lang w:val="en-US" w:eastAsia="zh-CN" w:bidi="ar-SA"/>
                    </w:rPr>
                    <w:t>过程中做好台账记录，并做好危险废物转移联单，危险废物定期交由有资质的单位进行转运处置</w:t>
                  </w:r>
                  <w:r>
                    <w:rPr>
                      <w:rFonts w:hint="eastAsia" w:ascii="Times New Roman" w:hAnsi="Times New Roman" w:cs="Times New Roman"/>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restar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eastAsia" w:ascii="Times New Roman" w:hAnsi="Times New Roman" w:cs="Times New Roman"/>
                      <w:color w:val="auto"/>
                      <w:lang w:val="en-US" w:eastAsia="zh-CN"/>
                    </w:rPr>
                    <w:t>《危险废物污染防治技术政策》环发</w:t>
                  </w:r>
                  <w:r>
                    <w:rPr>
                      <w:rFonts w:hint="default" w:ascii="Times New Roman" w:hAnsi="Times New Roman" w:cs="Times New Roman"/>
                      <w:color w:val="auto"/>
                      <w:lang w:val="en-US" w:eastAsia="zh-CN"/>
                    </w:rPr>
                    <w:t>[2001]199</w:t>
                  </w:r>
                  <w:r>
                    <w:rPr>
                      <w:rFonts w:hint="eastAsia" w:ascii="Times New Roman" w:hAnsi="Times New Roman" w:cs="Times New Roman"/>
                      <w:color w:val="auto"/>
                      <w:lang w:val="en-US" w:eastAsia="zh-CN"/>
                    </w:rPr>
                    <w:t>号</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kern w:val="2"/>
                      <w:sz w:val="21"/>
                      <w:szCs w:val="24"/>
                      <w:lang w:val="en" w:eastAsia="zh-CN" w:bidi="ar-SA"/>
                    </w:rPr>
                  </w:pPr>
                  <w:r>
                    <w:rPr>
                      <w:rFonts w:hint="eastAsia" w:ascii="Times New Roman" w:hAnsi="Times New Roman" w:eastAsia="宋体" w:cs="Times New Roman"/>
                      <w:color w:val="auto"/>
                      <w:kern w:val="2"/>
                      <w:sz w:val="21"/>
                      <w:szCs w:val="24"/>
                      <w:lang w:val="en-US" w:eastAsia="zh-CN" w:bidi="ar-SA"/>
                    </w:rPr>
                    <w:t>危险废物要根据其成分，用符合国家标准的专门容器分类收集。</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eastAsia"/>
                      <w:color w:val="auto"/>
                      <w:lang w:val="en-US" w:eastAsia="zh-CN"/>
                    </w:rPr>
                    <w:t>按照《危险废物贮存污染控制标准》（GB 18597-2023）进行分类收集。</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eastAsia="宋体"/>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color w:val="auto"/>
                      <w:lang w:val="en-US" w:eastAsia="zh-CN"/>
                    </w:rPr>
                  </w:pP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kern w:val="2"/>
                      <w:sz w:val="21"/>
                      <w:szCs w:val="24"/>
                      <w:lang w:val="en" w:eastAsia="zh-CN" w:bidi="ar-SA"/>
                    </w:rPr>
                  </w:pPr>
                  <w:r>
                    <w:rPr>
                      <w:rFonts w:hint="eastAsia" w:ascii="Times New Roman" w:hAnsi="Times New Roman" w:eastAsia="宋体" w:cs="Times New Roman"/>
                      <w:color w:val="auto"/>
                      <w:kern w:val="2"/>
                      <w:sz w:val="21"/>
                      <w:szCs w:val="24"/>
                      <w:lang w:val="en-US" w:eastAsia="zh-CN" w:bidi="ar-SA"/>
                    </w:rPr>
                    <w:t>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tc>
              <w:tc>
                <w:tcPr>
                  <w:tcW w:w="16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本项目委托具有危险废物</w:t>
                  </w:r>
                  <w:r>
                    <w:rPr>
                      <w:rFonts w:hint="eastAsia" w:ascii="Times New Roman" w:hAnsi="Times New Roman" w:eastAsia="宋体" w:cs="Times New Roman"/>
                      <w:color w:val="auto"/>
                      <w:kern w:val="2"/>
                      <w:sz w:val="21"/>
                      <w:szCs w:val="24"/>
                      <w:lang w:val="en-US" w:eastAsia="zh-CN" w:bidi="ar-SA"/>
                    </w:rPr>
                    <w:t>处置</w:t>
                  </w:r>
                  <w:r>
                    <w:rPr>
                      <w:rFonts w:hint="default" w:ascii="Times New Roman" w:hAnsi="Times New Roman" w:eastAsia="宋体" w:cs="Times New Roman"/>
                      <w:color w:val="auto"/>
                      <w:kern w:val="2"/>
                      <w:sz w:val="21"/>
                      <w:szCs w:val="24"/>
                      <w:lang w:val="en" w:eastAsia="zh-CN" w:bidi="ar-SA"/>
                    </w:rPr>
                    <w:t>资质的单位</w:t>
                  </w:r>
                  <w:r>
                    <w:rPr>
                      <w:rFonts w:hint="eastAsia" w:ascii="Times New Roman" w:hAnsi="Times New Roman" w:eastAsia="宋体" w:cs="Times New Roman"/>
                      <w:color w:val="auto"/>
                      <w:kern w:val="2"/>
                      <w:sz w:val="21"/>
                      <w:szCs w:val="24"/>
                      <w:lang w:val="en-US" w:eastAsia="zh-CN" w:bidi="ar-SA"/>
                    </w:rPr>
                    <w:t>统一拉运处置，</w:t>
                  </w:r>
                  <w:r>
                    <w:rPr>
                      <w:rFonts w:hint="default" w:ascii="Times New Roman" w:hAnsi="Times New Roman" w:eastAsia="宋体" w:cs="Times New Roman"/>
                      <w:color w:val="auto"/>
                      <w:kern w:val="2"/>
                      <w:sz w:val="21"/>
                      <w:szCs w:val="24"/>
                      <w:lang w:val="en" w:eastAsia="zh-CN" w:bidi="ar-SA"/>
                    </w:rPr>
                    <w:t>转运容器按照规范在张贴危险废物标签，标明危险废物相关信息。</w:t>
                  </w: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color w:val="auto"/>
                      <w:lang w:val="en-US" w:eastAsia="zh-CN"/>
                    </w:rPr>
                  </w:pP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基础防渗层为黏土层的，其厚度应在</w:t>
                  </w:r>
                  <w:r>
                    <w:rPr>
                      <w:rFonts w:hint="default" w:ascii="Times New Roman" w:hAnsi="Times New Roman" w:eastAsia="宋体" w:cs="Times New Roman"/>
                      <w:color w:val="auto"/>
                      <w:kern w:val="2"/>
                      <w:sz w:val="21"/>
                      <w:szCs w:val="24"/>
                      <w:lang w:val="en-US" w:eastAsia="zh-CN" w:bidi="ar-SA"/>
                    </w:rPr>
                    <w:t xml:space="preserve">1m </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 xml:space="preserve">以上，渗透系数应小于 </w:t>
                  </w:r>
                  <w:r>
                    <w:rPr>
                      <w:rFonts w:hint="default" w:ascii="Times New Roman" w:hAnsi="Times New Roman" w:eastAsia="宋体" w:cs="Times New Roman"/>
                      <w:color w:val="auto"/>
                      <w:kern w:val="2"/>
                      <w:sz w:val="21"/>
                      <w:szCs w:val="24"/>
                      <w:lang w:val="en-US" w:eastAsia="zh-CN" w:bidi="ar-SA"/>
                    </w:rPr>
                    <w:t>1.0</w:t>
                  </w: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 xml:space="preserve">10 </w:t>
                  </w:r>
                  <w:r>
                    <w:rPr>
                      <w:rFonts w:hint="default" w:ascii="Times New Roman" w:hAnsi="Times New Roman" w:eastAsia="宋体" w:cs="Times New Roman"/>
                      <w:color w:val="auto"/>
                      <w:kern w:val="2"/>
                      <w:sz w:val="21"/>
                      <w:szCs w:val="24"/>
                      <w:vertAlign w:val="superscript"/>
                      <w:lang w:val="en-US" w:eastAsia="zh-CN" w:bidi="ar-SA"/>
                    </w:rPr>
                    <w:t>-7</w:t>
                  </w:r>
                  <w:r>
                    <w:rPr>
                      <w:rFonts w:hint="default" w:ascii="Times New Roman" w:hAnsi="Times New Roman" w:eastAsia="宋体" w:cs="Times New Roman"/>
                      <w:color w:val="auto"/>
                      <w:kern w:val="2"/>
                      <w:sz w:val="21"/>
                      <w:szCs w:val="24"/>
                      <w:lang w:val="en-US" w:eastAsia="zh-CN" w:bidi="ar-SA"/>
                    </w:rPr>
                    <w:t>cm/s</w:t>
                  </w:r>
                  <w:r>
                    <w:rPr>
                      <w:rFonts w:hint="eastAsia" w:ascii="Times New Roman" w:hAnsi="Times New Roman" w:eastAsia="宋体" w:cs="Times New Roman"/>
                      <w:color w:val="auto"/>
                      <w:kern w:val="2"/>
                      <w:sz w:val="21"/>
                      <w:szCs w:val="24"/>
                      <w:lang w:val="en-US" w:eastAsia="zh-CN" w:bidi="ar-SA"/>
                    </w:rPr>
                    <w:t>；基础防渗层也可用厚度在</w:t>
                  </w:r>
                  <w:r>
                    <w:rPr>
                      <w:rFonts w:hint="default" w:ascii="Times New Roman" w:hAnsi="Times New Roman" w:eastAsia="宋体" w:cs="Times New Roman"/>
                      <w:color w:val="auto"/>
                      <w:kern w:val="2"/>
                      <w:sz w:val="21"/>
                      <w:szCs w:val="24"/>
                      <w:lang w:val="en-US" w:eastAsia="zh-CN" w:bidi="ar-SA"/>
                    </w:rPr>
                    <w:t>2mm</w:t>
                  </w:r>
                  <w:r>
                    <w:rPr>
                      <w:rFonts w:hint="eastAsia" w:ascii="Times New Roman" w:hAnsi="Times New Roman" w:eastAsia="宋体" w:cs="Times New Roman"/>
                      <w:color w:val="auto"/>
                      <w:kern w:val="2"/>
                      <w:sz w:val="21"/>
                      <w:szCs w:val="24"/>
                      <w:lang w:val="en-US" w:eastAsia="zh-CN" w:bidi="ar-SA"/>
                    </w:rPr>
                    <w:t>以上的高密度聚乙烯或其他人工防渗材料组成，渗透系数应小于</w:t>
                  </w:r>
                  <w:r>
                    <w:rPr>
                      <w:rFonts w:hint="default" w:ascii="Times New Roman" w:hAnsi="Times New Roman" w:eastAsia="宋体" w:cs="Times New Roman"/>
                      <w:color w:val="auto"/>
                      <w:kern w:val="2"/>
                      <w:sz w:val="21"/>
                      <w:szCs w:val="24"/>
                      <w:lang w:val="en-US" w:eastAsia="zh-CN" w:bidi="ar-SA"/>
                    </w:rPr>
                    <w:t>1.0</w:t>
                  </w: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 xml:space="preserve">10 </w:t>
                  </w:r>
                  <w:r>
                    <w:rPr>
                      <w:rFonts w:hint="default" w:ascii="Times New Roman" w:hAnsi="Times New Roman" w:eastAsia="宋体" w:cs="Times New Roman"/>
                      <w:color w:val="auto"/>
                      <w:kern w:val="2"/>
                      <w:sz w:val="21"/>
                      <w:szCs w:val="24"/>
                      <w:vertAlign w:val="superscript"/>
                      <w:lang w:val="en-US" w:eastAsia="zh-CN" w:bidi="ar-SA"/>
                    </w:rPr>
                    <w:t>-10</w:t>
                  </w:r>
                  <w:r>
                    <w:rPr>
                      <w:rFonts w:hint="default" w:ascii="Times New Roman" w:hAnsi="Times New Roman" w:eastAsia="宋体" w:cs="Times New Roman"/>
                      <w:color w:val="auto"/>
                      <w:kern w:val="2"/>
                      <w:sz w:val="21"/>
                      <w:szCs w:val="24"/>
                      <w:lang w:val="en-US" w:eastAsia="zh-CN" w:bidi="ar-SA"/>
                    </w:rPr>
                    <w:t>cm/s</w:t>
                  </w:r>
                  <w:r>
                    <w:rPr>
                      <w:rFonts w:hint="eastAsia" w:ascii="Times New Roman" w:hAnsi="Times New Roman" w:eastAsia="宋体" w:cs="Times New Roman"/>
                      <w:color w:val="auto"/>
                      <w:kern w:val="2"/>
                      <w:sz w:val="21"/>
                      <w:szCs w:val="24"/>
                      <w:lang w:val="en-US" w:eastAsia="zh-CN" w:bidi="ar-SA"/>
                    </w:rPr>
                    <w:t>。</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eastAsia"/>
                      <w:color w:val="auto"/>
                      <w:lang w:val="en-US" w:eastAsia="zh-CN"/>
                    </w:rPr>
                    <w:t>按照《危险废物贮存污染控制标准》（GB 18597-2023）进行防渗</w:t>
                  </w:r>
                  <w:r>
                    <w:rPr>
                      <w:rFonts w:hint="eastAsia" w:ascii="Times New Roman" w:hAnsi="Times New Roman" w:cs="Times New Roman"/>
                      <w:bCs/>
                      <w:color w:val="auto"/>
                      <w:lang w:val="en-US" w:eastAsia="zh-CN"/>
                    </w:rPr>
                    <w:t>，确保渗透系数</w:t>
                  </w:r>
                  <w:r>
                    <w:rPr>
                      <w:rFonts w:hint="default" w:ascii="Times New Roman" w:hAnsi="Times New Roman" w:cs="Times New Roman"/>
                      <w:bCs/>
                      <w:color w:val="auto"/>
                      <w:lang w:val="en-US" w:eastAsia="zh-CN"/>
                    </w:rPr>
                    <w:t xml:space="preserve">≤10 </w:t>
                  </w:r>
                  <w:r>
                    <w:rPr>
                      <w:rFonts w:hint="default" w:ascii="Times New Roman" w:hAnsi="Times New Roman" w:cs="Times New Roman"/>
                      <w:bCs/>
                      <w:color w:val="auto"/>
                      <w:vertAlign w:val="superscript"/>
                      <w:lang w:val="en-US" w:eastAsia="zh-CN"/>
                    </w:rPr>
                    <w:t>-10</w:t>
                  </w:r>
                  <w:r>
                    <w:rPr>
                      <w:rFonts w:hint="default" w:ascii="Times New Roman" w:hAnsi="Times New Roman" w:cs="Times New Roman"/>
                      <w:bCs/>
                      <w:color w:val="auto"/>
                      <w:lang w:val="en-US" w:eastAsia="zh-CN"/>
                    </w:rPr>
                    <w:t>cm/s</w:t>
                  </w:r>
                  <w:r>
                    <w:rPr>
                      <w:rFonts w:hint="eastAsia" w:ascii="Times New Roman" w:hAnsi="Times New Roman" w:cs="Times New Roman"/>
                      <w:bCs/>
                      <w:color w:val="auto"/>
                      <w:lang w:val="en-US" w:eastAsia="zh-CN"/>
                    </w:rPr>
                    <w:t>。</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eastAsia="宋体"/>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color w:val="auto"/>
                      <w:lang w:val="en-US" w:eastAsia="zh-CN"/>
                    </w:rPr>
                  </w:pP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危险废物的贮存设施的选址与设计、运行与管理、安全防护、环境监测及应急措施、以及关闭的须遵循《危险废物贮存污染控制标准》的规定。</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bCs/>
                      <w:color w:val="auto"/>
                      <w:lang w:val="en" w:eastAsia="zh-CN"/>
                    </w:rPr>
                  </w:pPr>
                  <w:r>
                    <w:rPr>
                      <w:rFonts w:hint="default" w:ascii="Times New Roman" w:hAnsi="Times New Roman" w:eastAsia="宋体" w:cs="Times New Roman"/>
                      <w:bCs/>
                      <w:color w:val="auto"/>
                      <w:lang w:val="en-US" w:eastAsia="zh-CN"/>
                    </w:rPr>
                    <w:t>本项目</w:t>
                  </w:r>
                  <w:r>
                    <w:rPr>
                      <w:rFonts w:hint="eastAsia" w:ascii="Times New Roman" w:hAnsi="Times New Roman" w:eastAsia="宋体" w:cs="Times New Roman"/>
                      <w:bCs/>
                      <w:color w:val="auto"/>
                      <w:lang w:val="en-US" w:eastAsia="zh-CN"/>
                    </w:rPr>
                    <w:t>不新增占地</w:t>
                  </w:r>
                  <w:r>
                    <w:rPr>
                      <w:rFonts w:hint="eastAsia" w:cs="Times New Roman"/>
                      <w:bCs/>
                      <w:color w:val="auto"/>
                      <w:lang w:val="en-US" w:eastAsia="zh-CN"/>
                    </w:rPr>
                    <w:t>；危废暂存间的</w:t>
                  </w:r>
                  <w:r>
                    <w:rPr>
                      <w:rFonts w:hint="eastAsia" w:ascii="Times New Roman" w:hAnsi="Times New Roman" w:eastAsia="宋体" w:cs="Times New Roman"/>
                      <w:bCs/>
                      <w:color w:val="auto"/>
                      <w:lang w:val="en-US" w:eastAsia="zh-CN"/>
                    </w:rPr>
                    <w:t>运行与管理、安全防护均符合《危险废物贮存污染控制标准》的规定。</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restar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default" w:eastAsia="宋体"/>
                      <w:color w:val="auto"/>
                      <w:lang w:val="en"/>
                    </w:rPr>
                    <w:t>《挥发性有机物（VOCs）污染防治技术政策》</w:t>
                  </w:r>
                  <w:r>
                    <w:rPr>
                      <w:rFonts w:hint="default" w:ascii="Times New Roman" w:hAnsi="Times New Roman" w:eastAsia="宋体" w:cs="Times New Roman"/>
                      <w:color w:val="auto"/>
                      <w:sz w:val="21"/>
                      <w:szCs w:val="21"/>
                    </w:rPr>
                    <w:t>公告 2013年第31号</w:t>
                  </w:r>
                </w:p>
              </w:tc>
              <w:tc>
                <w:tcPr>
                  <w:tcW w:w="179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default" w:eastAsia="宋体"/>
                      <w:color w:val="auto"/>
                      <w:lang w:val="e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eastAsia="宋体"/>
                      <w:color w:val="auto"/>
                      <w:lang w:val="en" w:eastAsia="zh-CN"/>
                    </w:rPr>
                  </w:pPr>
                  <w:r>
                    <w:rPr>
                      <w:rFonts w:hint="default" w:ascii="Times New Roman" w:hAnsi="Times New Roman" w:eastAsia="宋体" w:cs="Times New Roman"/>
                      <w:spacing w:val="2"/>
                      <w:sz w:val="21"/>
                      <w:szCs w:val="21"/>
                    </w:rPr>
                    <w:t>本项目涉</w:t>
                  </w:r>
                  <w:r>
                    <w:rPr>
                      <w:rFonts w:hint="default" w:ascii="Times New Roman" w:hAnsi="Times New Roman" w:eastAsia="Times New Roman" w:cs="Times New Roman"/>
                      <w:sz w:val="21"/>
                      <w:szCs w:val="21"/>
                    </w:rPr>
                    <w:t>VOCs</w:t>
                  </w:r>
                  <w:r>
                    <w:rPr>
                      <w:rFonts w:hint="default" w:ascii="Times New Roman" w:hAnsi="Times New Roman" w:eastAsia="宋体" w:cs="Times New Roman"/>
                      <w:spacing w:val="7"/>
                      <w:sz w:val="21"/>
                      <w:szCs w:val="21"/>
                    </w:rPr>
                    <w:t>的</w:t>
                  </w:r>
                  <w:r>
                    <w:rPr>
                      <w:rFonts w:hint="default" w:ascii="Times New Roman" w:hAnsi="Times New Roman" w:eastAsia="宋体" w:cs="Times New Roman"/>
                      <w:spacing w:val="6"/>
                      <w:sz w:val="21"/>
                      <w:szCs w:val="21"/>
                    </w:rPr>
                    <w:t>危险废物为废</w:t>
                  </w:r>
                  <w:r>
                    <w:rPr>
                      <w:rFonts w:hint="default" w:ascii="Times New Roman" w:hAnsi="Times New Roman" w:eastAsia="宋体" w:cs="Times New Roman"/>
                      <w:spacing w:val="-4"/>
                      <w:sz w:val="21"/>
                      <w:szCs w:val="21"/>
                    </w:rPr>
                    <w:t>矿</w:t>
                  </w:r>
                  <w:r>
                    <w:rPr>
                      <w:rFonts w:hint="default" w:ascii="Times New Roman" w:hAnsi="Times New Roman" w:eastAsia="宋体" w:cs="Times New Roman"/>
                      <w:spacing w:val="-3"/>
                      <w:sz w:val="21"/>
                      <w:szCs w:val="21"/>
                    </w:rPr>
                    <w:t>物</w:t>
                  </w:r>
                  <w:r>
                    <w:rPr>
                      <w:rFonts w:hint="default" w:ascii="Times New Roman" w:hAnsi="Times New Roman" w:eastAsia="宋体" w:cs="Times New Roman"/>
                      <w:spacing w:val="-2"/>
                      <w:sz w:val="21"/>
                      <w:szCs w:val="21"/>
                    </w:rPr>
                    <w:t>油</w:t>
                  </w:r>
                  <w:r>
                    <w:rPr>
                      <w:rFonts w:hint="default" w:ascii="Times New Roman" w:hAnsi="Times New Roman" w:eastAsia="宋体" w:cs="Times New Roman"/>
                      <w:spacing w:val="-2"/>
                      <w:sz w:val="21"/>
                      <w:szCs w:val="21"/>
                      <w:lang w:eastAsia="zh-CN"/>
                    </w:rPr>
                    <w:t>和废有机溶剂等</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产生的废气利用现有的废气收集和治理环保设施，即经集气罩收集（危废暂存间封闭管理）+经活性炭吸附装置处理，由17m高排气筒排放</w:t>
                  </w:r>
                  <w:r>
                    <w:rPr>
                      <w:rFonts w:hint="default" w:ascii="Times New Roman" w:hAnsi="Times New Roman" w:cs="Times New Roman"/>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US" w:eastAsia="zh-CN"/>
                    </w:rPr>
                  </w:pPr>
                  <w:r>
                    <w:rPr>
                      <w:rFonts w:hint="eastAsia" w:eastAsia="宋体"/>
                      <w:color w:val="auto"/>
                      <w:lang w:val="e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p>
              </w:tc>
              <w:tc>
                <w:tcPr>
                  <w:tcW w:w="1794" w:type="pct"/>
                  <w:tcBorders>
                    <w:tl2br w:val="nil"/>
                    <w:tr2bl w:val="nil"/>
                  </w:tcBorders>
                  <w:vAlign w:val="center"/>
                </w:tcPr>
                <w:p>
                  <w:pPr>
                    <w:pStyle w:val="64"/>
                    <w:adjustRightInd/>
                    <w:rPr>
                      <w:rFonts w:hint="default" w:eastAsia="宋体"/>
                      <w:color w:val="auto"/>
                      <w:lang w:val="en"/>
                    </w:rPr>
                  </w:pPr>
                  <w:r>
                    <w:rPr>
                      <w:rFonts w:hint="default" w:ascii="Times New Roman" w:hAnsi="Times New Roman" w:eastAsia="宋体" w:cs="Times New Roman"/>
                      <w:color w:val="auto"/>
                      <w:kern w:val="2"/>
                      <w:sz w:val="21"/>
                      <w:szCs w:val="21"/>
                    </w:rPr>
                    <w:t>（二十）对于不能再生的过滤材料、吸附剂及催化剂等净化材料，应按照国家固体废物管理的相关规定处理处置。</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环评要求对产生的废活性炭，严格按照危险废物管理要求进行。</w:t>
                  </w:r>
                </w:p>
              </w:tc>
              <w:tc>
                <w:tcPr>
                  <w:tcW w:w="644" w:type="pct"/>
                  <w:tcBorders>
                    <w:tl2br w:val="nil"/>
                    <w:tr2bl w:val="nil"/>
                  </w:tcBorders>
                  <w:vAlign w:val="center"/>
                </w:tcPr>
                <w:p>
                  <w:pPr>
                    <w:jc w:val="center"/>
                    <w:rPr>
                      <w:rFonts w:hint="eastAsia" w:eastAsia="宋体"/>
                      <w:color w:val="auto"/>
                      <w:lang w:val="en"/>
                    </w:rPr>
                  </w:pPr>
                  <w:r>
                    <w:rPr>
                      <w:rFonts w:hint="default" w:ascii="Times New Roman" w:hAnsi="Times New Roman" w:eastAsia="宋体" w:cs="Times New Roman"/>
                      <w:color w:val="auto"/>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2"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p>
              </w:tc>
              <w:tc>
                <w:tcPr>
                  <w:tcW w:w="1794" w:type="pct"/>
                  <w:tcBorders>
                    <w:tl2br w:val="nil"/>
                    <w:tr2bl w:val="nil"/>
                  </w:tcBorders>
                  <w:vAlign w:val="center"/>
                </w:tcPr>
                <w:p>
                  <w:pPr>
                    <w:pStyle w:val="64"/>
                    <w:adjustRightInd/>
                    <w:rPr>
                      <w:rFonts w:hint="default" w:eastAsia="宋体"/>
                      <w:color w:val="auto"/>
                      <w:lang w:val="en"/>
                    </w:rPr>
                  </w:pPr>
                  <w:r>
                    <w:rPr>
                      <w:rFonts w:hint="default" w:ascii="Times New Roman" w:hAnsi="Times New Roman" w:eastAsia="宋体" w:cs="Times New Roman"/>
                      <w:color w:val="auto"/>
                      <w:kern w:val="2"/>
                      <w:sz w:val="21"/>
                      <w:szCs w:val="21"/>
                    </w:rPr>
                    <w:t>（二十五）鼓励企业自行开展VOCs监测，并及时主动向当地环保行政主管部门报送监测结果。</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运营后企业严格按照要求进行例行监测，并及时主动向当地环保部门报送监测结果。</w:t>
                  </w:r>
                </w:p>
              </w:tc>
              <w:tc>
                <w:tcPr>
                  <w:tcW w:w="644" w:type="pct"/>
                  <w:tcBorders>
                    <w:tl2br w:val="nil"/>
                    <w:tr2bl w:val="nil"/>
                  </w:tcBorders>
                  <w:vAlign w:val="center"/>
                </w:tcPr>
                <w:p>
                  <w:pPr>
                    <w:jc w:val="center"/>
                    <w:rPr>
                      <w:rFonts w:hint="eastAsia" w:eastAsia="宋体"/>
                      <w:color w:val="auto"/>
                      <w:lang w:val="en"/>
                    </w:rPr>
                  </w:pPr>
                  <w:r>
                    <w:rPr>
                      <w:rFonts w:hint="default" w:ascii="Times New Roman" w:hAnsi="Times New Roman" w:eastAsia="宋体" w:cs="Times New Roman"/>
                      <w:color w:val="auto"/>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p>
              </w:tc>
              <w:tc>
                <w:tcPr>
                  <w:tcW w:w="1794" w:type="pct"/>
                  <w:tcBorders>
                    <w:tl2br w:val="nil"/>
                    <w:tr2bl w:val="nil"/>
                  </w:tcBorders>
                  <w:vAlign w:val="center"/>
                </w:tcPr>
                <w:p>
                  <w:pPr>
                    <w:pStyle w:val="64"/>
                    <w:adjustRightInd/>
                    <w:rPr>
                      <w:rFonts w:hint="default" w:eastAsia="宋体"/>
                      <w:color w:val="auto"/>
                      <w:lang w:val="en"/>
                    </w:rPr>
                  </w:pPr>
                  <w:r>
                    <w:rPr>
                      <w:rFonts w:hint="default" w:ascii="Times New Roman" w:hAnsi="Times New Roman" w:eastAsia="宋体" w:cs="Times New Roman"/>
                      <w:color w:val="auto"/>
                      <w:kern w:val="2"/>
                      <w:sz w:val="21"/>
                      <w:szCs w:val="21"/>
                    </w:rPr>
                    <w:t>（二十六）企业应建立健全VOCs治理设施的运行维护规程和台帐等日常管理制度，并根据工艺要求定期对各类设备、电气、自控仪表等进行检修维护，确保设施的稳定运行。</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环评要求企业建立完善的台账记录，对设备进行定期检查，确保稳定运行。</w:t>
                  </w:r>
                </w:p>
              </w:tc>
              <w:tc>
                <w:tcPr>
                  <w:tcW w:w="644" w:type="pct"/>
                  <w:tcBorders>
                    <w:tl2br w:val="nil"/>
                    <w:tr2bl w:val="nil"/>
                  </w:tcBorders>
                  <w:vAlign w:val="center"/>
                </w:tcPr>
                <w:p>
                  <w:pPr>
                    <w:jc w:val="center"/>
                    <w:rPr>
                      <w:rFonts w:hint="eastAsia" w:eastAsia="宋体"/>
                      <w:color w:val="auto"/>
                      <w:lang w:val="en"/>
                    </w:rPr>
                  </w:pPr>
                  <w:r>
                    <w:rPr>
                      <w:rFonts w:hint="default" w:ascii="Times New Roman" w:hAnsi="Times New Roman" w:eastAsia="宋体" w:cs="Times New Roman"/>
                      <w:color w:val="auto"/>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restar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default" w:ascii="Times New Roman" w:hAnsi="Times New Roman" w:eastAsia="宋体" w:cs="Times New Roman"/>
                      <w:color w:val="auto"/>
                      <w:sz w:val="21"/>
                      <w:szCs w:val="21"/>
                    </w:rPr>
                    <w:t>《2020年挥发性有机物治理攻坚方案》环大气〔2020〕33号</w:t>
                  </w:r>
                </w:p>
              </w:tc>
              <w:tc>
                <w:tcPr>
                  <w:tcW w:w="1794" w:type="pct"/>
                  <w:tcBorders>
                    <w:tl2br w:val="nil"/>
                    <w:tr2bl w:val="nil"/>
                  </w:tcBorders>
                  <w:vAlign w:val="center"/>
                </w:tcPr>
                <w:p>
                  <w:pPr>
                    <w:pStyle w:val="64"/>
                    <w:adjustRightInd/>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二、全面落实标准要求，强化无组织排放控制</w:t>
                  </w:r>
                </w:p>
                <w:p>
                  <w:pPr>
                    <w:pStyle w:val="64"/>
                    <w:adjustRightInd/>
                    <w:rPr>
                      <w:rFonts w:hint="default" w:eastAsia="宋体"/>
                      <w:color w:val="auto"/>
                      <w:lang w:val="en"/>
                    </w:rPr>
                  </w:pPr>
                  <w:r>
                    <w:rPr>
                      <w:rFonts w:hint="default" w:ascii="Times New Roman" w:hAnsi="Times New Roman" w:eastAsia="宋体" w:cs="Times New Roman"/>
                      <w:color w:val="auto"/>
                      <w:kern w:val="2"/>
                      <w:sz w:val="21"/>
                      <w:szCs w:val="21"/>
                    </w:rPr>
                    <w:t>2020年7月1日起，全面执行《挥发性有机物无组织排放控制标准》，重点区域应落实无组织排放特别控制要求。</w:t>
                  </w:r>
                </w:p>
              </w:tc>
              <w:tc>
                <w:tcPr>
                  <w:tcW w:w="1618" w:type="pct"/>
                  <w:vMerge w:val="restar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w:t>
                  </w:r>
                  <w:r>
                    <w:rPr>
                      <w:rFonts w:hint="default" w:ascii="Times New Roman" w:hAnsi="Times New Roman" w:eastAsia="宋体" w:cs="Times New Roman"/>
                      <w:color w:val="auto"/>
                      <w:kern w:val="2"/>
                      <w:sz w:val="21"/>
                      <w:szCs w:val="21"/>
                    </w:rPr>
                    <w:t>产生</w:t>
                  </w:r>
                  <w:r>
                    <w:rPr>
                      <w:rFonts w:hint="eastAsia" w:ascii="Times New Roman" w:hAnsi="Times New Roman" w:eastAsia="宋体" w:cs="Times New Roman"/>
                      <w:color w:val="auto"/>
                      <w:kern w:val="2"/>
                      <w:sz w:val="21"/>
                      <w:szCs w:val="21"/>
                      <w:lang w:eastAsia="zh-CN"/>
                    </w:rPr>
                    <w:t>非甲烷总烃、甲苯、甲醇等</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经</w:t>
                  </w:r>
                  <w:r>
                    <w:rPr>
                      <w:rFonts w:hint="default" w:ascii="Times New Roman" w:hAnsi="Times New Roman" w:eastAsia="宋体" w:cs="Times New Roman"/>
                      <w:color w:val="auto"/>
                      <w:kern w:val="2"/>
                      <w:sz w:val="21"/>
                      <w:szCs w:val="21"/>
                    </w:rPr>
                    <w:t>活性炭吸附</w:t>
                  </w:r>
                  <w:r>
                    <w:rPr>
                      <w:rFonts w:hint="eastAsia" w:ascii="Times New Roman" w:hAnsi="Times New Roman" w:eastAsia="宋体" w:cs="Times New Roman"/>
                      <w:color w:val="auto"/>
                      <w:kern w:val="2"/>
                      <w:sz w:val="21"/>
                      <w:szCs w:val="21"/>
                      <w:lang w:eastAsia="zh-CN"/>
                    </w:rPr>
                    <w:t>装置处理</w:t>
                  </w:r>
                  <w:r>
                    <w:rPr>
                      <w:rFonts w:hint="eastAsia" w:cs="Times New Roman"/>
                      <w:color w:val="auto"/>
                      <w:kern w:val="2"/>
                      <w:sz w:val="21"/>
                      <w:szCs w:val="21"/>
                      <w:lang w:eastAsia="zh-CN"/>
                    </w:rPr>
                    <w:t>。其中，</w:t>
                  </w:r>
                  <w:r>
                    <w:rPr>
                      <w:rFonts w:hint="default" w:ascii="Times New Roman" w:hAnsi="Times New Roman" w:eastAsia="宋体" w:cs="Times New Roman"/>
                      <w:color w:val="auto"/>
                      <w:kern w:val="2"/>
                      <w:sz w:val="21"/>
                      <w:szCs w:val="21"/>
                    </w:rPr>
                    <w:t>甲苯、非甲烷总烃有组织废气执行《大气污染物综合排放标准》（GB 16297-1996）表2中限值要求；臭气浓度有组织废气执行《恶臭污染物排放标准》（GB 14554-93）表2中限值要求、甲醇有组织废气执行《挥发性有机物排放控制标准》（DB61/ T1061-2017）中表1限值要求。甲醇、非甲烷总烃无组织废气执行《挥发性有机物排放控制标准》（DB61/ T1061-2017）中表3限值要求；臭气浓度无组织废气执行《恶臭污染物排放标准》（GB 14554-93）中表1限值要求；甲苯无组织废气执行《大气污染物综合排放标准》（GB 16297-1996）中表2新扩改建限值要求。</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ascii="Times New Roman" w:hAnsi="Times New Roman" w:eastAsia="宋体" w:cs="Times New Roman"/>
                      <w:bCs/>
                      <w:color w:val="auto"/>
                      <w:kern w:val="2"/>
                      <w:sz w:val="21"/>
                      <w:szCs w:val="24"/>
                      <w:lang w:val="en" w:eastAsia="zh-CN" w:bidi="ar-SA"/>
                    </w:rPr>
                  </w:pPr>
                  <w:r>
                    <w:rPr>
                      <w:rFonts w:hint="eastAsia" w:ascii="Times New Roman" w:hAnsi="Times New Roman" w:eastAsia="宋体" w:cs="Times New Roman"/>
                      <w:bCs/>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p>
              </w:tc>
              <w:tc>
                <w:tcPr>
                  <w:tcW w:w="1794" w:type="pct"/>
                  <w:tcBorders>
                    <w:tl2br w:val="nil"/>
                    <w:tr2bl w:val="nil"/>
                  </w:tcBorders>
                  <w:vAlign w:val="center"/>
                </w:tcPr>
                <w:p>
                  <w:pPr>
                    <w:pStyle w:val="64"/>
                    <w:adjustRightInd/>
                    <w:rPr>
                      <w:rFonts w:hint="default" w:eastAsia="宋体"/>
                      <w:color w:val="auto"/>
                      <w:lang w:val="en"/>
                    </w:rPr>
                  </w:pPr>
                  <w:r>
                    <w:rPr>
                      <w:rFonts w:hint="default" w:ascii="Times New Roman" w:hAnsi="Times New Roman" w:eastAsia="宋体" w:cs="Times New Roman"/>
                      <w:color w:val="auto"/>
                      <w:kern w:val="2"/>
                      <w:sz w:val="21"/>
                      <w:szCs w:val="21"/>
                    </w:rPr>
                    <w:t>三、聚焦治污设施</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三率</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提升综合治理效率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618"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kern w:val="2"/>
                      <w:sz w:val="21"/>
                      <w:szCs w:val="21"/>
                      <w:lang w:val="en-US" w:eastAsia="zh-CN"/>
                    </w:rPr>
                  </w:pP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ascii="Times New Roman" w:hAnsi="Times New Roman" w:eastAsia="宋体" w:cs="Times New Roman"/>
                      <w:color w:val="auto"/>
                      <w:kern w:val="2"/>
                      <w:sz w:val="21"/>
                      <w:szCs w:val="24"/>
                      <w:lang w:val="en" w:eastAsia="zh-CN" w:bidi="ar-SA"/>
                    </w:rPr>
                  </w:pPr>
                  <w:r>
                    <w:rPr>
                      <w:rFonts w:hint="eastAsia" w:eastAsia="宋体"/>
                      <w:color w:val="auto"/>
                      <w:lang w:val="e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restar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《陕西省大气污染防治条例（2019修正）》</w:t>
                  </w:r>
                </w:p>
              </w:tc>
              <w:tc>
                <w:tcPr>
                  <w:tcW w:w="1794" w:type="pct"/>
                  <w:tcBorders>
                    <w:tl2br w:val="nil"/>
                    <w:tr2bl w:val="nil"/>
                  </w:tcBorders>
                  <w:vAlign w:val="center"/>
                </w:tcPr>
                <w:p>
                  <w:pPr>
                    <w:pStyle w:val="26"/>
                    <w:numPr>
                      <w:ilvl w:val="0"/>
                      <w:numId w:val="0"/>
                    </w:numPr>
                    <w:bidi w:val="0"/>
                    <w:jc w:val="both"/>
                    <w:rPr>
                      <w:rFonts w:hint="default" w:eastAsia="宋体"/>
                      <w:color w:val="auto"/>
                      <w:lang w:val="en"/>
                    </w:rPr>
                  </w:pPr>
                  <w:r>
                    <w:rPr>
                      <w:rFonts w:hint="default" w:ascii="Times New Roman" w:hAnsi="Times New Roman" w:eastAsia="宋体" w:cs="Times New Roman"/>
                      <w:color w:val="auto"/>
                      <w:sz w:val="21"/>
                      <w:szCs w:val="21"/>
                    </w:rPr>
                    <w:t>第十四条 向大气排放污染物的企业事业单位和其他生产经营者，应当按照国家和本省规定设置大气污染物排放口。禁止以规避监管为目的，在非紧急情况下使用大气污染物应急排放通道或者采取其他规避监管的方式排放大气污染物。</w:t>
                  </w:r>
                </w:p>
              </w:tc>
              <w:tc>
                <w:tcPr>
                  <w:tcW w:w="1618" w:type="pct"/>
                  <w:tcBorders>
                    <w:tl2br w:val="nil"/>
                    <w:tr2bl w:val="nil"/>
                  </w:tcBorders>
                  <w:vAlign w:val="center"/>
                </w:tcPr>
                <w:p>
                  <w:pPr>
                    <w:pStyle w:val="26"/>
                    <w:bidi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拟建项目</w:t>
                  </w:r>
                  <w:r>
                    <w:rPr>
                      <w:rFonts w:hint="default" w:ascii="Times New Roman" w:hAnsi="Times New Roman" w:eastAsia="宋体" w:cs="Times New Roman"/>
                      <w:color w:val="auto"/>
                      <w:sz w:val="21"/>
                      <w:szCs w:val="21"/>
                    </w:rPr>
                    <w:t>按照国家和本省规定设置</w:t>
                  </w:r>
                  <w:r>
                    <w:rPr>
                      <w:rFonts w:hint="default" w:ascii="Times New Roman" w:hAnsi="Times New Roman" w:eastAsia="宋体" w:cs="Times New Roman"/>
                      <w:color w:val="auto"/>
                      <w:sz w:val="21"/>
                      <w:szCs w:val="21"/>
                      <w:lang w:val="en-US" w:eastAsia="zh-CN"/>
                    </w:rPr>
                    <w:t>废气排放口，废气经处理后由排气筒排放。</w:t>
                  </w:r>
                </w:p>
              </w:tc>
              <w:tc>
                <w:tcPr>
                  <w:tcW w:w="644" w:type="pct"/>
                  <w:tcBorders>
                    <w:tl2br w:val="nil"/>
                    <w:tr2bl w:val="nil"/>
                  </w:tcBorders>
                  <w:vAlign w:val="center"/>
                </w:tcPr>
                <w:p>
                  <w:pPr>
                    <w:pStyle w:val="26"/>
                    <w:bidi w:val="0"/>
                    <w:rPr>
                      <w:rFonts w:hint="eastAsia" w:eastAsia="宋体"/>
                      <w:color w:val="auto"/>
                      <w:lang w:val="en"/>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p>
              </w:tc>
              <w:tc>
                <w:tcPr>
                  <w:tcW w:w="1794" w:type="pct"/>
                  <w:tcBorders>
                    <w:tl2br w:val="nil"/>
                    <w:tr2bl w:val="nil"/>
                  </w:tcBorders>
                  <w:vAlign w:val="center"/>
                </w:tcPr>
                <w:p>
                  <w:pPr>
                    <w:pStyle w:val="26"/>
                    <w:numPr>
                      <w:ilvl w:val="0"/>
                      <w:numId w:val="0"/>
                    </w:numPr>
                    <w:bidi w:val="0"/>
                    <w:ind w:left="0" w:leftChars="0" w:firstLine="0" w:firstLineChars="0"/>
                    <w:jc w:val="both"/>
                    <w:rPr>
                      <w:rFonts w:hint="default" w:eastAsia="宋体"/>
                      <w:color w:val="auto"/>
                      <w:lang w:val="en"/>
                    </w:rPr>
                  </w:pPr>
                  <w:r>
                    <w:rPr>
                      <w:rFonts w:hint="default" w:ascii="Times New Roman" w:hAnsi="Times New Roman" w:eastAsia="宋体" w:cs="Times New Roman"/>
                      <w:color w:val="auto"/>
                      <w:sz w:val="21"/>
                      <w:szCs w:val="21"/>
                    </w:rPr>
                    <w:t>第十六条 向大气排放工业废气、含有毒有害物质的大气污染物的企业事业单位，集中供热设施的运营单位，以及其他按照规定应当取得排污许可证方可排放大气污染物的企业事业单位，应当依法向县级以上生态环境行政主管部门申请排污许可证。</w:t>
                  </w:r>
                </w:p>
              </w:tc>
              <w:tc>
                <w:tcPr>
                  <w:tcW w:w="1618" w:type="pct"/>
                  <w:tcBorders>
                    <w:tl2br w:val="nil"/>
                    <w:tr2bl w:val="nil"/>
                  </w:tcBorders>
                  <w:vAlign w:val="center"/>
                </w:tcPr>
                <w:p>
                  <w:pPr>
                    <w:pStyle w:val="26"/>
                    <w:bidi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渭南高新区海泰新型电子材料有限责任公司</w:t>
                  </w:r>
                  <w:r>
                    <w:rPr>
                      <w:rFonts w:hint="eastAsia" w:ascii="Times New Roman" w:hAnsi="Times New Roman" w:eastAsia="宋体" w:cs="Times New Roman"/>
                      <w:color w:val="auto"/>
                      <w:kern w:val="2"/>
                      <w:sz w:val="21"/>
                      <w:szCs w:val="21"/>
                      <w:lang w:val="en-US" w:eastAsia="zh-CN"/>
                    </w:rPr>
                    <w:t>有合法的排污许可证，</w:t>
                  </w:r>
                  <w:r>
                    <w:rPr>
                      <w:rFonts w:hint="default" w:ascii="Times New Roman" w:hAnsi="Times New Roman" w:eastAsia="宋体" w:cs="Times New Roman"/>
                      <w:color w:val="auto"/>
                      <w:kern w:val="2"/>
                      <w:sz w:val="21"/>
                      <w:szCs w:val="21"/>
                      <w:lang w:val="en-US" w:eastAsia="zh-CN"/>
                    </w:rPr>
                    <w:t>本项目建成后，按要求</w:t>
                  </w:r>
                  <w:r>
                    <w:rPr>
                      <w:rFonts w:hint="eastAsia" w:ascii="Times New Roman" w:hAnsi="Times New Roman" w:eastAsia="宋体" w:cs="Times New Roman"/>
                      <w:color w:val="auto"/>
                      <w:kern w:val="2"/>
                      <w:sz w:val="21"/>
                      <w:szCs w:val="21"/>
                      <w:lang w:val="en-US" w:eastAsia="zh-CN"/>
                    </w:rPr>
                    <w:t>完善申请</w:t>
                  </w:r>
                  <w:r>
                    <w:rPr>
                      <w:rFonts w:hint="default" w:ascii="Times New Roman" w:hAnsi="Times New Roman" w:eastAsia="宋体" w:cs="Times New Roman"/>
                      <w:color w:val="auto"/>
                      <w:kern w:val="2"/>
                      <w:sz w:val="21"/>
                      <w:szCs w:val="21"/>
                      <w:lang w:val="en-US" w:eastAsia="zh-CN"/>
                    </w:rPr>
                    <w:t>排污许可。本项目行业类别为G5949其他危险品仓储，根据《固定污染源排污许可分类管理名录（2019年版）》，应实行登记管理。由于项目属于渭南高新区海泰新型电子材料有限责任公司危废暂存间（库），因此，建成后应及时纳入渭南高新区海泰新型电子材料有限责任公司的整体排污许可管理中，及时进行排污许可变更。</w:t>
                  </w:r>
                </w:p>
              </w:tc>
              <w:tc>
                <w:tcPr>
                  <w:tcW w:w="644" w:type="pct"/>
                  <w:tcBorders>
                    <w:tl2br w:val="nil"/>
                    <w:tr2bl w:val="nil"/>
                  </w:tcBorders>
                  <w:vAlign w:val="center"/>
                </w:tcPr>
                <w:p>
                  <w:pPr>
                    <w:pStyle w:val="26"/>
                    <w:bidi w:val="0"/>
                    <w:rPr>
                      <w:rFonts w:hint="eastAsia" w:eastAsia="宋体"/>
                      <w:color w:val="auto"/>
                      <w:lang w:val="en"/>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p>
              </w:tc>
              <w:tc>
                <w:tcPr>
                  <w:tcW w:w="1794" w:type="pct"/>
                  <w:tcBorders>
                    <w:tl2br w:val="nil"/>
                    <w:tr2bl w:val="nil"/>
                  </w:tcBorders>
                  <w:vAlign w:val="center"/>
                </w:tcPr>
                <w:p>
                  <w:pPr>
                    <w:pStyle w:val="26"/>
                    <w:numPr>
                      <w:ilvl w:val="0"/>
                      <w:numId w:val="0"/>
                    </w:numPr>
                    <w:bidi w:val="0"/>
                    <w:ind w:left="0" w:leftChars="0" w:firstLine="0" w:firstLineChars="0"/>
                    <w:jc w:val="both"/>
                    <w:rPr>
                      <w:rFonts w:hint="default" w:eastAsia="宋体"/>
                      <w:color w:val="auto"/>
                      <w:lang w:val="en"/>
                    </w:rPr>
                  </w:pPr>
                  <w:r>
                    <w:rPr>
                      <w:rFonts w:hint="default" w:ascii="Times New Roman" w:hAnsi="Times New Roman" w:eastAsia="宋体" w:cs="Times New Roman"/>
                      <w:color w:val="auto"/>
                      <w:sz w:val="21"/>
                      <w:szCs w:val="21"/>
                    </w:rPr>
                    <w:t>第十九条 向大气排放污染物的单位应当按照有关规定设置监测点位和采样监测平台，对其所排放的大气污染物进行自行监测或者委托有环境监测资质的单位监测。监测结果由单位主管环境工作的负责人审核签字，原始监测记录至少保存三年。</w:t>
                  </w:r>
                </w:p>
              </w:tc>
              <w:tc>
                <w:tcPr>
                  <w:tcW w:w="1618" w:type="pct"/>
                  <w:tcBorders>
                    <w:tl2br w:val="nil"/>
                    <w:tr2bl w:val="nil"/>
                  </w:tcBorders>
                  <w:vAlign w:val="center"/>
                </w:tcPr>
                <w:p>
                  <w:pPr>
                    <w:pStyle w:val="26"/>
                    <w:bidi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按照有关规定设置监测点位和采样监测平台</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委托有环境监测资质的单位</w:t>
                  </w:r>
                  <w:r>
                    <w:rPr>
                      <w:rFonts w:hint="default" w:ascii="Times New Roman" w:hAnsi="Times New Roman" w:eastAsia="宋体" w:cs="Times New Roman"/>
                      <w:color w:val="auto"/>
                      <w:sz w:val="21"/>
                      <w:szCs w:val="21"/>
                      <w:lang w:val="en-US" w:eastAsia="zh-CN"/>
                    </w:rPr>
                    <w:t>定期</w:t>
                  </w:r>
                  <w:r>
                    <w:rPr>
                      <w:rFonts w:hint="default" w:ascii="Times New Roman" w:hAnsi="Times New Roman" w:eastAsia="宋体" w:cs="Times New Roman"/>
                      <w:color w:val="auto"/>
                      <w:sz w:val="21"/>
                      <w:szCs w:val="21"/>
                    </w:rPr>
                    <w:t>监测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原始记录至少保存5年（排污许可管理条例要求台账记录保存期限不得少于5年）。</w:t>
                  </w:r>
                </w:p>
              </w:tc>
              <w:tc>
                <w:tcPr>
                  <w:tcW w:w="644" w:type="pct"/>
                  <w:tcBorders>
                    <w:tl2br w:val="nil"/>
                    <w:tr2bl w:val="nil"/>
                  </w:tcBorders>
                  <w:vAlign w:val="center"/>
                </w:tcPr>
                <w:p>
                  <w:pPr>
                    <w:pStyle w:val="26"/>
                    <w:bidi w:val="0"/>
                    <w:rPr>
                      <w:rFonts w:hint="eastAsia" w:eastAsia="宋体"/>
                      <w:color w:val="auto"/>
                      <w:lang w:val="en"/>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p>
              </w:tc>
              <w:tc>
                <w:tcPr>
                  <w:tcW w:w="1794" w:type="pct"/>
                  <w:tcBorders>
                    <w:tl2br w:val="nil"/>
                    <w:tr2bl w:val="nil"/>
                  </w:tcBorders>
                  <w:vAlign w:val="center"/>
                </w:tcPr>
                <w:p>
                  <w:pPr>
                    <w:pStyle w:val="26"/>
                    <w:numPr>
                      <w:ilvl w:val="0"/>
                      <w:numId w:val="0"/>
                    </w:numPr>
                    <w:bidi w:val="0"/>
                    <w:ind w:left="0" w:leftChars="0" w:firstLine="0" w:firstLineChars="0"/>
                    <w:jc w:val="both"/>
                    <w:rPr>
                      <w:rFonts w:hint="default" w:eastAsia="宋体"/>
                      <w:color w:val="auto"/>
                      <w:lang w:val="en"/>
                    </w:rPr>
                  </w:pPr>
                  <w:r>
                    <w:rPr>
                      <w:rFonts w:hint="default" w:ascii="Times New Roman" w:hAnsi="Times New Roman" w:eastAsia="宋体" w:cs="Times New Roman"/>
                      <w:color w:val="auto"/>
                      <w:sz w:val="21"/>
                      <w:szCs w:val="21"/>
                    </w:rPr>
                    <w:t>第二十条 生态环境行政主管部门和其他主管部门对管辖范围内的向大气排放污染物的企业事业单位和其他生产经营者可以随机现场检查。被检查的企业事业单位和其他生产经营者应当如实反映情况，提供必要的资料。检查部门应当为被检查的企业事业单位和其他生产经营者保守技术秘密和业务秘密。</w:t>
                  </w:r>
                </w:p>
              </w:tc>
              <w:tc>
                <w:tcPr>
                  <w:tcW w:w="1618" w:type="pct"/>
                  <w:tcBorders>
                    <w:tl2br w:val="nil"/>
                    <w:tr2bl w:val="nil"/>
                  </w:tcBorders>
                  <w:vAlign w:val="center"/>
                </w:tcPr>
                <w:p>
                  <w:pPr>
                    <w:pStyle w:val="26"/>
                    <w:bidi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企业积极配合</w:t>
                  </w:r>
                  <w:r>
                    <w:rPr>
                      <w:rFonts w:hint="default" w:ascii="Times New Roman" w:hAnsi="Times New Roman" w:eastAsia="宋体" w:cs="Times New Roman"/>
                      <w:color w:val="auto"/>
                      <w:sz w:val="21"/>
                      <w:szCs w:val="21"/>
                    </w:rPr>
                    <w:t>生态环境行政主管部门和其他主管部门</w:t>
                  </w:r>
                  <w:r>
                    <w:rPr>
                      <w:rFonts w:hint="default" w:ascii="Times New Roman" w:hAnsi="Times New Roman" w:eastAsia="宋体" w:cs="Times New Roman"/>
                      <w:color w:val="auto"/>
                      <w:sz w:val="21"/>
                      <w:szCs w:val="21"/>
                      <w:lang w:val="en-US" w:eastAsia="zh-CN"/>
                    </w:rPr>
                    <w:t>检查，并如实反映情况，提供必要资料。</w:t>
                  </w:r>
                </w:p>
              </w:tc>
              <w:tc>
                <w:tcPr>
                  <w:tcW w:w="644" w:type="pct"/>
                  <w:tcBorders>
                    <w:tl2br w:val="nil"/>
                    <w:tr2bl w:val="nil"/>
                  </w:tcBorders>
                  <w:vAlign w:val="center"/>
                </w:tcPr>
                <w:p>
                  <w:pPr>
                    <w:pStyle w:val="26"/>
                    <w:bidi w:val="0"/>
                    <w:rPr>
                      <w:rFonts w:hint="eastAsia" w:eastAsia="宋体"/>
                      <w:color w:val="auto"/>
                      <w:lang w:val="en"/>
                    </w:rPr>
                  </w:pPr>
                  <w:r>
                    <w:rPr>
                      <w:rFonts w:hint="default" w:ascii="Times New Roman" w:hAnsi="Times New Roman" w:eastAsia="宋体" w:cs="Times New Roman"/>
                      <w:color w:val="auto"/>
                      <w:sz w:val="21"/>
                      <w:szCs w:val="21"/>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eastAsia"/>
                <w:b/>
                <w:bCs/>
                <w:color w:val="auto"/>
                <w:sz w:val="24"/>
                <w:szCs w:val="24"/>
                <w:lang w:val="en-US" w:eastAsia="zh-CN"/>
              </w:rPr>
            </w:pPr>
            <w:r>
              <w:rPr>
                <w:rFonts w:hint="eastAsia"/>
                <w:b/>
                <w:bCs/>
                <w:color w:val="auto"/>
                <w:sz w:val="24"/>
                <w:szCs w:val="24"/>
                <w:lang w:val="en-US" w:eastAsia="zh-CN"/>
              </w:rPr>
              <w:t>5、选址符合性分析</w:t>
            </w:r>
          </w:p>
          <w:p>
            <w:pPr>
              <w:spacing w:line="360" w:lineRule="auto"/>
              <w:ind w:firstLine="480" w:firstLineChars="200"/>
              <w:jc w:val="both"/>
              <w:rPr>
                <w:rFonts w:hint="eastAsia" w:cs="Times New Roman"/>
                <w:color w:val="auto"/>
                <w:sz w:val="24"/>
                <w:szCs w:val="24"/>
                <w:lang w:val="en-US" w:eastAsia="zh-CN"/>
              </w:rPr>
            </w:pPr>
            <w:r>
              <w:rPr>
                <w:rFonts w:hint="eastAsia"/>
                <w:color w:val="auto"/>
                <w:sz w:val="24"/>
                <w:szCs w:val="24"/>
                <w:lang w:val="en-US" w:eastAsia="zh-CN"/>
              </w:rPr>
              <w:t>本项目位于</w:t>
            </w:r>
            <w:r>
              <w:rPr>
                <w:rFonts w:hint="default"/>
                <w:color w:val="auto"/>
                <w:sz w:val="24"/>
                <w:szCs w:val="24"/>
                <w:lang w:val="en-US" w:eastAsia="zh-CN"/>
              </w:rPr>
              <w:t>陕西省渭南市高新区朝阳大街</w:t>
            </w:r>
            <w:r>
              <w:rPr>
                <w:rFonts w:hint="eastAsia"/>
                <w:color w:val="auto"/>
                <w:sz w:val="24"/>
                <w:szCs w:val="24"/>
                <w:lang w:val="en-US" w:eastAsia="zh-CN"/>
              </w:rPr>
              <w:t>和崇业路交口西南角，</w:t>
            </w:r>
            <w:r>
              <w:rPr>
                <w:rFonts w:hint="default" w:ascii="宋体" w:hAnsi="宋体" w:eastAsia="宋体" w:cs="宋体"/>
                <w:color w:val="auto"/>
                <w:sz w:val="24"/>
                <w:szCs w:val="24"/>
                <w:lang w:val="en-US" w:eastAsia="zh-CN"/>
              </w:rPr>
              <w:t>渭南高新区海泰新型电子材料有限责任公司</w:t>
            </w:r>
            <w:r>
              <w:rPr>
                <w:rFonts w:hint="eastAsia" w:ascii="宋体" w:hAnsi="宋体" w:eastAsia="宋体" w:cs="宋体"/>
                <w:color w:val="auto"/>
                <w:sz w:val="24"/>
                <w:szCs w:val="24"/>
                <w:lang w:val="en-US" w:eastAsia="zh-CN"/>
              </w:rPr>
              <w:t>现有厂区内，项目用地为工业用地，</w:t>
            </w:r>
            <w:r>
              <w:rPr>
                <w:rFonts w:hint="eastAsia" w:cs="Times New Roman"/>
                <w:color w:val="auto"/>
                <w:sz w:val="24"/>
                <w:szCs w:val="24"/>
                <w:lang w:val="en-US" w:eastAsia="zh-CN"/>
              </w:rPr>
              <w:t>不新增占地</w:t>
            </w:r>
            <w:r>
              <w:rPr>
                <w:rFonts w:hint="eastAsia" w:ascii="宋体" w:hAnsi="宋体" w:eastAsia="宋体" w:cs="宋体"/>
                <w:color w:val="auto"/>
                <w:sz w:val="24"/>
                <w:szCs w:val="24"/>
                <w:lang w:val="en-US" w:eastAsia="zh-CN"/>
              </w:rPr>
              <w:t>。</w:t>
            </w:r>
            <w:r>
              <w:rPr>
                <w:rFonts w:hint="default" w:ascii="Times New Roman" w:hAnsi="Times New Roman" w:cs="Times New Roman"/>
                <w:color w:val="auto"/>
                <w:sz w:val="24"/>
                <w:szCs w:val="24"/>
              </w:rPr>
              <w:t>项目所在地厂房中</w:t>
            </w:r>
            <w:r>
              <w:rPr>
                <w:rFonts w:hint="default" w:ascii="Times New Roman" w:hAnsi="Times New Roman" w:cs="Times New Roman"/>
                <w:color w:val="auto"/>
                <w:sz w:val="24"/>
                <w:szCs w:val="24"/>
                <w:lang w:val="en-US" w:eastAsia="zh-CN"/>
              </w:rPr>
              <w:t>心坐标为</w:t>
            </w:r>
            <w:r>
              <w:rPr>
                <w:rFonts w:hint="default"/>
                <w:color w:val="auto"/>
                <w:sz w:val="24"/>
                <w:szCs w:val="24"/>
                <w:highlight w:val="none"/>
                <w:lang w:val="en-US" w:eastAsia="zh-CN"/>
              </w:rPr>
              <w:t>109</w:t>
            </w:r>
            <w:r>
              <w:rPr>
                <w:rFonts w:hint="default"/>
                <w:color w:val="auto"/>
                <w:sz w:val="24"/>
                <w:szCs w:val="24"/>
                <w:highlight w:val="none"/>
              </w:rPr>
              <w:t>度</w:t>
            </w:r>
            <w:r>
              <w:rPr>
                <w:rFonts w:hint="eastAsia"/>
                <w:color w:val="auto"/>
                <w:sz w:val="24"/>
                <w:szCs w:val="24"/>
                <w:highlight w:val="none"/>
                <w:lang w:val="en-US" w:eastAsia="zh-CN"/>
              </w:rPr>
              <w:t>25</w:t>
            </w:r>
            <w:r>
              <w:rPr>
                <w:rFonts w:hint="default"/>
                <w:color w:val="auto"/>
                <w:sz w:val="24"/>
                <w:szCs w:val="24"/>
                <w:highlight w:val="none"/>
              </w:rPr>
              <w:t>分</w:t>
            </w:r>
            <w:r>
              <w:rPr>
                <w:rFonts w:hint="eastAsia"/>
                <w:color w:val="auto"/>
                <w:sz w:val="24"/>
                <w:szCs w:val="24"/>
                <w:highlight w:val="none"/>
                <w:lang w:val="en-US" w:eastAsia="zh-CN"/>
              </w:rPr>
              <w:t>16.871</w:t>
            </w:r>
            <w:r>
              <w:rPr>
                <w:rFonts w:hint="default"/>
                <w:color w:val="auto"/>
                <w:sz w:val="24"/>
                <w:szCs w:val="24"/>
                <w:highlight w:val="none"/>
              </w:rPr>
              <w:t xml:space="preserve">秒， </w:t>
            </w:r>
            <w:r>
              <w:rPr>
                <w:rFonts w:hint="default"/>
                <w:color w:val="auto"/>
                <w:sz w:val="24"/>
                <w:szCs w:val="24"/>
                <w:highlight w:val="none"/>
                <w:lang w:val="en-US" w:eastAsia="zh-CN"/>
              </w:rPr>
              <w:t>34</w:t>
            </w:r>
            <w:r>
              <w:rPr>
                <w:rFonts w:hint="default"/>
                <w:color w:val="auto"/>
                <w:sz w:val="24"/>
                <w:szCs w:val="24"/>
                <w:highlight w:val="none"/>
              </w:rPr>
              <w:t>度</w:t>
            </w:r>
            <w:r>
              <w:rPr>
                <w:rFonts w:hint="default"/>
                <w:color w:val="auto"/>
                <w:sz w:val="24"/>
                <w:szCs w:val="24"/>
                <w:highlight w:val="none"/>
                <w:lang w:val="en-US" w:eastAsia="zh-CN"/>
              </w:rPr>
              <w:t>29</w:t>
            </w:r>
            <w:r>
              <w:rPr>
                <w:rFonts w:hint="default"/>
                <w:color w:val="auto"/>
                <w:sz w:val="24"/>
                <w:szCs w:val="24"/>
                <w:highlight w:val="none"/>
              </w:rPr>
              <w:t>分</w:t>
            </w:r>
            <w:r>
              <w:rPr>
                <w:rFonts w:hint="eastAsia"/>
                <w:color w:val="auto"/>
                <w:sz w:val="24"/>
                <w:szCs w:val="24"/>
                <w:highlight w:val="none"/>
                <w:lang w:val="en-US" w:eastAsia="zh-CN"/>
              </w:rPr>
              <w:t>37.870</w:t>
            </w:r>
            <w:r>
              <w:rPr>
                <w:rFonts w:hint="default"/>
                <w:color w:val="auto"/>
                <w:sz w:val="24"/>
                <w:szCs w:val="24"/>
                <w:highlight w:val="none"/>
              </w:rPr>
              <w:t>秒</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地理位置图见附图1。危废暂存间</w:t>
            </w:r>
            <w:r>
              <w:rPr>
                <w:rFonts w:hint="eastAsia" w:ascii="Times New Roman" w:hAnsi="Times New Roman" w:eastAsia="宋体" w:cs="Times New Roman"/>
                <w:color w:val="auto"/>
                <w:sz w:val="24"/>
                <w:szCs w:val="24"/>
                <w:lang w:val="en-US" w:eastAsia="zh-CN"/>
              </w:rPr>
              <w:t>的</w:t>
            </w:r>
            <w:r>
              <w:rPr>
                <w:rFonts w:hint="eastAsia" w:cs="Times New Roman"/>
                <w:color w:val="auto"/>
                <w:sz w:val="24"/>
                <w:szCs w:val="24"/>
                <w:lang w:val="en-US" w:eastAsia="zh-CN"/>
              </w:rPr>
              <w:t>选址要求、</w:t>
            </w:r>
            <w:r>
              <w:rPr>
                <w:rFonts w:hint="eastAsia" w:ascii="Times New Roman" w:hAnsi="Times New Roman" w:eastAsia="宋体" w:cs="Times New Roman"/>
                <w:color w:val="auto"/>
                <w:sz w:val="24"/>
                <w:szCs w:val="24"/>
                <w:lang w:val="en-US" w:eastAsia="zh-CN"/>
              </w:rPr>
              <w:t>运行与管理、安全防护均符合《危险废物贮存污染控制标准》（GB18597-2023）的规定</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满足生态环境保护法律法规、规划和“三线一单”生态环境分区管控的要求</w:t>
            </w:r>
            <w:r>
              <w:rPr>
                <w:rFonts w:hint="eastAsia" w:cs="Times New Roman"/>
                <w:color w:val="auto"/>
                <w:sz w:val="24"/>
                <w:szCs w:val="24"/>
                <w:lang w:val="en-US" w:eastAsia="zh-CN"/>
              </w:rPr>
              <w:t>，不在生态保护红线区域、永久基本农田和其他需要特别保护的区域内，不在溶洞区或易遭受洪水、滑坡、泥石流、潮汐等严重自然灾害影响的地区，不在江河、湖泊、运河、渠道、水库及其最高水位线以下的滩地和岸坡，不属于法律法规规定禁止贮存危险废物的地点。</w:t>
            </w:r>
          </w:p>
          <w:p>
            <w:pPr>
              <w:spacing w:line="360" w:lineRule="auto"/>
              <w:ind w:firstLine="480" w:firstLineChars="200"/>
              <w:jc w:val="both"/>
              <w:rPr>
                <w:rFonts w:hint="eastAsia"/>
                <w:color w:val="auto"/>
                <w:sz w:val="24"/>
                <w:szCs w:val="24"/>
                <w:lang w:val="en-US" w:eastAsia="zh-CN"/>
              </w:rPr>
            </w:pPr>
            <w:r>
              <w:rPr>
                <w:rFonts w:hint="eastAsia" w:ascii="Times New Roman" w:hAnsi="Times New Roman" w:eastAsia="宋体" w:cs="Times New Roman"/>
                <w:color w:val="auto"/>
                <w:sz w:val="24"/>
                <w:szCs w:val="24"/>
                <w:lang w:val="en-US" w:eastAsia="zh-CN"/>
              </w:rPr>
              <w:t>同时项目</w:t>
            </w:r>
            <w:r>
              <w:rPr>
                <w:rFonts w:hint="eastAsia"/>
                <w:color w:val="auto"/>
                <w:sz w:val="24"/>
                <w:szCs w:val="24"/>
                <w:lang w:val="en-US" w:eastAsia="zh-CN"/>
              </w:rPr>
              <w:t xml:space="preserve">选址周边区域无自然保护区、水源保护区、风景名胜区、文物保护单位等重要环境敏感保护目标分布，不属于相关法律、法规划定的禁止建设区域。本项目在落实各项环保措施的情况下可以把环境影响降到最小，不会对周围居民产生明显不利影响。从周边环境、交通环境和基础设施依托等角度来看，本项目选址合理。 </w:t>
            </w:r>
          </w:p>
          <w:p>
            <w:pPr>
              <w:spacing w:line="360" w:lineRule="auto"/>
              <w:ind w:firstLine="420" w:firstLineChars="200"/>
              <w:jc w:val="both"/>
              <w:rPr>
                <w:rFonts w:hint="eastAsia"/>
                <w:color w:val="auto"/>
                <w:lang w:val="en-US" w:eastAsia="zh-CN"/>
              </w:rPr>
            </w:pPr>
          </w:p>
          <w:p>
            <w:pPr>
              <w:spacing w:line="360" w:lineRule="auto"/>
              <w:ind w:firstLine="420" w:firstLineChars="200"/>
              <w:jc w:val="both"/>
              <w:rPr>
                <w:rFonts w:hint="eastAsia"/>
                <w:color w:val="auto"/>
                <w:lang w:val="en-US" w:eastAsia="zh-CN"/>
              </w:rPr>
            </w:pPr>
          </w:p>
          <w:p>
            <w:pPr>
              <w:spacing w:line="360" w:lineRule="auto"/>
              <w:ind w:firstLine="420" w:firstLineChars="200"/>
              <w:jc w:val="both"/>
              <w:rPr>
                <w:rFonts w:hint="eastAsia"/>
                <w:color w:val="auto"/>
                <w:lang w:val="en-US" w:eastAsia="zh-CN"/>
              </w:rPr>
            </w:pPr>
          </w:p>
          <w:p>
            <w:pPr>
              <w:spacing w:line="360" w:lineRule="auto"/>
              <w:ind w:firstLine="420" w:firstLineChars="200"/>
              <w:jc w:val="both"/>
              <w:rPr>
                <w:rFonts w:hint="eastAsia"/>
                <w:color w:val="auto"/>
                <w:lang w:val="en-US" w:eastAsia="zh-CN"/>
              </w:rPr>
            </w:pPr>
          </w:p>
          <w:p>
            <w:pPr>
              <w:spacing w:line="360" w:lineRule="auto"/>
              <w:ind w:firstLine="420" w:firstLineChars="200"/>
              <w:jc w:val="both"/>
              <w:rPr>
                <w:rFonts w:hint="eastAsia"/>
                <w:color w:val="auto"/>
                <w:lang w:val="en-US" w:eastAsia="zh-CN"/>
              </w:rPr>
            </w:pPr>
          </w:p>
          <w:p>
            <w:pPr>
              <w:spacing w:line="360" w:lineRule="auto"/>
              <w:jc w:val="both"/>
              <w:rPr>
                <w:rFonts w:hint="eastAsia"/>
                <w:color w:val="auto"/>
                <w:lang w:val="en-US" w:eastAsia="zh-CN"/>
              </w:rPr>
            </w:pPr>
          </w:p>
          <w:p>
            <w:pPr>
              <w:spacing w:line="360" w:lineRule="auto"/>
              <w:jc w:val="both"/>
              <w:rPr>
                <w:rFonts w:hint="eastAsia"/>
                <w:color w:val="auto"/>
                <w:lang w:val="en-US" w:eastAsia="zh-CN"/>
              </w:rPr>
            </w:pPr>
            <w:r>
              <w:rPr>
                <w:rFonts w:hint="eastAsia"/>
                <w:color w:val="auto"/>
                <w:lang w:val="en-US" w:eastAsia="zh-CN"/>
              </w:rPr>
              <w:t xml:space="preserve">   </w:t>
            </w:r>
          </w:p>
          <w:p>
            <w:pPr>
              <w:spacing w:line="360" w:lineRule="auto"/>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default"/>
                <w:color w:val="auto"/>
                <w:lang w:val="en-US" w:eastAsia="zh-CN"/>
              </w:rPr>
            </w:pPr>
          </w:p>
        </w:tc>
      </w:tr>
    </w:tbl>
    <w:p>
      <w:pPr>
        <w:spacing w:line="360" w:lineRule="auto"/>
        <w:outlineLvl w:val="9"/>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ascii="黑体" w:hAnsi="黑体" w:eastAsia="黑体"/>
          <w:snapToGrid w:val="0"/>
          <w:color w:val="auto"/>
          <w:sz w:val="30"/>
          <w:szCs w:val="30"/>
        </w:rPr>
      </w:pPr>
      <w:bookmarkStart w:id="7" w:name="_Toc28018"/>
      <w:r>
        <w:rPr>
          <w:rFonts w:hint="eastAsia" w:ascii="黑体" w:hAnsi="黑体" w:eastAsia="黑体"/>
          <w:snapToGrid w:val="0"/>
          <w:color w:val="auto"/>
          <w:sz w:val="30"/>
          <w:szCs w:val="30"/>
        </w:rPr>
        <w:t>二、建设项目工程分析</w:t>
      </w:r>
      <w:bookmarkEnd w:id="7"/>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34" w:type="pct"/>
            <w:vAlign w:val="center"/>
          </w:tcPr>
          <w:p>
            <w:pPr>
              <w:pStyle w:val="27"/>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4765" w:type="pct"/>
          </w:tcPr>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一、项目由来</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（1）本次项目情况</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本次扩建的危废暂存间为渭南高新区海泰新型电子材料有限责任公司危险废物收集与暂存项目，属于配套的环保工程。位于渭南高新区海泰新型电子材料有限责任公司现有厂区内，扩建完成后，与现有的危废暂存间一起用于存储渭南高新区海泰新型电子材料有限责任公司危险废物，之后由有资质单位转运清理。</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（2）项目历史沿革及由来</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根据现场调查，目前渭南高新区海泰新型电子材料有限责任公司厂区内共涉及2个项目，即液晶显示材料生产线项目和年产20吨医药中间体项目，均已建成投产。具体情况如下:</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液晶显示材料生产线项目委托渭南市环保科技咨询中心编制完成环境影响报告书，2005年5月取得环评批复（渭环审发[2005] 21 号），2007年7月和2012年4月分两期通过了竣工环保验收（渭环验[2007]4号和渭环验[2012]5号）；年产20吨医药中间体项目委托陕西省现代建筑设计研究院编制完成环境影响报告书，2017年1月取得环评批复（渭环批复[2017]3号），2017年5月通过竣工环保验收（渭环验[2017]11号）。2018年10月，渭南高新区海泰新型电子材料有限责任公司针对“液晶显示材料生产线项目和年产20吨医药中间体项目”开展了环境影响后评价工作，并完成后评价项目报告的备案工作，见备案文件：</w:t>
            </w:r>
            <w:r>
              <w:rPr>
                <w:rFonts w:hint="eastAsia" w:ascii="宋体" w:hAnsi="宋体" w:eastAsia="宋体"/>
                <w:color w:val="auto"/>
                <w:sz w:val="24"/>
                <w:szCs w:val="24"/>
              </w:rPr>
              <w:t>《渭南高新区海泰新型电子材料有限责任公司环境影响后评价报告》（备案号：渭环评备[2019年]1号）</w:t>
            </w:r>
            <w:r>
              <w:rPr>
                <w:rFonts w:hint="eastAsia" w:cs="Times New Roman" w:eastAsiaTheme="minorEastAsia"/>
                <w:color w:val="auto"/>
                <w:kern w:val="0"/>
                <w:sz w:val="24"/>
                <w:szCs w:val="24"/>
                <w:lang w:val="en-US" w:eastAsia="zh-CN"/>
              </w:rPr>
              <w:t>。液晶显示材料生产线项目和年产20吨医药中间体项目两条生产线的危险废物均暂存于现有的危废暂存间，定期由第三方有资质单位转运处置。</w:t>
            </w:r>
          </w:p>
          <w:p>
            <w:pPr>
              <w:numPr>
                <w:ilvl w:val="0"/>
                <w:numId w:val="0"/>
              </w:numPr>
              <w:spacing w:line="360" w:lineRule="auto"/>
              <w:ind w:leftChars="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 xml:space="preserve">    （3）项目实施的必要性</w:t>
            </w:r>
          </w:p>
          <w:p>
            <w:pPr>
              <w:numPr>
                <w:ilvl w:val="0"/>
                <w:numId w:val="0"/>
              </w:numPr>
              <w:spacing w:line="360" w:lineRule="auto"/>
              <w:ind w:leftChars="0" w:firstLine="480" w:firstLineChars="200"/>
              <w:rPr>
                <w:rFonts w:hint="default"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由于第三方有资质单位降低了危险废物的转运频次，现有的危险废物一定程度上产生贮存积压，危废暂存间贮存空间随之减小，为避免危险废物因贮存空间减小导致不同种类的危险废物接触，为满足危险废物贮存符合相关要求，同时根据《陕西省“十四五”生态环境保护规划》“提升危险废物收集处置与利用能力。强化危险废物全过程环境监管。深入开展危险废物规范化环境管理，完善危险废物重点监管单位清单。强化危险废物全过程环境监管”。因此，渭南高新区海泰新型电子材料有限责任公司决定依照相关规范要求再扩建一个危废暂存间，分担现有危废暂存间的贮存量。同时，《</w:t>
            </w:r>
            <w:r>
              <w:rPr>
                <w:rFonts w:hint="eastAsia"/>
                <w:color w:val="auto"/>
                <w:sz w:val="24"/>
                <w:szCs w:val="24"/>
                <w:lang w:val="en-US" w:eastAsia="zh-CN"/>
              </w:rPr>
              <w:t>危险废物贮存污染控制标准》（GB 18597-2023）和《危险废物识别标志设置技术规范 》（HJ 1276-2022）已颁布，</w:t>
            </w:r>
            <w:r>
              <w:rPr>
                <w:rFonts w:hint="eastAsia" w:cs="Times New Roman" w:eastAsiaTheme="minorEastAsia"/>
                <w:color w:val="auto"/>
                <w:kern w:val="0"/>
                <w:sz w:val="24"/>
                <w:szCs w:val="24"/>
                <w:lang w:val="en-US" w:eastAsia="zh-CN"/>
              </w:rPr>
              <w:t>在本次扩建过程中，针对现有危废暂存间存在的问题，为进一步满足“固液分离、分类贮存”的要求，</w:t>
            </w:r>
            <w:r>
              <w:rPr>
                <w:rFonts w:hint="eastAsia"/>
                <w:color w:val="auto"/>
                <w:sz w:val="24"/>
                <w:szCs w:val="24"/>
                <w:lang w:val="en-US" w:eastAsia="zh-CN"/>
              </w:rPr>
              <w:t>按照新的要求进行规范建设和完善。</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根据《中华人民共和国环境保护法》、《中华人民共和国环境影响评价法》、《建设项目环境影响评价分类管理名录》（2021年版）及其它相关环保法规及政策的要求，本项目属于其中“五十三、装卸搬运和仓储业 149危险品仓储594（不含加油站的油库；不含加气站的气库） 其他（含有毒、有害、危险品的仓储；含液化天然气库）”，应编制环境影响报告表。渭南高新区海泰新型电子材料有限责任公司委托我公司编制该项目环境影响报告表。我单位接受委托后，认真研究了该项目的有关资料，经环境影响识别和影响分析，并在此基础上根据国家相关的环保法律法规和相应的标准，编制了本环境影响评价报告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二、本次扩建危废暂存间</w:t>
            </w:r>
          </w:p>
          <w:p>
            <w:pPr>
              <w:numPr>
                <w:ilvl w:val="0"/>
                <w:numId w:val="0"/>
              </w:numPr>
              <w:spacing w:line="360" w:lineRule="auto"/>
              <w:ind w:firstLine="482"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1、</w:t>
            </w:r>
            <w:r>
              <w:rPr>
                <w:rFonts w:hint="default" w:ascii="Times New Roman" w:hAnsi="Times New Roman" w:eastAsia="宋体" w:cs="Times New Roman"/>
                <w:b/>
                <w:bCs w:val="0"/>
                <w:color w:val="auto"/>
                <w:sz w:val="24"/>
                <w:szCs w:val="24"/>
              </w:rPr>
              <w:t>项目基本情况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项目名称：</w:t>
            </w:r>
            <w:r>
              <w:rPr>
                <w:rFonts w:hint="default" w:ascii="Times New Roman" w:hAnsi="Times New Roman" w:eastAsia="宋体" w:cs="Times New Roman"/>
                <w:color w:val="auto"/>
                <w:sz w:val="24"/>
                <w:szCs w:val="24"/>
                <w:lang w:val="en-US" w:eastAsia="zh-CN"/>
              </w:rPr>
              <w:t>渭南高新区海泰新型电子材料有限责任公司危废暂存间建设项目</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r>
              <w:rPr>
                <w:rFonts w:hint="default" w:ascii="Times New Roman" w:hAnsi="Times New Roman" w:eastAsia="宋体" w:cs="Times New Roman"/>
                <w:color w:val="auto"/>
                <w:sz w:val="24"/>
                <w:szCs w:val="24"/>
                <w:lang w:val="en-US" w:eastAsia="zh-CN"/>
              </w:rPr>
              <w:t>渭南高新区海泰新型电子材料有限责任公司</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r>
              <w:rPr>
                <w:rFonts w:hint="eastAsia" w:cs="Times New Roman"/>
                <w:color w:val="auto"/>
                <w:sz w:val="24"/>
                <w:szCs w:val="24"/>
                <w:lang w:eastAsia="zh-CN"/>
              </w:rPr>
              <w:t>扩</w:t>
            </w:r>
            <w:r>
              <w:rPr>
                <w:rFonts w:hint="default" w:ascii="Times New Roman" w:hAnsi="Times New Roman" w:eastAsia="宋体" w:cs="Times New Roman"/>
                <w:color w:val="auto"/>
                <w:sz w:val="24"/>
                <w:szCs w:val="24"/>
              </w:rPr>
              <w:t>建</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占地面积：</w:t>
            </w:r>
            <w:r>
              <w:rPr>
                <w:rFonts w:hint="eastAsia" w:ascii="Times New Roman" w:hAnsi="Times New Roman" w:eastAsia="宋体" w:cs="Times New Roman"/>
                <w:color w:val="auto"/>
                <w:sz w:val="24"/>
                <w:szCs w:val="24"/>
                <w:lang w:val="en-US" w:eastAsia="zh-CN"/>
              </w:rPr>
              <w:t>83.</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项目投资：本项目总投资为</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万元，其中环保投资约</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万元，占总投资的</w:t>
            </w:r>
            <w:r>
              <w:rPr>
                <w:rFonts w:hint="eastAsia" w:cs="Times New Roman"/>
                <w:color w:val="auto"/>
                <w:sz w:val="24"/>
                <w:szCs w:val="24"/>
                <w:lang w:val="en-US" w:eastAsia="zh-CN"/>
              </w:rPr>
              <w:t>100</w:t>
            </w:r>
            <w:r>
              <w:rPr>
                <w:rFonts w:hint="default" w:ascii="Times New Roman" w:hAnsi="Times New Roman" w:eastAsia="宋体" w:cs="Times New Roman"/>
                <w:color w:val="auto"/>
                <w:sz w:val="24"/>
                <w:szCs w:val="24"/>
              </w:rPr>
              <w:t>%。</w:t>
            </w:r>
          </w:p>
          <w:p>
            <w:pPr>
              <w:keepNext w:val="0"/>
              <w:keepLines w:val="0"/>
              <w:pageBreakBefore w:val="0"/>
              <w:tabs>
                <w:tab w:val="center" w:pos="493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r>
              <w:rPr>
                <w:rFonts w:hint="default" w:ascii="Times New Roman" w:hAnsi="Times New Roman" w:eastAsia="宋体" w:cs="Times New Roman"/>
                <w:color w:val="auto"/>
                <w:sz w:val="24"/>
                <w:szCs w:val="24"/>
                <w:lang w:val="en-US" w:eastAsia="zh-CN"/>
              </w:rPr>
              <w:t>项目位于陕西省渭南市高新区朝阳大街和崇业路交口西南角，渭南高新区海泰新型电子材料有限责任公司现有厂区内，</w:t>
            </w:r>
            <w:r>
              <w:rPr>
                <w:rFonts w:hint="eastAsia" w:cs="Times New Roman"/>
                <w:color w:val="auto"/>
                <w:sz w:val="24"/>
                <w:szCs w:val="24"/>
                <w:lang w:val="en-US" w:eastAsia="zh-CN"/>
              </w:rPr>
              <w:t>紧邻现有危废暂存间东侧</w:t>
            </w:r>
            <w:r>
              <w:rPr>
                <w:rFonts w:hint="eastAsia" w:ascii="宋体" w:hAnsi="宋体"/>
                <w:color w:val="auto"/>
                <w:sz w:val="24"/>
                <w:lang w:val="en-US" w:eastAsia="zh-CN"/>
              </w:rPr>
              <w:t>，</w:t>
            </w:r>
            <w:r>
              <w:rPr>
                <w:rFonts w:hint="default" w:ascii="Times New Roman" w:hAnsi="Times New Roman" w:eastAsia="宋体"/>
                <w:color w:val="auto"/>
                <w:sz w:val="24"/>
                <w:lang w:val="en-US" w:eastAsia="zh-CN"/>
              </w:rPr>
              <w:t>中心地理坐标为</w:t>
            </w:r>
            <w:r>
              <w:rPr>
                <w:rFonts w:hint="eastAsia" w:ascii="Times New Roman" w:hAnsi="Times New Roman" w:eastAsia="宋体"/>
                <w:color w:val="auto"/>
                <w:sz w:val="24"/>
                <w:lang w:val="en-US" w:eastAsia="zh-CN"/>
              </w:rPr>
              <w:t>：109度25分16.871秒，34度29分37.870秒</w:t>
            </w:r>
            <w:r>
              <w:rPr>
                <w:rFonts w:hint="eastAsia"/>
                <w:color w:val="auto"/>
                <w:sz w:val="24"/>
                <w:lang w:val="en-US" w:eastAsia="zh-CN"/>
              </w:rPr>
              <w:t>。</w:t>
            </w:r>
            <w:r>
              <w:rPr>
                <w:rFonts w:hint="eastAsia" w:ascii="Times New Roman" w:hAnsi="Times New Roman" w:eastAsia="宋体"/>
                <w:color w:val="auto"/>
                <w:sz w:val="24"/>
                <w:lang w:val="en-US" w:eastAsia="zh-CN"/>
              </w:rPr>
              <w:t xml:space="preserve"> </w:t>
            </w:r>
            <w:r>
              <w:rPr>
                <w:rFonts w:hint="default" w:ascii="Times New Roman" w:hAnsi="Times New Roman" w:eastAsia="宋体" w:cs="Times New Roman"/>
                <w:color w:val="auto"/>
                <w:sz w:val="24"/>
                <w:szCs w:val="24"/>
              </w:rPr>
              <w:t>本项目具体地理位置</w:t>
            </w:r>
            <w:r>
              <w:rPr>
                <w:rFonts w:hint="eastAsia" w:cs="Times New Roman"/>
                <w:color w:val="auto"/>
                <w:sz w:val="24"/>
                <w:szCs w:val="24"/>
                <w:lang w:val="en-US" w:eastAsia="zh-CN"/>
              </w:rPr>
              <w:t>及平面布置图见附图</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b/>
                <w:bCs/>
                <w:color w:val="auto"/>
                <w:sz w:val="24"/>
                <w:szCs w:val="24"/>
                <w:lang w:val="en-US" w:eastAsia="zh-CN"/>
              </w:rPr>
            </w:pPr>
            <w:r>
              <w:rPr>
                <w:rFonts w:hint="eastAsia"/>
                <w:b/>
                <w:bCs/>
                <w:color w:val="auto"/>
                <w:sz w:val="24"/>
                <w:szCs w:val="24"/>
                <w:lang w:val="en-US" w:eastAsia="zh-CN"/>
              </w:rPr>
              <w:t>2、主要建设内容</w:t>
            </w:r>
          </w:p>
          <w:p>
            <w:pPr>
              <w:numPr>
                <w:ilvl w:val="0"/>
                <w:numId w:val="0"/>
              </w:numPr>
              <w:spacing w:line="360" w:lineRule="auto"/>
              <w:ind w:leftChars="0" w:firstLine="480" w:firstLineChars="200"/>
              <w:rPr>
                <w:rFonts w:hint="eastAsia"/>
                <w:color w:val="auto"/>
                <w:sz w:val="24"/>
                <w:szCs w:val="24"/>
              </w:rPr>
            </w:pPr>
            <w:r>
              <w:rPr>
                <w:rFonts w:hint="eastAsia"/>
                <w:color w:val="auto"/>
                <w:sz w:val="24"/>
                <w:szCs w:val="24"/>
                <w:lang w:eastAsia="zh-CN"/>
              </w:rPr>
              <w:t>由于</w:t>
            </w:r>
            <w:r>
              <w:rPr>
                <w:rFonts w:hint="eastAsia" w:cs="Times New Roman" w:eastAsiaTheme="minorEastAsia"/>
                <w:color w:val="auto"/>
                <w:kern w:val="0"/>
                <w:sz w:val="24"/>
                <w:szCs w:val="24"/>
                <w:lang w:val="en-US" w:eastAsia="zh-CN"/>
              </w:rPr>
              <w:t>现有的危险废物一定程度上存在贮存积压，危废暂存间贮存空间随之减小，为减轻现有危废暂存间贮存空间压力、避免危险废物因贮存空间减小导致不同种类的危险废物接触，</w:t>
            </w:r>
            <w:r>
              <w:rPr>
                <w:rFonts w:hint="eastAsia" w:cs="Times New Roman"/>
                <w:color w:val="auto"/>
                <w:sz w:val="24"/>
                <w:szCs w:val="24"/>
                <w:lang w:val="en-US" w:eastAsia="zh-CN"/>
              </w:rPr>
              <w:t>利用现有的储存间（紧邻现有危废暂存间东侧）进行改造，不新增工业占地</w:t>
            </w:r>
            <w:r>
              <w:rPr>
                <w:rFonts w:hint="eastAsia"/>
                <w:color w:val="auto"/>
                <w:sz w:val="24"/>
                <w:szCs w:val="24"/>
              </w:rPr>
              <w:t>。</w:t>
            </w:r>
          </w:p>
          <w:p>
            <w:pPr>
              <w:spacing w:line="360" w:lineRule="auto"/>
              <w:ind w:firstLine="480" w:firstLineChars="200"/>
              <w:rPr>
                <w:b/>
                <w:color w:val="auto"/>
                <w:sz w:val="24"/>
                <w:szCs w:val="24"/>
              </w:rPr>
            </w:pPr>
            <w:r>
              <w:rPr>
                <w:rFonts w:hint="eastAsia"/>
                <w:color w:val="auto"/>
                <w:sz w:val="24"/>
                <w:szCs w:val="24"/>
                <w:lang w:eastAsia="zh-CN"/>
              </w:rPr>
              <w:t>本次扩建的</w:t>
            </w:r>
            <w:r>
              <w:rPr>
                <w:rFonts w:hint="eastAsia"/>
                <w:color w:val="auto"/>
                <w:sz w:val="24"/>
                <w:szCs w:val="24"/>
                <w:lang w:val="en-US" w:eastAsia="zh-CN"/>
              </w:rPr>
              <w:t>危废暂存间占地面积约为83.5m</w:t>
            </w:r>
            <w:r>
              <w:rPr>
                <w:rFonts w:hint="eastAsia"/>
                <w:color w:val="auto"/>
                <w:sz w:val="24"/>
                <w:szCs w:val="24"/>
                <w:vertAlign w:val="superscript"/>
                <w:lang w:val="en-US" w:eastAsia="zh-CN"/>
              </w:rPr>
              <w:t>2</w:t>
            </w:r>
            <w:r>
              <w:rPr>
                <w:rFonts w:hint="eastAsia"/>
                <w:color w:val="auto"/>
                <w:sz w:val="24"/>
                <w:szCs w:val="24"/>
                <w:lang w:val="en-US" w:eastAsia="zh-CN"/>
              </w:rPr>
              <w:t>，主要贮存固态危险废物，设置集气罩和引风管道，将产生的废气引入（依托）现有危废暂存间的废气处理设施进行处理：经活性炭吸附装置处理，由17m高排气筒排放。严格按照《危险废物贮存污染控制标准》（GB 18597-2023）相关规定进行建设。</w:t>
            </w:r>
            <w:r>
              <w:rPr>
                <w:color w:val="auto"/>
                <w:sz w:val="24"/>
                <w:szCs w:val="24"/>
              </w:rPr>
              <w:t>项目建设内容</w:t>
            </w:r>
            <w:r>
              <w:rPr>
                <w:bCs/>
                <w:color w:val="auto"/>
                <w:sz w:val="24"/>
                <w:szCs w:val="24"/>
              </w:rPr>
              <w:t>详见表</w:t>
            </w:r>
            <w:r>
              <w:rPr>
                <w:rFonts w:hint="eastAsia"/>
                <w:bCs/>
                <w:color w:val="auto"/>
                <w:sz w:val="24"/>
                <w:szCs w:val="24"/>
              </w:rPr>
              <w:t>2-</w:t>
            </w:r>
            <w:r>
              <w:rPr>
                <w:rFonts w:hint="eastAsia"/>
                <w:bCs/>
                <w:color w:val="auto"/>
                <w:sz w:val="24"/>
                <w:szCs w:val="24"/>
                <w:lang w:val="en-US" w:eastAsia="zh-CN"/>
              </w:rPr>
              <w:t>1</w:t>
            </w:r>
            <w:r>
              <w:rPr>
                <w:bCs/>
                <w:color w:val="auto"/>
                <w:sz w:val="24"/>
                <w:szCs w:val="24"/>
              </w:rPr>
              <w:t>。</w:t>
            </w:r>
          </w:p>
          <w:p>
            <w:pPr>
              <w:spacing w:line="360" w:lineRule="auto"/>
              <w:jc w:val="center"/>
              <w:rPr>
                <w:rFonts w:hint="eastAsia"/>
                <w:b/>
                <w:color w:val="auto"/>
                <w:sz w:val="24"/>
                <w:szCs w:val="24"/>
                <w:lang w:val="en-US" w:eastAsia="zh-CN"/>
              </w:rPr>
            </w:pPr>
            <w:r>
              <w:rPr>
                <w:b/>
                <w:color w:val="auto"/>
                <w:sz w:val="24"/>
                <w:szCs w:val="24"/>
              </w:rPr>
              <w:t>表</w:t>
            </w:r>
            <w:r>
              <w:rPr>
                <w:rFonts w:hint="eastAsia"/>
                <w:b/>
                <w:color w:val="auto"/>
                <w:sz w:val="24"/>
                <w:szCs w:val="24"/>
              </w:rPr>
              <w:t>2-</w:t>
            </w:r>
            <w:r>
              <w:rPr>
                <w:rFonts w:hint="eastAsia"/>
                <w:b/>
                <w:color w:val="auto"/>
                <w:sz w:val="24"/>
                <w:szCs w:val="24"/>
                <w:lang w:val="en-US" w:eastAsia="zh-CN"/>
              </w:rPr>
              <w:t>1  项目组成及主要建设内容一览表</w:t>
            </w:r>
          </w:p>
          <w:tbl>
            <w:tblPr>
              <w:tblStyle w:val="3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8"/>
              <w:gridCol w:w="1427"/>
              <w:gridCol w:w="62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类别</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名称</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工程内容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主体工程</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危废暂存区</w:t>
                  </w:r>
                </w:p>
              </w:tc>
              <w:tc>
                <w:tcPr>
                  <w:tcW w:w="3693"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本次扩建危废暂存间</w:t>
                  </w:r>
                  <w:r>
                    <w:rPr>
                      <w:rFonts w:hint="eastAsia" w:ascii="Times New Roman" w:hAnsi="Times New Roman" w:eastAsia="宋体" w:cs="Times New Roman"/>
                      <w:color w:val="auto"/>
                      <w:sz w:val="21"/>
                      <w:szCs w:val="21"/>
                      <w:lang w:val="en-US" w:eastAsia="zh-CN"/>
                    </w:rPr>
                    <w:t>占地面积为83.</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各类型危险废物贮存区</w:t>
                  </w:r>
                  <w:r>
                    <w:rPr>
                      <w:rFonts w:hint="eastAsia"/>
                      <w:color w:val="auto"/>
                      <w:sz w:val="21"/>
                    </w:rPr>
                    <w:t>布设导流槽</w:t>
                  </w:r>
                  <w:r>
                    <w:rPr>
                      <w:rFonts w:hint="eastAsia"/>
                      <w:color w:val="auto"/>
                      <w:sz w:val="21"/>
                      <w:lang w:eastAsia="zh-CN"/>
                    </w:rPr>
                    <w:t>。扩建完成后，现有危废暂存间和扩建危废暂存间总面积</w:t>
                  </w:r>
                  <w:r>
                    <w:rPr>
                      <w:rFonts w:hint="eastAsia"/>
                      <w:color w:val="auto"/>
                      <w:sz w:val="21"/>
                      <w:lang w:val="en-US" w:eastAsia="zh-CN"/>
                    </w:rPr>
                    <w:t>128m</w:t>
                  </w:r>
                  <w:r>
                    <w:rPr>
                      <w:rFonts w:hint="eastAsia"/>
                      <w:color w:val="auto"/>
                      <w:sz w:val="21"/>
                      <w:vertAlign w:val="superscript"/>
                      <w:lang w:val="en-US" w:eastAsia="zh-CN"/>
                    </w:rPr>
                    <w:t>2</w:t>
                  </w:r>
                  <w:r>
                    <w:rPr>
                      <w:rFonts w:hint="eastAsia"/>
                      <w:color w:val="auto"/>
                      <w:sz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公用工程</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供电系统</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利用公司现有供电系统电源供电。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457" w:type="pct"/>
                  <w:vMerge w:val="restar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环保工程</w:t>
                  </w:r>
                </w:p>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 </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本次扩建危废暂存间</w:t>
                  </w:r>
                  <w:r>
                    <w:rPr>
                      <w:rFonts w:hint="default" w:ascii="Times New Roman" w:hAnsi="Times New Roman" w:eastAsia="宋体" w:cs="Times New Roman"/>
                      <w:color w:val="auto"/>
                      <w:kern w:val="2"/>
                      <w:sz w:val="21"/>
                      <w:szCs w:val="21"/>
                    </w:rPr>
                    <w:t>产生</w:t>
                  </w:r>
                  <w:r>
                    <w:rPr>
                      <w:rFonts w:hint="eastAsia" w:ascii="Times New Roman" w:hAnsi="Times New Roman" w:eastAsia="宋体" w:cs="Times New Roman"/>
                      <w:color w:val="auto"/>
                      <w:kern w:val="2"/>
                      <w:sz w:val="21"/>
                      <w:szCs w:val="21"/>
                      <w:lang w:eastAsia="zh-CN"/>
                    </w:rPr>
                    <w:t>非甲烷总烃、甲苯、甲醇等</w:t>
                  </w:r>
                  <w:r>
                    <w:rPr>
                      <w:rFonts w:hint="default" w:ascii="Times New Roman" w:hAnsi="Times New Roman" w:eastAsia="宋体" w:cs="Times New Roman"/>
                      <w:color w:val="auto"/>
                      <w:kern w:val="2"/>
                      <w:sz w:val="21"/>
                      <w:szCs w:val="21"/>
                    </w:rPr>
                    <w:t>挥发性有机物，</w:t>
                  </w:r>
                  <w:r>
                    <w:rPr>
                      <w:rFonts w:hint="eastAsia" w:ascii="Times New Roman" w:hAnsi="Times New Roman" w:eastAsia="宋体" w:cs="Times New Roman"/>
                      <w:color w:val="auto"/>
                      <w:kern w:val="2"/>
                      <w:sz w:val="21"/>
                      <w:szCs w:val="21"/>
                      <w:lang w:eastAsia="zh-CN"/>
                    </w:rPr>
                    <w:t>设置集气罩和引风管道等收集设施，之后引入（依托）现有危废暂存间的废气处理设施进行处理：</w:t>
                  </w:r>
                  <w:r>
                    <w:rPr>
                      <w:rFonts w:hint="default" w:ascii="Times New Roman" w:hAnsi="Times New Roman" w:eastAsia="宋体" w:cs="Times New Roman"/>
                      <w:color w:val="auto"/>
                      <w:kern w:val="2"/>
                      <w:sz w:val="21"/>
                      <w:szCs w:val="21"/>
                      <w:lang w:val="en-US" w:eastAsia="zh-CN"/>
                    </w:rPr>
                    <w:t>经</w:t>
                  </w:r>
                  <w:r>
                    <w:rPr>
                      <w:rFonts w:hint="default" w:ascii="Times New Roman" w:hAnsi="Times New Roman" w:eastAsia="宋体" w:cs="Times New Roman"/>
                      <w:color w:val="auto"/>
                      <w:kern w:val="2"/>
                      <w:sz w:val="21"/>
                      <w:szCs w:val="21"/>
                    </w:rPr>
                    <w:t>活性炭吸附</w:t>
                  </w:r>
                  <w:r>
                    <w:rPr>
                      <w:rFonts w:hint="eastAsia" w:ascii="Times New Roman" w:hAnsi="Times New Roman" w:eastAsia="宋体" w:cs="Times New Roman"/>
                      <w:color w:val="auto"/>
                      <w:kern w:val="2"/>
                      <w:sz w:val="21"/>
                      <w:szCs w:val="21"/>
                      <w:lang w:eastAsia="zh-CN"/>
                    </w:rPr>
                    <w:t>装置处理</w:t>
                  </w:r>
                  <w:r>
                    <w:rPr>
                      <w:rFonts w:hint="default" w:ascii="Times New Roman" w:hAnsi="Times New Roman" w:eastAsia="宋体" w:cs="Times New Roman"/>
                      <w:color w:val="auto"/>
                      <w:kern w:val="2"/>
                      <w:sz w:val="21"/>
                      <w:szCs w:val="21"/>
                    </w:rPr>
                    <w:t>，由</w:t>
                  </w:r>
                  <w:r>
                    <w:rPr>
                      <w:rFonts w:hint="eastAsia" w:ascii="Times New Roman" w:hAnsi="Times New Roman" w:eastAsia="宋体" w:cs="Times New Roman"/>
                      <w:color w:val="auto"/>
                      <w:kern w:val="2"/>
                      <w:sz w:val="21"/>
                      <w:szCs w:val="21"/>
                      <w:lang w:val="en-US" w:eastAsia="zh-CN"/>
                    </w:rPr>
                    <w:t>17</w:t>
                  </w:r>
                  <w:r>
                    <w:rPr>
                      <w:rFonts w:hint="default" w:ascii="Times New Roman" w:hAnsi="Times New Roman" w:eastAsia="宋体" w:cs="Times New Roman"/>
                      <w:color w:val="auto"/>
                      <w:kern w:val="2"/>
                      <w:sz w:val="21"/>
                      <w:szCs w:val="21"/>
                    </w:rPr>
                    <w:t>m高排气筒排放</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eastAsia" w:ascii="Times New Roman" w:hAnsi="Times New Roman" w:eastAsia="宋体" w:cs="Times New Roman"/>
                      <w:color w:val="auto"/>
                      <w:kern w:val="2"/>
                      <w:sz w:val="21"/>
                      <w:szCs w:val="21"/>
                      <w:lang w:val="en-US" w:eastAsia="zh-CN" w:bidi="ar-SA"/>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tabs>
                      <w:tab w:val="left" w:pos="3255"/>
                    </w:tabs>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供水</w:t>
                  </w:r>
                </w:p>
              </w:tc>
              <w:tc>
                <w:tcPr>
                  <w:tcW w:w="3693" w:type="pct"/>
                  <w:tcBorders>
                    <w:tl2br w:val="nil"/>
                    <w:tr2bl w:val="nil"/>
                  </w:tcBorders>
                  <w:noWrap w:val="0"/>
                  <w:vAlign w:val="center"/>
                </w:tcPr>
                <w:p>
                  <w:pPr>
                    <w:tabs>
                      <w:tab w:val="left" w:pos="3255"/>
                    </w:tabs>
                    <w:rPr>
                      <w:rFonts w:hint="eastAsia" w:ascii="Times New Roman" w:hAnsi="Times New Roman" w:eastAsia="宋体" w:cs="Times New Roman"/>
                      <w:color w:val="auto"/>
                      <w:kern w:val="2"/>
                      <w:sz w:val="21"/>
                      <w:szCs w:val="21"/>
                      <w:lang w:val="en-US" w:eastAsia="zh-CN" w:bidi="ar-SA"/>
                    </w:rPr>
                  </w:pPr>
                  <w:r>
                    <w:rPr>
                      <w:rFonts w:hint="eastAsia"/>
                      <w:color w:val="auto"/>
                    </w:rPr>
                    <w:t>本项目不新增劳动定员，不新增生活用水；本项目仅涉及危险废物暂存，无生产用水。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危险废物</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lang w:val="en" w:eastAsia="zh-CN" w:bidi="ar-SA"/>
                    </w:rPr>
                  </w:pPr>
                  <w:r>
                    <w:rPr>
                      <w:rFonts w:hint="eastAsia" w:ascii="Times New Roman" w:hAnsi="Times New Roman" w:eastAsia="宋体" w:cs="Times New Roman"/>
                      <w:color w:val="auto"/>
                      <w:kern w:val="2"/>
                      <w:sz w:val="21"/>
                      <w:szCs w:val="21"/>
                      <w:lang w:val="en-US" w:eastAsia="zh-CN" w:bidi="ar-SA"/>
                    </w:rPr>
                    <w:t>危险废物收集后分类收集、分区贮存于危废暂存间，定期交由有资质单位处理；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防渗</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rPr>
                    <w:t>危废间</w:t>
                  </w:r>
                  <w:r>
                    <w:rPr>
                      <w:rFonts w:hint="default" w:ascii="Times New Roman" w:hAnsi="Times New Roman" w:eastAsia="宋体" w:cs="Times New Roman"/>
                      <w:color w:val="auto"/>
                      <w:sz w:val="21"/>
                      <w:szCs w:val="21"/>
                    </w:rPr>
                    <w:t>建设</w:t>
                  </w:r>
                  <w:r>
                    <w:rPr>
                      <w:rFonts w:hint="eastAsia" w:ascii="Times New Roman" w:hAnsi="Times New Roman" w:eastAsia="宋体" w:cs="Times New Roman"/>
                      <w:color w:val="auto"/>
                      <w:kern w:val="2"/>
                      <w:sz w:val="21"/>
                      <w:szCs w:val="21"/>
                      <w:lang w:val="en-US" w:eastAsia="zh-CN" w:bidi="ar-SA"/>
                    </w:rPr>
                    <w:t>各类危险废物独立区域</w:t>
                  </w:r>
                  <w:r>
                    <w:rPr>
                      <w:rFonts w:hint="default" w:ascii="Times New Roman" w:hAnsi="Times New Roman" w:eastAsia="宋体" w:cs="Times New Roman"/>
                      <w:color w:val="auto"/>
                      <w:kern w:val="2"/>
                      <w:sz w:val="21"/>
                      <w:szCs w:val="21"/>
                      <w:lang w:val="en-US" w:eastAsia="zh-CN" w:bidi="ar-SA"/>
                    </w:rPr>
                    <w:t>分别</w:t>
                  </w:r>
                  <w:r>
                    <w:rPr>
                      <w:rFonts w:hint="eastAsia" w:ascii="Times New Roman" w:hAnsi="Times New Roman" w:eastAsia="宋体" w:cs="Times New Roman"/>
                      <w:color w:val="auto"/>
                      <w:kern w:val="2"/>
                      <w:sz w:val="21"/>
                      <w:szCs w:val="21"/>
                      <w:lang w:val="en-US" w:eastAsia="zh-CN" w:bidi="ar-SA"/>
                    </w:rPr>
                    <w:t>设置</w:t>
                  </w:r>
                  <w:r>
                    <w:rPr>
                      <w:rFonts w:hint="default" w:ascii="Times New Roman" w:hAnsi="Times New Roman" w:eastAsia="宋体" w:cs="Times New Roman"/>
                      <w:color w:val="auto"/>
                      <w:kern w:val="2"/>
                      <w:sz w:val="21"/>
                      <w:szCs w:val="21"/>
                      <w:lang w:val="en-US" w:eastAsia="zh-CN" w:bidi="ar-SA"/>
                    </w:rPr>
                    <w:t>防渗托盘，托盘或格栅与箱体密封底之间形成最低15</w:t>
                  </w:r>
                  <w:r>
                    <w:rPr>
                      <w:rFonts w:hint="eastAsia" w:ascii="Times New Roman" w:hAnsi="Times New Roman" w:eastAsia="宋体" w:cs="Times New Roman"/>
                      <w:color w:val="auto"/>
                      <w:kern w:val="2"/>
                      <w:sz w:val="21"/>
                      <w:szCs w:val="21"/>
                      <w:lang w:val="en-US" w:eastAsia="zh-CN" w:bidi="ar-SA"/>
                    </w:rPr>
                    <w:t>cm</w:t>
                  </w:r>
                  <w:r>
                    <w:rPr>
                      <w:rFonts w:hint="default" w:ascii="Times New Roman" w:hAnsi="Times New Roman" w:eastAsia="宋体" w:cs="Times New Roman"/>
                      <w:color w:val="auto"/>
                      <w:kern w:val="2"/>
                      <w:sz w:val="21"/>
                      <w:szCs w:val="21"/>
                      <w:lang w:val="en-US" w:eastAsia="zh-CN" w:bidi="ar-SA"/>
                    </w:rPr>
                    <w:t>高度的裙脚防渗槽</w:t>
                  </w:r>
                  <w:r>
                    <w:rPr>
                      <w:rFonts w:hint="eastAsia" w:ascii="Times New Roman" w:hAnsi="Times New Roman" w:eastAsia="宋体" w:cs="Times New Roman"/>
                      <w:color w:val="auto"/>
                      <w:kern w:val="2"/>
                      <w:sz w:val="21"/>
                      <w:szCs w:val="21"/>
                      <w:lang w:val="en-US" w:eastAsia="zh-CN" w:bidi="ar-SA"/>
                    </w:rPr>
                    <w:t>。按照《危险废物贮存污染控制标准》（GB18597-2023）要求进行防渗，危废间房地面硬化、耐腐蚀、防渗漏，且表面无裂隙，危废间地面防渗采用</w:t>
                  </w:r>
                  <w:r>
                    <w:rPr>
                      <w:rFonts w:hint="default" w:ascii="Times New Roman" w:hAnsi="Times New Roman" w:eastAsia="宋体" w:cs="Times New Roman"/>
                      <w:color w:val="auto"/>
                      <w:sz w:val="21"/>
                      <w:szCs w:val="21"/>
                      <w:highlight w:val="none"/>
                      <w:lang w:val="en-US" w:eastAsia="zh-CN"/>
                    </w:rPr>
                    <w:t>2mm厚的HDPE土工膜+水泥抹面保护层，</w:t>
                  </w:r>
                  <w:r>
                    <w:rPr>
                      <w:rFonts w:hint="default" w:ascii="Times New Roman" w:hAnsi="Times New Roman" w:eastAsia="宋体" w:cs="Times New Roman"/>
                      <w:color w:val="auto"/>
                      <w:sz w:val="21"/>
                      <w:szCs w:val="21"/>
                      <w:highlight w:val="none"/>
                    </w:rPr>
                    <w:t>渗透系数≤1.0×10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kern w:val="2"/>
                      <w:sz w:val="21"/>
                      <w:szCs w:val="21"/>
                      <w:lang w:val="en-US" w:eastAsia="zh-CN" w:bidi="ar-SA"/>
                    </w:rPr>
                    <w:t>设置导流槽。</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b/>
                <w:bCs/>
                <w:color w:val="auto"/>
                <w:sz w:val="24"/>
                <w:szCs w:val="24"/>
              </w:rPr>
            </w:pPr>
            <w:r>
              <w:rPr>
                <w:rFonts w:hint="eastAsia"/>
                <w:b/>
                <w:bCs/>
                <w:color w:val="auto"/>
                <w:sz w:val="24"/>
                <w:szCs w:val="24"/>
                <w:lang w:val="en-US" w:eastAsia="zh-CN"/>
              </w:rPr>
              <w:t>3、</w:t>
            </w:r>
            <w:r>
              <w:rPr>
                <w:rFonts w:hint="eastAsia"/>
                <w:b/>
                <w:bCs/>
                <w:color w:val="auto"/>
                <w:sz w:val="24"/>
                <w:szCs w:val="24"/>
              </w:rPr>
              <w:t>主要设备</w:t>
            </w:r>
          </w:p>
          <w:p>
            <w:pPr>
              <w:numPr>
                <w:ilvl w:val="0"/>
                <w:numId w:val="0"/>
              </w:numPr>
              <w:spacing w:line="360" w:lineRule="auto"/>
              <w:ind w:firstLine="480" w:firstLineChars="200"/>
              <w:rPr>
                <w:rFonts w:hint="eastAsia"/>
                <w:b/>
                <w:color w:val="auto"/>
                <w:sz w:val="24"/>
                <w:szCs w:val="24"/>
              </w:rPr>
            </w:pPr>
            <w:r>
              <w:rPr>
                <w:rFonts w:hint="eastAsia"/>
                <w:color w:val="auto"/>
                <w:sz w:val="24"/>
                <w:szCs w:val="24"/>
              </w:rPr>
              <w:t>本</w:t>
            </w:r>
            <w:r>
              <w:rPr>
                <w:rFonts w:hint="eastAsia"/>
                <w:color w:val="auto"/>
                <w:sz w:val="24"/>
                <w:szCs w:val="24"/>
                <w:lang w:eastAsia="zh-CN"/>
              </w:rPr>
              <w:t>次扩建危废暂存间</w:t>
            </w:r>
            <w:r>
              <w:rPr>
                <w:rFonts w:hint="eastAsia"/>
                <w:color w:val="auto"/>
                <w:sz w:val="24"/>
                <w:szCs w:val="24"/>
              </w:rPr>
              <w:t>主要设备</w:t>
            </w:r>
            <w:r>
              <w:rPr>
                <w:rFonts w:hint="eastAsia"/>
                <w:color w:val="auto"/>
                <w:sz w:val="24"/>
                <w:szCs w:val="24"/>
                <w:lang w:eastAsia="zh-CN"/>
              </w:rPr>
              <w:t>（设施）</w:t>
            </w:r>
            <w:r>
              <w:rPr>
                <w:rFonts w:hint="eastAsia"/>
                <w:color w:val="auto"/>
                <w:sz w:val="24"/>
                <w:szCs w:val="24"/>
              </w:rPr>
              <w:t>清单见下表2-</w:t>
            </w:r>
            <w:r>
              <w:rPr>
                <w:rFonts w:hint="eastAsia"/>
                <w:color w:val="auto"/>
                <w:sz w:val="24"/>
                <w:szCs w:val="24"/>
                <w:lang w:val="en-US" w:eastAsia="zh-CN"/>
              </w:rPr>
              <w:t>2</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rPr>
            </w:pPr>
            <w:r>
              <w:rPr>
                <w:rFonts w:hint="eastAsia"/>
                <w:b/>
                <w:color w:val="auto"/>
                <w:sz w:val="24"/>
                <w:szCs w:val="24"/>
              </w:rPr>
              <w:t>表2-</w:t>
            </w:r>
            <w:r>
              <w:rPr>
                <w:rFonts w:hint="eastAsia"/>
                <w:b/>
                <w:color w:val="auto"/>
                <w:sz w:val="24"/>
                <w:szCs w:val="24"/>
                <w:lang w:val="en-US" w:eastAsia="zh-CN"/>
              </w:rPr>
              <w:t>2</w:t>
            </w:r>
            <w:r>
              <w:rPr>
                <w:rFonts w:hint="eastAsia"/>
                <w:b/>
                <w:color w:val="auto"/>
                <w:sz w:val="24"/>
                <w:szCs w:val="24"/>
              </w:rPr>
              <w:t xml:space="preserve"> 主要设备</w:t>
            </w:r>
            <w:r>
              <w:rPr>
                <w:rFonts w:hint="eastAsia"/>
                <w:b/>
                <w:color w:val="auto"/>
                <w:sz w:val="24"/>
                <w:szCs w:val="24"/>
                <w:lang w:eastAsia="zh-CN"/>
              </w:rPr>
              <w:t>（设施）</w:t>
            </w:r>
            <w:r>
              <w:rPr>
                <w:rFonts w:hint="eastAsia"/>
                <w:b/>
                <w:color w:val="auto"/>
                <w:sz w:val="24"/>
                <w:szCs w:val="24"/>
              </w:rPr>
              <w:t>清单</w:t>
            </w:r>
          </w:p>
          <w:tbl>
            <w:tblPr>
              <w:tblStyle w:val="31"/>
              <w:tblW w:w="5007"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79"/>
              <w:gridCol w:w="3462"/>
              <w:gridCol w:w="1470"/>
              <w:gridCol w:w="23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7"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序号</w:t>
                  </w:r>
                </w:p>
              </w:tc>
              <w:tc>
                <w:tcPr>
                  <w:tcW w:w="205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设备名称</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数量</w:t>
                  </w:r>
                </w:p>
              </w:tc>
              <w:tc>
                <w:tcPr>
                  <w:tcW w:w="1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b/>
                      <w:bCs/>
                      <w:color w:val="auto"/>
                      <w:sz w:val="21"/>
                      <w:szCs w:val="21"/>
                      <w:lang w:eastAsia="zh-CN"/>
                    </w:rPr>
                  </w:pPr>
                  <w:r>
                    <w:rPr>
                      <w:rFonts w:hint="eastAsia"/>
                      <w:b/>
                      <w:bCs/>
                      <w:color w:val="auto"/>
                      <w:sz w:val="21"/>
                      <w:szCs w:val="21"/>
                      <w:lang w:val="en-US" w:eastAsia="zh-CN"/>
                    </w:rPr>
                    <w:t xml:space="preserve">备注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eastAsia="宋体"/>
                      <w:color w:val="auto"/>
                      <w:sz w:val="21"/>
                      <w:szCs w:val="21"/>
                      <w:lang w:val="en-US" w:eastAsia="zh-CN"/>
                    </w:rPr>
                  </w:pPr>
                  <w:r>
                    <w:rPr>
                      <w:rFonts w:hint="eastAsia"/>
                      <w:color w:val="auto"/>
                      <w:sz w:val="21"/>
                      <w:szCs w:val="21"/>
                      <w:lang w:val="en-US" w:eastAsia="zh-CN"/>
                    </w:rPr>
                    <w:t>1</w:t>
                  </w:r>
                </w:p>
              </w:tc>
              <w:tc>
                <w:tcPr>
                  <w:tcW w:w="2056"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ascii="宋体" w:eastAsia="宋体"/>
                      <w:color w:val="auto"/>
                      <w:sz w:val="21"/>
                      <w:szCs w:val="21"/>
                    </w:rPr>
                  </w:pPr>
                  <w:r>
                    <w:rPr>
                      <w:rFonts w:hint="eastAsia"/>
                      <w:color w:val="auto"/>
                      <w:szCs w:val="21"/>
                      <w:lang w:val="en-US" w:eastAsia="zh-CN"/>
                    </w:rPr>
                    <w:t>集气罩</w:t>
                  </w:r>
                </w:p>
              </w:tc>
              <w:tc>
                <w:tcPr>
                  <w:tcW w:w="873"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eastAsia" w:eastAsia="宋体"/>
                      <w:color w:val="auto"/>
                      <w:sz w:val="21"/>
                      <w:szCs w:val="21"/>
                      <w:lang w:eastAsia="zh-CN"/>
                    </w:rPr>
                  </w:pPr>
                  <w:r>
                    <w:rPr>
                      <w:rFonts w:hint="eastAsia"/>
                      <w:color w:val="auto"/>
                      <w:sz w:val="21"/>
                      <w:szCs w:val="21"/>
                      <w:lang w:val="en-US" w:eastAsia="zh-CN"/>
                    </w:rPr>
                    <w:t>6套</w:t>
                  </w:r>
                </w:p>
              </w:tc>
              <w:tc>
                <w:tcPr>
                  <w:tcW w:w="1369"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color w:val="auto"/>
                      <w:sz w:val="21"/>
                      <w:szCs w:val="21"/>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color w:val="auto"/>
                      <w:sz w:val="21"/>
                      <w:szCs w:val="21"/>
                      <w:lang w:val="en-US" w:eastAsia="zh-CN"/>
                    </w:rPr>
                  </w:pPr>
                  <w:r>
                    <w:rPr>
                      <w:rFonts w:hint="eastAsia"/>
                      <w:color w:val="auto"/>
                      <w:sz w:val="21"/>
                      <w:szCs w:val="21"/>
                      <w:lang w:val="en-US" w:eastAsia="zh-CN"/>
                    </w:rPr>
                    <w:t>2</w:t>
                  </w:r>
                </w:p>
              </w:tc>
              <w:tc>
                <w:tcPr>
                  <w:tcW w:w="3462" w:type="dxa"/>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eastAsia"/>
                      <w:color w:val="auto"/>
                      <w:szCs w:val="21"/>
                      <w:lang w:val="en-US" w:eastAsia="zh-CN"/>
                    </w:rPr>
                  </w:pPr>
                  <w:r>
                    <w:rPr>
                      <w:rFonts w:hint="eastAsia"/>
                      <w:color w:val="auto"/>
                      <w:szCs w:val="21"/>
                      <w:lang w:val="en-US" w:eastAsia="zh-CN"/>
                    </w:rPr>
                    <w:t>打包机</w:t>
                  </w:r>
                </w:p>
              </w:tc>
              <w:tc>
                <w:tcPr>
                  <w:tcW w:w="1470" w:type="dxa"/>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1台</w:t>
                  </w:r>
                </w:p>
              </w:tc>
              <w:tc>
                <w:tcPr>
                  <w:tcW w:w="1369"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color w:val="auto"/>
                      <w:sz w:val="21"/>
                      <w:szCs w:val="21"/>
                      <w:lang w:val="en-US"/>
                    </w:rPr>
                  </w:pPr>
                </w:p>
              </w:tc>
            </w:tr>
          </w:tbl>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ind w:firstLine="482" w:firstLineChars="200"/>
              <w:jc w:val="lef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4、危废贮存方案</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本</w:t>
            </w:r>
            <w:r>
              <w:rPr>
                <w:rFonts w:hint="eastAsia"/>
                <w:color w:val="auto"/>
                <w:sz w:val="24"/>
                <w:szCs w:val="24"/>
                <w:highlight w:val="none"/>
                <w:lang w:eastAsia="zh-CN"/>
              </w:rPr>
              <w:t>次扩建危废暂存间</w:t>
            </w:r>
            <w:r>
              <w:rPr>
                <w:rFonts w:hint="eastAsia"/>
                <w:color w:val="auto"/>
                <w:sz w:val="24"/>
                <w:szCs w:val="24"/>
                <w:highlight w:val="none"/>
                <w:lang w:val="en-US" w:eastAsia="zh-CN"/>
              </w:rPr>
              <w:t>主要将现有危废暂存间贮存的固态危险废物</w:t>
            </w:r>
            <w:r>
              <w:rPr>
                <w:rFonts w:hint="eastAsia"/>
                <w:color w:val="auto"/>
                <w:sz w:val="24"/>
                <w:szCs w:val="24"/>
                <w:highlight w:val="none"/>
                <w:lang w:eastAsia="zh-CN"/>
              </w:rPr>
              <w:t>转移至本次扩建的危废暂存间中贮存，分担</w:t>
            </w:r>
            <w:r>
              <w:rPr>
                <w:rFonts w:hint="eastAsia" w:cs="Times New Roman" w:eastAsiaTheme="minorEastAsia"/>
                <w:color w:val="auto"/>
                <w:kern w:val="0"/>
                <w:sz w:val="24"/>
                <w:szCs w:val="24"/>
                <w:highlight w:val="none"/>
                <w:lang w:val="en-US" w:eastAsia="zh-CN"/>
              </w:rPr>
              <w:t>现有危废暂存间贮存空间压力、避免危险废物因贮存空间减小导致不同种类的危险废物接触</w:t>
            </w:r>
            <w:r>
              <w:rPr>
                <w:rFonts w:hint="eastAsia"/>
                <w:color w:val="auto"/>
                <w:sz w:val="24"/>
                <w:szCs w:val="24"/>
                <w:highlight w:val="none"/>
              </w:rPr>
              <w:t>。</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本次扩建危废暂存间危险废物贮存情况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扩建危废暂存间贮存的固态危险废物贮存情况见表2-3。</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lang w:val="en-US" w:eastAsia="zh-CN"/>
              </w:rPr>
            </w:pPr>
            <w:r>
              <w:rPr>
                <w:rFonts w:hint="eastAsia"/>
                <w:b/>
                <w:color w:val="auto"/>
                <w:sz w:val="24"/>
                <w:szCs w:val="24"/>
                <w:highlight w:val="none"/>
              </w:rPr>
              <w:t>表2-</w:t>
            </w:r>
            <w:r>
              <w:rPr>
                <w:rFonts w:hint="eastAsia"/>
                <w:b/>
                <w:color w:val="auto"/>
                <w:sz w:val="24"/>
                <w:szCs w:val="24"/>
                <w:highlight w:val="none"/>
                <w:lang w:val="en-US" w:eastAsia="zh-CN"/>
              </w:rPr>
              <w:t>3</w:t>
            </w:r>
            <w:r>
              <w:rPr>
                <w:rFonts w:hint="eastAsia"/>
                <w:b/>
                <w:color w:val="auto"/>
                <w:sz w:val="24"/>
                <w:szCs w:val="24"/>
                <w:highlight w:val="none"/>
              </w:rPr>
              <w:t xml:space="preserve"> </w:t>
            </w:r>
            <w:r>
              <w:rPr>
                <w:rFonts w:hint="eastAsia"/>
                <w:b/>
                <w:color w:val="auto"/>
                <w:sz w:val="24"/>
                <w:szCs w:val="24"/>
                <w:highlight w:val="none"/>
                <w:lang w:eastAsia="zh-CN"/>
              </w:rPr>
              <w:t>扩建危废暂存间的</w:t>
            </w:r>
            <w:r>
              <w:rPr>
                <w:rFonts w:hint="eastAsia"/>
                <w:b/>
                <w:color w:val="auto"/>
                <w:sz w:val="24"/>
                <w:szCs w:val="24"/>
                <w:highlight w:val="none"/>
                <w:lang w:val="en-US" w:eastAsia="zh-CN"/>
              </w:rPr>
              <w:t>危险废物贮存情况</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530"/>
              <w:gridCol w:w="638"/>
              <w:gridCol w:w="1033"/>
              <w:gridCol w:w="690"/>
              <w:gridCol w:w="372"/>
              <w:gridCol w:w="480"/>
              <w:gridCol w:w="729"/>
              <w:gridCol w:w="379"/>
              <w:gridCol w:w="692"/>
              <w:gridCol w:w="663"/>
              <w:gridCol w:w="1301"/>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序号</w:t>
                  </w:r>
                </w:p>
              </w:tc>
              <w:tc>
                <w:tcPr>
                  <w:tcW w:w="2884" w:type="pct"/>
                  <w:gridSpan w:val="8"/>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贮存</w:t>
                  </w:r>
                  <w:r>
                    <w:rPr>
                      <w:rFonts w:hint="default" w:ascii="Times New Roman" w:hAnsi="Times New Roman" w:eastAsia="宋体" w:cs="Times New Roman"/>
                      <w:b/>
                      <w:bCs/>
                      <w:color w:val="auto"/>
                      <w:sz w:val="21"/>
                      <w:szCs w:val="21"/>
                    </w:rPr>
                    <w:t>情况</w:t>
                  </w:r>
                </w:p>
              </w:tc>
              <w:tc>
                <w:tcPr>
                  <w:tcW w:w="1579" w:type="pct"/>
                  <w:gridSpan w:val="3"/>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委外外单位利用/处置情况</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危险废物名称</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危险废物类别</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危险废物代码</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有害成分名称</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形态</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危险特性</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贮存</w:t>
                  </w:r>
                  <w:r>
                    <w:rPr>
                      <w:rFonts w:hint="default" w:ascii="Times New Roman" w:hAnsi="Times New Roman" w:eastAsia="宋体" w:cs="Times New Roman"/>
                      <w:b/>
                      <w:bCs/>
                      <w:color w:val="auto"/>
                      <w:sz w:val="21"/>
                      <w:szCs w:val="21"/>
                    </w:rPr>
                    <w:t>量</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计量单位</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省（区、市）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单位名称</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危险废物经营许可证编号/利用处置环节豁免管理/出口核准通知单编号</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废灯管</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HW29含汞废物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900-023-29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188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废活性炭</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900-039-49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1%有机溶剂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11.6</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3</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w:t>
                  </w:r>
                  <w:r>
                    <w:rPr>
                      <w:rFonts w:hint="eastAsia" w:cs="Times New Roman"/>
                      <w:color w:val="auto"/>
                      <w:sz w:val="21"/>
                      <w:szCs w:val="21"/>
                      <w:lang w:val="en-US" w:eastAsia="zh-CN"/>
                    </w:rPr>
                    <w:t>41</w:t>
                  </w:r>
                  <w:r>
                    <w:rPr>
                      <w:rFonts w:hint="default" w:ascii="Times New Roman" w:hAnsi="Times New Roman" w:eastAsia="宋体" w:cs="Times New Roman"/>
                      <w:color w:val="auto"/>
                      <w:sz w:val="21"/>
                      <w:szCs w:val="21"/>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40.28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4</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废玻璃</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w:t>
                  </w:r>
                  <w:r>
                    <w:rPr>
                      <w:rFonts w:hint="eastAsia" w:cs="Times New Roman"/>
                      <w:color w:val="auto"/>
                      <w:sz w:val="21"/>
                      <w:szCs w:val="21"/>
                      <w:lang w:val="en-US" w:eastAsia="zh-CN"/>
                    </w:rPr>
                    <w:t>41</w:t>
                  </w:r>
                  <w:r>
                    <w:rPr>
                      <w:rFonts w:hint="default" w:ascii="Times New Roman" w:hAnsi="Times New Roman" w:eastAsia="宋体" w:cs="Times New Roman"/>
                      <w:color w:val="auto"/>
                      <w:sz w:val="21"/>
                      <w:szCs w:val="21"/>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6.862</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废盐</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303.92</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陕西省，宝鸡市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6</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废硅胶、干燥剂</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1%化工原料</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302.9</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HW6105280003</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7</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废电池</w:t>
                  </w:r>
                  <w:r>
                    <w:rPr>
                      <w:rFonts w:hint="eastAsia" w:cs="Times New Roman"/>
                      <w:color w:val="auto"/>
                      <w:sz w:val="21"/>
                      <w:szCs w:val="21"/>
                      <w:lang w:eastAsia="zh-CN"/>
                    </w:rPr>
                    <w:t>（办公使用的干电池）</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900-044-49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镉、镍</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袋装</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lang w:eastAsia="zh-CN"/>
              </w:rPr>
            </w:pPr>
            <w:r>
              <w:rPr>
                <w:rFonts w:hint="eastAsia" w:ascii="宋体" w:hAnsi="宋体" w:cs="宋体"/>
                <w:color w:val="auto"/>
                <w:sz w:val="24"/>
                <w:lang w:eastAsia="zh-CN"/>
              </w:rPr>
              <w:t>（</w:t>
            </w:r>
            <w:r>
              <w:rPr>
                <w:rFonts w:hint="eastAsia" w:ascii="宋体" w:hAnsi="宋体" w:cs="宋体"/>
                <w:color w:val="auto"/>
                <w:sz w:val="24"/>
                <w:lang w:val="en-US" w:eastAsia="zh-CN"/>
              </w:rPr>
              <w:t>2</w:t>
            </w:r>
            <w:r>
              <w:rPr>
                <w:rFonts w:hint="eastAsia" w:ascii="宋体" w:hAnsi="宋体" w:cs="宋体"/>
                <w:color w:val="auto"/>
                <w:sz w:val="24"/>
                <w:lang w:eastAsia="zh-CN"/>
              </w:rPr>
              <w:t>）扩建后现有危废暂存间贮存情况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ascii="宋体" w:hAnsi="宋体" w:eastAsia="宋体" w:cs="宋体"/>
                <w:color w:val="auto"/>
                <w:sz w:val="24"/>
                <w:szCs w:val="24"/>
                <w:highlight w:val="none"/>
                <w:lang w:val="en-US" w:eastAsia="zh-CN"/>
              </w:rPr>
              <w:t>根据危废暂存情况，通过合理调配危废暂存间、清运频率等实现危废暂存间的安全贮存，最终交由有资质单位进行处置。本次扩建后，现有危废暂存间</w:t>
            </w:r>
            <w:r>
              <w:rPr>
                <w:rFonts w:hint="eastAsia" w:ascii="宋体" w:hAnsi="宋体" w:eastAsia="宋体" w:cs="宋体"/>
                <w:b w:val="0"/>
                <w:bCs w:val="0"/>
                <w:i w:val="0"/>
                <w:iCs w:val="0"/>
                <w:color w:val="auto"/>
                <w:sz w:val="24"/>
                <w:highlight w:val="none"/>
                <w:lang w:val="en-US" w:eastAsia="zh-CN"/>
              </w:rPr>
              <w:t>危险废物贮存种类和方案</w:t>
            </w:r>
            <w:r>
              <w:rPr>
                <w:rFonts w:hint="eastAsia" w:ascii="宋体" w:hAnsi="宋体" w:eastAsia="宋体" w:cs="宋体"/>
                <w:color w:val="auto"/>
                <w:sz w:val="24"/>
              </w:rPr>
              <w:t>见</w:t>
            </w:r>
            <w:r>
              <w:rPr>
                <w:rFonts w:hint="default" w:ascii="Times New Roman" w:hAnsi="Times New Roman" w:eastAsia="宋体" w:cs="Times New Roman"/>
                <w:color w:val="auto"/>
                <w:sz w:val="24"/>
              </w:rPr>
              <w:t>表</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4</w:t>
            </w:r>
            <w:r>
              <w:rPr>
                <w:rFonts w:hint="default" w:ascii="Times New Roman" w:hAnsi="Times New Roman" w:eastAsia="宋体" w:cs="Times New Roman"/>
                <w:color w:val="auto"/>
                <w:sz w:val="24"/>
              </w:rPr>
              <w:t>。</w:t>
            </w: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default"/>
                <w:b/>
                <w:bCs/>
                <w:color w:val="auto"/>
                <w:sz w:val="24"/>
                <w:szCs w:val="24"/>
              </w:rPr>
            </w:pPr>
            <w:r>
              <w:rPr>
                <w:rFonts w:hint="default" w:ascii="Times New Roman" w:hAnsi="Times New Roman" w:eastAsia="宋体" w:cs="Times New Roman"/>
                <w:b/>
                <w:color w:val="auto"/>
                <w:kern w:val="0"/>
                <w:sz w:val="24"/>
                <w:szCs w:val="24"/>
                <w:lang w:val="zh-CN"/>
              </w:rPr>
              <w:t>表</w:t>
            </w:r>
            <w:r>
              <w:rPr>
                <w:rFonts w:hint="eastAsia" w:cs="Times New Roman"/>
                <w:b/>
                <w:color w:val="auto"/>
                <w:kern w:val="0"/>
                <w:sz w:val="24"/>
                <w:szCs w:val="24"/>
                <w:lang w:val="en-US" w:eastAsia="zh-CN"/>
              </w:rPr>
              <w:t xml:space="preserve">2-4 </w:t>
            </w:r>
            <w:r>
              <w:rPr>
                <w:rFonts w:hint="default" w:ascii="Times New Roman" w:hAnsi="Times New Roman" w:eastAsia="宋体" w:cs="Times New Roman"/>
                <w:b/>
                <w:color w:val="auto"/>
                <w:kern w:val="0"/>
                <w:sz w:val="24"/>
                <w:szCs w:val="24"/>
                <w:lang w:val="en-US" w:eastAsia="zh-CN"/>
              </w:rPr>
              <w:t xml:space="preserve">  </w:t>
            </w:r>
            <w:r>
              <w:rPr>
                <w:rFonts w:hint="eastAsia" w:cs="Times New Roman"/>
                <w:b/>
                <w:color w:val="auto"/>
                <w:kern w:val="0"/>
                <w:sz w:val="24"/>
                <w:szCs w:val="24"/>
                <w:lang w:val="en-US" w:eastAsia="zh-CN"/>
              </w:rPr>
              <w:t>扩建后</w:t>
            </w:r>
            <w:r>
              <w:rPr>
                <w:rFonts w:hint="eastAsia" w:ascii="Times New Roman" w:hAnsi="Times New Roman" w:eastAsia="宋体" w:cs="Times New Roman"/>
                <w:b/>
                <w:color w:val="auto"/>
                <w:kern w:val="0"/>
                <w:sz w:val="24"/>
                <w:szCs w:val="24"/>
                <w:lang w:val="en-US" w:eastAsia="zh-CN"/>
              </w:rPr>
              <w:t>现有危废暂存间</w:t>
            </w:r>
            <w:r>
              <w:rPr>
                <w:rFonts w:hint="default" w:ascii="Times New Roman" w:hAnsi="Times New Roman" w:cs="Times New Roman"/>
                <w:b/>
                <w:bCs/>
                <w:color w:val="auto"/>
                <w:sz w:val="24"/>
                <w:szCs w:val="24"/>
                <w:lang w:val="en-US" w:eastAsia="zh-CN"/>
              </w:rPr>
              <w:t>危</w:t>
            </w:r>
            <w:r>
              <w:rPr>
                <w:rFonts w:hint="eastAsia"/>
                <w:b/>
                <w:bCs/>
                <w:color w:val="auto"/>
                <w:sz w:val="24"/>
                <w:szCs w:val="24"/>
                <w:lang w:val="en-US" w:eastAsia="zh-CN"/>
              </w:rPr>
              <w:t>险废物贮存情况表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530"/>
              <w:gridCol w:w="638"/>
              <w:gridCol w:w="1033"/>
              <w:gridCol w:w="690"/>
              <w:gridCol w:w="372"/>
              <w:gridCol w:w="480"/>
              <w:gridCol w:w="729"/>
              <w:gridCol w:w="379"/>
              <w:gridCol w:w="692"/>
              <w:gridCol w:w="663"/>
              <w:gridCol w:w="1301"/>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883" w:type="pct"/>
                  <w:gridSpan w:val="8"/>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情况</w:t>
                  </w:r>
                </w:p>
              </w:tc>
              <w:tc>
                <w:tcPr>
                  <w:tcW w:w="1579" w:type="pct"/>
                  <w:gridSpan w:val="3"/>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委外外单位利用/处置情况</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危险废物名称</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危险废物类别</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危险废物代码</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有害成分名称</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量</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计量单位</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省（区、市）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单位名称</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危险废物经营许可证编号/利用处置环节豁免管理/出口核准通知单编号</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废酸</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HW34废酸 </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261-057-34</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有机酸</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104.281</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检测</w:t>
                  </w:r>
                  <w:r>
                    <w:rPr>
                      <w:rFonts w:hint="default" w:ascii="Times New Roman" w:hAnsi="Times New Roman" w:eastAsia="宋体" w:cs="Times New Roman"/>
                      <w:color w:val="auto"/>
                      <w:sz w:val="21"/>
                      <w:szCs w:val="21"/>
                      <w:highlight w:val="none"/>
                    </w:rPr>
                    <w:t>废液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eastAsia" w:cs="Times New Roman"/>
                      <w:color w:val="auto"/>
                      <w:sz w:val="21"/>
                      <w:szCs w:val="21"/>
                      <w:highlight w:val="none"/>
                      <w:lang w:val="en-US" w:eastAsia="zh-CN"/>
                    </w:rPr>
                    <w:t>49</w:t>
                  </w:r>
                  <w:r>
                    <w:rPr>
                      <w:rFonts w:hint="eastAsia"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t>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047</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氨氮、</w:t>
                  </w:r>
                  <w:r>
                    <w:rPr>
                      <w:rFonts w:hint="default" w:ascii="Times New Roman" w:hAnsi="Times New Roman" w:eastAsia="宋体" w:cs="Times New Roman"/>
                      <w:color w:val="auto"/>
                      <w:sz w:val="21"/>
                      <w:szCs w:val="21"/>
                      <w:highlight w:val="none"/>
                    </w:rPr>
                    <w:t>铬</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0.403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3</w:t>
                  </w:r>
                </w:p>
              </w:tc>
              <w:tc>
                <w:tcPr>
                  <w:tcW w:w="3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废污泥</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772</w:t>
                  </w: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6-49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24.524</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HW6105280003</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4</w:t>
                  </w:r>
                </w:p>
              </w:tc>
              <w:tc>
                <w:tcPr>
                  <w:tcW w:w="3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HW08废矿物油与含矿物油废物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-08</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99%废油</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4.93</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陕西省，宝鸡市，凤翔县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5</w:t>
                  </w:r>
                </w:p>
              </w:tc>
              <w:tc>
                <w:tcPr>
                  <w:tcW w:w="3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废溶剂、废母液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HW06废有机溶剂与含有机溶剂废物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900-407-06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有机溶剂5%</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T，I，R</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106.858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陕西省，渭南市，蒲城县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bl>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5、危废贮存周期</w:t>
            </w: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ind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本项目危废暂存间的暂存周期为7-30d，根据危废暂存情况，通过合理调配危废暂存间、清运频率等实现危废暂存间的安全贮存，最终交由有资质单位进行处置。本次评价仅针对危废的集中贮存，不包括危险废物的收集、运输和最终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b/>
                <w:bCs/>
                <w:color w:val="auto"/>
                <w:sz w:val="24"/>
                <w:szCs w:val="24"/>
              </w:rPr>
            </w:pPr>
            <w:r>
              <w:rPr>
                <w:rFonts w:hint="eastAsia"/>
                <w:b/>
                <w:bCs/>
                <w:color w:val="auto"/>
                <w:sz w:val="24"/>
                <w:szCs w:val="24"/>
                <w:lang w:val="en-US" w:eastAsia="zh-CN"/>
              </w:rPr>
              <w:t>6</w:t>
            </w:r>
            <w:r>
              <w:rPr>
                <w:rFonts w:hint="eastAsia"/>
                <w:b/>
                <w:bCs/>
                <w:color w:val="auto"/>
                <w:sz w:val="24"/>
                <w:szCs w:val="24"/>
              </w:rPr>
              <w:t>、</w:t>
            </w:r>
            <w:bookmarkStart w:id="8" w:name="_Toc200961391"/>
            <w:bookmarkStart w:id="9" w:name="_Toc200961231"/>
            <w:bookmarkStart w:id="10" w:name="_Toc177024663"/>
            <w:bookmarkStart w:id="11" w:name="_Toc177024812"/>
            <w:r>
              <w:rPr>
                <w:rFonts w:hint="eastAsia"/>
                <w:b/>
                <w:bCs/>
                <w:color w:val="auto"/>
                <w:sz w:val="24"/>
                <w:szCs w:val="24"/>
              </w:rPr>
              <w:t>公用工程</w:t>
            </w:r>
          </w:p>
          <w:bookmarkEnd w:id="8"/>
          <w:bookmarkEnd w:id="9"/>
          <w:bookmarkEnd w:id="10"/>
          <w:bookmarkEnd w:id="11"/>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b/>
                <w:bCs/>
                <w:color w:val="auto"/>
                <w:sz w:val="24"/>
                <w:szCs w:val="24"/>
              </w:rPr>
            </w:pPr>
            <w:r>
              <w:rPr>
                <w:rFonts w:hint="eastAsia"/>
                <w:b/>
                <w:bCs/>
                <w:color w:val="auto"/>
                <w:sz w:val="24"/>
                <w:szCs w:val="24"/>
              </w:rPr>
              <w:t>（</w:t>
            </w:r>
            <w:r>
              <w:rPr>
                <w:b/>
                <w:bCs/>
                <w:color w:val="auto"/>
                <w:sz w:val="24"/>
                <w:szCs w:val="24"/>
              </w:rPr>
              <w:t>1</w:t>
            </w:r>
            <w:r>
              <w:rPr>
                <w:rFonts w:hint="eastAsia"/>
                <w:b/>
                <w:bCs/>
                <w:color w:val="auto"/>
                <w:sz w:val="24"/>
                <w:szCs w:val="24"/>
              </w:rPr>
              <w:t>）给水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lang w:val="en-US" w:eastAsia="zh-CN"/>
              </w:rPr>
            </w:pPr>
            <w:r>
              <w:rPr>
                <w:rFonts w:hint="eastAsia"/>
                <w:color w:val="auto"/>
                <w:sz w:val="24"/>
                <w:szCs w:val="24"/>
                <w:lang w:val="en-US" w:eastAsia="zh-CN"/>
              </w:rPr>
              <w:t xml:space="preserve">本项目不新增劳动定员，故不新增生活用水；危险废物贮存过程中不涉及用水，故不新增生产用水。 </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rPr>
            </w:pPr>
            <w:r>
              <w:rPr>
                <w:rFonts w:hint="eastAsia"/>
                <w:b/>
                <w:bCs/>
                <w:color w:val="auto"/>
                <w:sz w:val="24"/>
                <w:szCs w:val="24"/>
              </w:rPr>
              <w:t>（</w:t>
            </w:r>
            <w:r>
              <w:rPr>
                <w:b/>
                <w:bCs/>
                <w:color w:val="auto"/>
                <w:sz w:val="24"/>
                <w:szCs w:val="24"/>
              </w:rPr>
              <w:t>2</w:t>
            </w:r>
            <w:r>
              <w:rPr>
                <w:rFonts w:hint="eastAsia"/>
                <w:b/>
                <w:bCs/>
                <w:color w:val="auto"/>
                <w:sz w:val="24"/>
                <w:szCs w:val="24"/>
              </w:rPr>
              <w:t>）排水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lang w:val="en-US" w:eastAsia="zh-CN"/>
              </w:rPr>
            </w:pPr>
            <w:r>
              <w:rPr>
                <w:rFonts w:hint="eastAsia"/>
                <w:color w:val="auto"/>
                <w:sz w:val="24"/>
                <w:szCs w:val="24"/>
                <w:lang w:val="en-US" w:eastAsia="zh-CN"/>
              </w:rPr>
              <w:t xml:space="preserve">本项目无生活污水、生产废水产生。 </w:t>
            </w:r>
          </w:p>
          <w:p>
            <w:pPr>
              <w:spacing w:line="360" w:lineRule="auto"/>
              <w:ind w:firstLine="482" w:firstLineChars="200"/>
              <w:rPr>
                <w:b/>
                <w:bCs/>
                <w:color w:val="auto"/>
                <w:sz w:val="24"/>
                <w:szCs w:val="24"/>
              </w:rPr>
            </w:pPr>
            <w:r>
              <w:rPr>
                <w:rFonts w:hint="eastAsia"/>
                <w:b/>
                <w:bCs/>
                <w:color w:val="auto"/>
                <w:sz w:val="24"/>
                <w:szCs w:val="24"/>
              </w:rPr>
              <w:t>（</w:t>
            </w:r>
            <w:r>
              <w:rPr>
                <w:b/>
                <w:bCs/>
                <w:color w:val="auto"/>
                <w:sz w:val="24"/>
                <w:szCs w:val="24"/>
              </w:rPr>
              <w:t>3</w:t>
            </w:r>
            <w:r>
              <w:rPr>
                <w:rFonts w:hint="eastAsia"/>
                <w:b/>
                <w:bCs/>
                <w:color w:val="auto"/>
                <w:sz w:val="24"/>
                <w:szCs w:val="24"/>
              </w:rPr>
              <w:t>）供电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利用公司现有供电系统电源供电，年用电量约0.5万kWh。</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rPr>
            </w:pPr>
            <w:r>
              <w:rPr>
                <w:rFonts w:hint="eastAsia"/>
                <w:b/>
                <w:bCs/>
                <w:color w:val="auto"/>
                <w:sz w:val="24"/>
                <w:szCs w:val="24"/>
                <w:lang w:val="en-US" w:eastAsia="zh-CN"/>
              </w:rPr>
              <w:t>7</w:t>
            </w:r>
            <w:r>
              <w:rPr>
                <w:rFonts w:hint="eastAsia"/>
                <w:b/>
                <w:bCs/>
                <w:color w:val="auto"/>
                <w:sz w:val="24"/>
                <w:szCs w:val="24"/>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color w:val="auto"/>
                <w:sz w:val="24"/>
                <w:szCs w:val="24"/>
                <w:lang w:val="en-US" w:eastAsia="zh-CN"/>
              </w:rPr>
            </w:pPr>
            <w:r>
              <w:rPr>
                <w:rFonts w:hint="eastAsia"/>
                <w:color w:val="auto"/>
                <w:sz w:val="24"/>
                <w:szCs w:val="24"/>
              </w:rPr>
              <w:t>本项目劳动定员</w:t>
            </w:r>
            <w:r>
              <w:rPr>
                <w:rFonts w:hint="eastAsia"/>
                <w:color w:val="auto"/>
                <w:sz w:val="24"/>
                <w:szCs w:val="24"/>
                <w:lang w:val="en-US" w:eastAsia="zh-CN"/>
              </w:rPr>
              <w:t>依托原有</w:t>
            </w:r>
            <w:r>
              <w:rPr>
                <w:rFonts w:hint="eastAsia"/>
                <w:color w:val="auto"/>
                <w:sz w:val="24"/>
                <w:szCs w:val="24"/>
              </w:rPr>
              <w:t>，</w:t>
            </w:r>
            <w:r>
              <w:rPr>
                <w:rFonts w:hint="eastAsia"/>
                <w:color w:val="auto"/>
                <w:sz w:val="24"/>
                <w:szCs w:val="24"/>
                <w:lang w:val="en-US" w:eastAsia="zh-CN"/>
              </w:rPr>
              <w:t xml:space="preserve">不新增，管理人员为现有危废暂存间工作人员，年运行时间8760小时。                     </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jc w:val="left"/>
              <w:textAlignment w:val="auto"/>
              <w:rPr>
                <w:rFonts w:hint="eastAsia"/>
                <w:b/>
                <w:bCs/>
                <w:color w:val="auto"/>
                <w:sz w:val="24"/>
                <w:szCs w:val="24"/>
                <w:lang w:val="en-US" w:eastAsia="zh-CN"/>
              </w:rPr>
            </w:pPr>
            <w:r>
              <w:rPr>
                <w:rFonts w:hint="eastAsia"/>
                <w:color w:val="auto"/>
                <w:sz w:val="24"/>
                <w:szCs w:val="24"/>
                <w:lang w:val="en-US" w:eastAsia="zh-CN"/>
              </w:rPr>
              <w:t xml:space="preserve"> </w:t>
            </w:r>
            <w:r>
              <w:rPr>
                <w:rFonts w:hint="eastAsia"/>
                <w:b/>
                <w:bCs/>
                <w:color w:val="auto"/>
                <w:sz w:val="24"/>
                <w:szCs w:val="24"/>
                <w:lang w:val="en-US" w:eastAsia="zh-CN"/>
              </w:rPr>
              <w:t>8、平面布置</w:t>
            </w:r>
          </w:p>
          <w:p>
            <w:pPr>
              <w:adjustRightInd w:val="0"/>
              <w:snapToGrid w:val="0"/>
              <w:spacing w:line="360" w:lineRule="auto"/>
              <w:ind w:firstLine="480" w:firstLineChars="200"/>
              <w:rPr>
                <w:rFonts w:hint="eastAsia"/>
                <w:bCs/>
                <w:color w:val="auto"/>
                <w:sz w:val="24"/>
                <w:szCs w:val="24"/>
              </w:rPr>
            </w:pPr>
            <w:r>
              <w:rPr>
                <w:rFonts w:hint="eastAsia"/>
                <w:color w:val="auto"/>
                <w:sz w:val="24"/>
                <w:szCs w:val="24"/>
                <w:lang w:val="en-US" w:eastAsia="zh-CN"/>
              </w:rPr>
              <w:t>本次扩建危废暂存间占地面积约83.5m</w:t>
            </w:r>
            <w:r>
              <w:rPr>
                <w:rFonts w:hint="eastAsia"/>
                <w:color w:val="auto"/>
                <w:sz w:val="24"/>
                <w:szCs w:val="24"/>
                <w:vertAlign w:val="superscript"/>
                <w:lang w:val="en-US" w:eastAsia="zh-CN"/>
              </w:rPr>
              <w:t>2</w:t>
            </w:r>
            <w:r>
              <w:rPr>
                <w:rFonts w:hint="eastAsia"/>
                <w:color w:val="auto"/>
                <w:sz w:val="24"/>
                <w:szCs w:val="24"/>
                <w:lang w:val="en-US" w:eastAsia="zh-CN"/>
              </w:rPr>
              <w:t>，</w:t>
            </w:r>
            <w:r>
              <w:rPr>
                <w:rFonts w:hint="eastAsia" w:cs="Times New Roman"/>
                <w:color w:val="auto"/>
                <w:sz w:val="24"/>
                <w:szCs w:val="24"/>
                <w:lang w:val="en-US" w:eastAsia="zh-CN"/>
              </w:rPr>
              <w:t>在渭南高新区海泰新型电子材料有限责任公司现有厂区内，利用现有的储存间（紧邻现有危废暂存间东侧）进行改造，不新增占地</w:t>
            </w:r>
            <w:r>
              <w:rPr>
                <w:rFonts w:hint="eastAsia"/>
                <w:color w:val="auto"/>
                <w:sz w:val="24"/>
                <w:szCs w:val="24"/>
              </w:rPr>
              <w:t>。</w:t>
            </w:r>
            <w:r>
              <w:rPr>
                <w:rFonts w:hint="eastAsia"/>
                <w:color w:val="auto"/>
                <w:sz w:val="24"/>
                <w:szCs w:val="24"/>
                <w:lang w:val="en-US" w:eastAsia="zh-CN"/>
              </w:rPr>
              <w:t>主要</w:t>
            </w:r>
            <w:r>
              <w:rPr>
                <w:rFonts w:hint="eastAsia"/>
                <w:color w:val="auto"/>
                <w:sz w:val="24"/>
                <w:szCs w:val="24"/>
                <w:highlight w:val="none"/>
                <w:lang w:eastAsia="zh-CN"/>
              </w:rPr>
              <w:t>分担</w:t>
            </w:r>
            <w:r>
              <w:rPr>
                <w:rFonts w:hint="eastAsia" w:cs="Times New Roman" w:eastAsiaTheme="minorEastAsia"/>
                <w:color w:val="auto"/>
                <w:kern w:val="0"/>
                <w:sz w:val="24"/>
                <w:szCs w:val="24"/>
                <w:highlight w:val="none"/>
                <w:lang w:val="en-US" w:eastAsia="zh-CN"/>
              </w:rPr>
              <w:t>现有危废暂存间贮存空间压力、避免危险废物因贮存空间减小导致不同种类的危险废物接触</w:t>
            </w:r>
            <w:r>
              <w:rPr>
                <w:rFonts w:hint="eastAsia"/>
                <w:color w:val="auto"/>
                <w:sz w:val="24"/>
                <w:szCs w:val="24"/>
                <w:highlight w:val="none"/>
              </w:rPr>
              <w:t>。</w:t>
            </w:r>
            <w:r>
              <w:rPr>
                <w:rFonts w:hint="eastAsia"/>
                <w:color w:val="auto"/>
                <w:sz w:val="24"/>
                <w:szCs w:val="24"/>
                <w:lang w:val="en-US" w:eastAsia="zh-CN"/>
              </w:rPr>
              <w:t>设置集气罩、引风管道，将产生的废气引入（依托）现有危废暂存间的废气处理设施进行处理。</w:t>
            </w:r>
            <w:r>
              <w:rPr>
                <w:rFonts w:hint="eastAsia" w:cs="Times New Roman" w:eastAsiaTheme="minorEastAsia"/>
                <w:color w:val="auto"/>
                <w:kern w:val="0"/>
                <w:sz w:val="24"/>
                <w:szCs w:val="24"/>
                <w:lang w:val="en-US" w:eastAsia="zh-CN"/>
              </w:rPr>
              <w:t>扩建完成后，与现有的危废暂存间一起用于存储渭南高新区海泰新型电子材料有限责任公司危险废物。</w:t>
            </w:r>
            <w:r>
              <w:rPr>
                <w:rFonts w:hint="eastAsia"/>
                <w:color w:val="auto"/>
                <w:sz w:val="24"/>
                <w:szCs w:val="24"/>
                <w:lang w:val="en-US" w:eastAsia="zh-CN"/>
              </w:rPr>
              <w:t>扩建完成后，现有危废暂存间和扩建危废暂存间总面积128m</w:t>
            </w:r>
            <w:r>
              <w:rPr>
                <w:rFonts w:hint="eastAsia"/>
                <w:color w:val="auto"/>
                <w:sz w:val="24"/>
                <w:szCs w:val="24"/>
                <w:vertAlign w:val="superscript"/>
                <w:lang w:val="en-US" w:eastAsia="zh-CN"/>
              </w:rPr>
              <w:t>2</w:t>
            </w:r>
            <w:r>
              <w:rPr>
                <w:rFonts w:hint="eastAsia"/>
                <w:color w:val="auto"/>
                <w:sz w:val="24"/>
                <w:szCs w:val="24"/>
                <w:lang w:val="en-US" w:eastAsia="zh-CN"/>
              </w:rPr>
              <w:t>，</w:t>
            </w:r>
            <w:r>
              <w:rPr>
                <w:rFonts w:hint="eastAsia"/>
                <w:bCs/>
                <w:color w:val="auto"/>
                <w:sz w:val="24"/>
                <w:szCs w:val="24"/>
              </w:rPr>
              <w:t>平面布置</w:t>
            </w:r>
            <w:r>
              <w:rPr>
                <w:rFonts w:hint="eastAsia"/>
                <w:bCs/>
                <w:color w:val="auto"/>
                <w:sz w:val="24"/>
                <w:szCs w:val="24"/>
                <w:lang w:eastAsia="zh-CN"/>
              </w:rPr>
              <w:t>（</w:t>
            </w:r>
            <w:r>
              <w:rPr>
                <w:rFonts w:hint="eastAsia"/>
                <w:bCs/>
                <w:color w:val="auto"/>
                <w:sz w:val="24"/>
                <w:szCs w:val="24"/>
                <w:lang w:val="en-US" w:eastAsia="zh-CN"/>
              </w:rPr>
              <w:t>功能布置</w:t>
            </w:r>
            <w:r>
              <w:rPr>
                <w:rFonts w:hint="eastAsia"/>
                <w:bCs/>
                <w:color w:val="auto"/>
                <w:sz w:val="24"/>
                <w:szCs w:val="24"/>
                <w:lang w:eastAsia="zh-CN"/>
              </w:rPr>
              <w:t>）</w:t>
            </w:r>
            <w:r>
              <w:rPr>
                <w:rFonts w:hint="eastAsia"/>
                <w:bCs/>
                <w:color w:val="auto"/>
                <w:sz w:val="24"/>
                <w:szCs w:val="24"/>
              </w:rPr>
              <w:t>见</w:t>
            </w:r>
            <w:r>
              <w:rPr>
                <w:rFonts w:hint="eastAsia"/>
                <w:bCs/>
                <w:color w:val="auto"/>
                <w:sz w:val="24"/>
                <w:szCs w:val="24"/>
                <w:lang w:eastAsia="zh-CN"/>
              </w:rPr>
              <w:t>下图和</w:t>
            </w:r>
            <w:r>
              <w:rPr>
                <w:rFonts w:hint="eastAsia"/>
                <w:bCs/>
                <w:color w:val="auto"/>
                <w:sz w:val="24"/>
                <w:szCs w:val="24"/>
              </w:rPr>
              <w:t>附图</w:t>
            </w:r>
            <w:r>
              <w:rPr>
                <w:rFonts w:hint="eastAsia"/>
                <w:bCs/>
                <w:color w:val="auto"/>
                <w:sz w:val="24"/>
                <w:szCs w:val="24"/>
                <w:lang w:val="en-US" w:eastAsia="zh-CN"/>
              </w:rPr>
              <w:t>3</w:t>
            </w:r>
            <w:r>
              <w:rPr>
                <w:rFonts w:hint="eastAsia"/>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lang w:val="en-US" w:eastAsia="zh-CN"/>
              </w:rPr>
            </w:pPr>
            <w:r>
              <w:drawing>
                <wp:inline distT="0" distB="0" distL="114300" distR="114300">
                  <wp:extent cx="5340350" cy="3063875"/>
                  <wp:effectExtent l="0" t="0" r="12700" b="31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5340350" cy="3063875"/>
                          </a:xfrm>
                          <a:prstGeom prst="rect">
                            <a:avLst/>
                          </a:prstGeom>
                          <a:noFill/>
                          <a:ln>
                            <a:noFill/>
                          </a:ln>
                        </pic:spPr>
                      </pic:pic>
                    </a:graphicData>
                  </a:graphic>
                </wp:inline>
              </w:drawing>
            </w:r>
            <w:r>
              <w:rPr>
                <w:rFonts w:hint="eastAsia"/>
                <w:b/>
                <w:bCs/>
                <w:color w:val="auto"/>
                <w:sz w:val="24"/>
                <w:szCs w:val="24"/>
                <w:lang w:val="en-US" w:eastAsia="zh-CN"/>
              </w:rPr>
              <w:t>图2-1 扩建完成后危废暂存间平面布置（功能布置）图</w:t>
            </w:r>
          </w:p>
          <w:p>
            <w:pPr>
              <w:adjustRightInd w:val="0"/>
              <w:snapToGrid w:val="0"/>
              <w:spacing w:line="360" w:lineRule="auto"/>
              <w:ind w:left="3990" w:hanging="4560" w:hangingChars="1900"/>
              <w:rPr>
                <w:rFonts w:hint="eastAsia" w:eastAsia="宋体"/>
                <w:bCs/>
                <w:color w:val="auto"/>
                <w:sz w:val="24"/>
                <w:szCs w:val="24"/>
                <w:lang w:eastAsia="zh-CN"/>
              </w:rPr>
            </w:pPr>
          </w:p>
          <w:p>
            <w:pPr>
              <w:adjustRightInd w:val="0"/>
              <w:snapToGrid w:val="0"/>
              <w:spacing w:line="360" w:lineRule="auto"/>
              <w:ind w:firstLine="480" w:firstLineChars="200"/>
              <w:rPr>
                <w:rFonts w:hint="eastAsia"/>
                <w:bCs/>
                <w:color w:val="auto"/>
                <w:sz w:val="24"/>
                <w:szCs w:val="24"/>
              </w:rPr>
            </w:pPr>
          </w:p>
          <w:p>
            <w:pPr>
              <w:adjustRightInd w:val="0"/>
              <w:snapToGrid w:val="0"/>
              <w:spacing w:line="360" w:lineRule="auto"/>
              <w:ind w:firstLine="480" w:firstLineChars="200"/>
              <w:rPr>
                <w:rFonts w:hint="eastAsia"/>
                <w:bCs/>
                <w:color w:val="auto"/>
                <w:sz w:val="24"/>
                <w:szCs w:val="24"/>
              </w:rPr>
            </w:pPr>
          </w:p>
          <w:p>
            <w:pPr>
              <w:adjustRightInd w:val="0"/>
              <w:snapToGrid w:val="0"/>
              <w:spacing w:line="360" w:lineRule="auto"/>
              <w:rPr>
                <w:rFonts w:hint="eastAsia" w:ascii="宋体" w:hAnsi="宋体" w:cs="宋体"/>
                <w:bCs/>
                <w:color w:val="auto"/>
                <w:szCs w:val="21"/>
                <w:lang w:val="en-US" w:eastAsia="zh-CN"/>
              </w:rPr>
            </w:pPr>
            <w:r>
              <w:rPr>
                <w:rFonts w:hint="eastAsia" w:ascii="宋体" w:hAnsi="宋体" w:cs="宋体"/>
                <w:bCs/>
                <w:color w:val="auto"/>
                <w:szCs w:val="21"/>
                <w:lang w:val="en-US" w:eastAsia="zh-CN"/>
              </w:rPr>
              <w:t xml:space="preserve">   </w:t>
            </w:r>
          </w:p>
          <w:p>
            <w:pPr>
              <w:adjustRightInd w:val="0"/>
              <w:snapToGrid w:val="0"/>
              <w:spacing w:line="360" w:lineRule="auto"/>
              <w:rPr>
                <w:rFonts w:hint="eastAsia" w:ascii="宋体" w:hAnsi="宋体" w:cs="宋体"/>
                <w:bCs/>
                <w:color w:val="auto"/>
                <w:szCs w:val="21"/>
                <w:lang w:val="en-US" w:eastAsia="zh-CN"/>
              </w:rPr>
            </w:pPr>
          </w:p>
          <w:p>
            <w:pPr>
              <w:adjustRightInd w:val="0"/>
              <w:snapToGrid w:val="0"/>
              <w:spacing w:line="360" w:lineRule="auto"/>
              <w:rPr>
                <w:rFonts w:hint="eastAsia" w:ascii="宋体" w:hAnsi="宋体" w:cs="宋体"/>
                <w:bCs/>
                <w:color w:val="auto"/>
                <w:szCs w:val="21"/>
                <w:lang w:val="en-US" w:eastAsia="zh-CN"/>
              </w:rPr>
            </w:pPr>
          </w:p>
          <w:p>
            <w:pPr>
              <w:adjustRightInd w:val="0"/>
              <w:snapToGrid w:val="0"/>
              <w:spacing w:line="360" w:lineRule="auto"/>
              <w:rPr>
                <w:rFonts w:hint="eastAsia" w:ascii="宋体" w:hAnsi="宋体" w:cs="宋体"/>
                <w:bCs/>
                <w:color w:val="auto"/>
                <w:szCs w:val="21"/>
                <w:lang w:val="en-US" w:eastAsia="zh-CN"/>
              </w:rPr>
            </w:pPr>
          </w:p>
          <w:p>
            <w:pPr>
              <w:adjustRightInd w:val="0"/>
              <w:snapToGrid w:val="0"/>
              <w:spacing w:line="360" w:lineRule="auto"/>
              <w:rPr>
                <w:rFonts w:hint="eastAsia" w:ascii="宋体" w:hAnsi="宋体" w:cs="宋体"/>
                <w:bCs/>
                <w:color w:val="auto"/>
                <w:szCs w:val="21"/>
                <w:lang w:val="en-US" w:eastAsia="zh-CN"/>
              </w:rPr>
            </w:pPr>
          </w:p>
          <w:p>
            <w:pPr>
              <w:adjustRightInd w:val="0"/>
              <w:snapToGrid w:val="0"/>
              <w:spacing w:line="360" w:lineRule="auto"/>
              <w:rPr>
                <w:rFonts w:hint="eastAsia" w:ascii="宋体" w:hAnsi="宋体" w:cs="宋体"/>
                <w:bCs/>
                <w:color w:val="auto"/>
                <w:szCs w:val="21"/>
                <w:lang w:val="en-US" w:eastAsia="zh-CN"/>
              </w:rPr>
            </w:pPr>
          </w:p>
          <w:p>
            <w:pPr>
              <w:adjustRightInd w:val="0"/>
              <w:snapToGrid w:val="0"/>
              <w:spacing w:line="360" w:lineRule="auto"/>
              <w:ind w:firstLine="630" w:firstLineChars="300"/>
              <w:rPr>
                <w:rFonts w:hint="default" w:ascii="宋体" w:hAnsi="宋体" w:eastAsia="宋体" w:cs="宋体"/>
                <w:bCs/>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3" w:hRule="atLeast"/>
          <w:jc w:val="center"/>
        </w:trPr>
        <w:tc>
          <w:tcPr>
            <w:tcW w:w="234" w:type="pct"/>
            <w:vAlign w:val="center"/>
          </w:tcPr>
          <w:p>
            <w:pPr>
              <w:pStyle w:val="27"/>
              <w:adjustRightInd w:val="0"/>
              <w:snapToGrid w:val="0"/>
              <w:spacing w:before="0" w:beforeAutospacing="0" w:after="0" w:afterAutospacing="0"/>
              <w:jc w:val="center"/>
              <w:rPr>
                <w:rFonts w:hint="eastAsia" w:cs="宋体"/>
                <w:color w:val="auto"/>
                <w:sz w:val="21"/>
                <w:szCs w:val="21"/>
              </w:rPr>
            </w:pPr>
            <w:r>
              <w:rPr>
                <w:rFonts w:hint="eastAsia" w:cs="宋体"/>
                <w:color w:val="auto"/>
                <w:sz w:val="21"/>
                <w:szCs w:val="21"/>
              </w:rPr>
              <w:t>工艺流程和产排污环节</w:t>
            </w:r>
          </w:p>
        </w:tc>
        <w:tc>
          <w:tcPr>
            <w:tcW w:w="4765" w:type="pct"/>
          </w:tcPr>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208" w:leftChars="0" w:firstLine="422" w:firstLineChars="0"/>
              <w:textAlignment w:val="auto"/>
              <w:rPr>
                <w:color w:val="auto"/>
                <w:sz w:val="24"/>
                <w:szCs w:val="24"/>
              </w:rPr>
            </w:pPr>
            <w:r>
              <w:rPr>
                <w:b/>
                <w:bCs/>
                <w:color w:val="auto"/>
                <w:sz w:val="24"/>
                <w:szCs w:val="24"/>
              </w:rPr>
              <w:t>施工期工艺流程</w:t>
            </w:r>
          </w:p>
          <w:p>
            <w:pPr>
              <w:pStyle w:val="92"/>
              <w:ind w:firstLine="480"/>
              <w:rPr>
                <w:rFonts w:hint="default" w:ascii="Times New Roman" w:hAnsi="Times New Roman" w:cs="Times New Roman"/>
                <w:color w:val="auto"/>
              </w:rPr>
            </w:pPr>
            <w:r>
              <w:rPr>
                <w:rFonts w:hint="default" w:ascii="Times New Roman" w:hAnsi="Times New Roman" w:cs="Times New Roman"/>
                <w:color w:val="auto"/>
              </w:rPr>
              <w:t>本项目将利用原有</w:t>
            </w:r>
            <w:r>
              <w:rPr>
                <w:rFonts w:hint="eastAsia" w:ascii="Times New Roman" w:hAnsi="Times New Roman" w:cs="Times New Roman"/>
                <w:color w:val="auto"/>
                <w:lang w:eastAsia="zh-CN"/>
              </w:rPr>
              <w:t>仓库间</w:t>
            </w:r>
            <w:r>
              <w:rPr>
                <w:rFonts w:hint="default" w:ascii="Times New Roman" w:hAnsi="Times New Roman" w:cs="Times New Roman"/>
                <w:color w:val="auto"/>
              </w:rPr>
              <w:t>进行</w:t>
            </w:r>
            <w:r>
              <w:rPr>
                <w:rFonts w:hint="eastAsia" w:ascii="Times New Roman" w:hAnsi="Times New Roman" w:cs="Times New Roman"/>
                <w:color w:val="auto"/>
                <w:lang w:eastAsia="zh-CN"/>
              </w:rPr>
              <w:t>改建（地面及墙裙防渗、导流槽建设等）</w:t>
            </w:r>
            <w:r>
              <w:rPr>
                <w:rFonts w:hint="default" w:ascii="Times New Roman" w:hAnsi="Times New Roman" w:cs="Times New Roman"/>
                <w:color w:val="auto"/>
              </w:rPr>
              <w:t>、</w:t>
            </w:r>
            <w:r>
              <w:rPr>
                <w:rFonts w:hint="eastAsia" w:ascii="Times New Roman" w:hAnsi="Times New Roman" w:cs="Times New Roman"/>
                <w:color w:val="auto"/>
                <w:lang w:eastAsia="zh-CN"/>
              </w:rPr>
              <w:t>设施</w:t>
            </w:r>
            <w:r>
              <w:rPr>
                <w:rFonts w:hint="default" w:ascii="Times New Roman" w:hAnsi="Times New Roman" w:cs="Times New Roman"/>
                <w:color w:val="auto"/>
              </w:rPr>
              <w:t>安装，施工期内容简单，施工工程量小。</w:t>
            </w:r>
            <w:r>
              <w:rPr>
                <w:rFonts w:hint="eastAsia" w:ascii="Times New Roman" w:hAnsi="Times New Roman" w:cs="Times New Roman"/>
                <w:color w:val="auto"/>
                <w:lang w:eastAsia="zh-CN"/>
              </w:rPr>
              <w:t>委托第三方施工单位进行施工，</w:t>
            </w:r>
            <w:r>
              <w:rPr>
                <w:rFonts w:hint="default" w:ascii="Times New Roman" w:hAnsi="Times New Roman" w:cs="Times New Roman"/>
                <w:color w:val="auto"/>
              </w:rPr>
              <w:t>施工</w:t>
            </w:r>
            <w:r>
              <w:rPr>
                <w:rFonts w:hint="eastAsia" w:ascii="Times New Roman" w:hAnsi="Times New Roman" w:cs="Times New Roman"/>
                <w:color w:val="auto"/>
                <w:lang w:eastAsia="zh-CN"/>
              </w:rPr>
              <w:t>人员均</w:t>
            </w:r>
            <w:r>
              <w:rPr>
                <w:rFonts w:hint="default" w:ascii="Times New Roman" w:hAnsi="Times New Roman" w:cs="Times New Roman"/>
                <w:color w:val="auto"/>
              </w:rPr>
              <w:t>不在项目区食宿。</w:t>
            </w:r>
          </w:p>
          <w:p>
            <w:pPr>
              <w:pStyle w:val="92"/>
              <w:ind w:left="0" w:leftChars="0" w:firstLine="0" w:firstLineChars="0"/>
              <w:rPr>
                <w:rFonts w:hint="default" w:ascii="Times New Roman" w:hAnsi="Times New Roman" w:cs="Times New Roman"/>
                <w:b/>
                <w:bCs w:val="0"/>
                <w:color w:val="auto"/>
              </w:rPr>
            </w:pPr>
            <w:r>
              <w:rPr>
                <w:color w:val="auto"/>
                <w:sz w:val="24"/>
              </w:rPr>
              <mc:AlternateContent>
                <mc:Choice Requires="wpg">
                  <w:drawing>
                    <wp:anchor distT="0" distB="0" distL="114300" distR="114300" simplePos="0" relativeHeight="251662336" behindDoc="0" locked="0" layoutInCell="1" allowOverlap="1">
                      <wp:simplePos x="0" y="0"/>
                      <wp:positionH relativeFrom="column">
                        <wp:posOffset>269240</wp:posOffset>
                      </wp:positionH>
                      <wp:positionV relativeFrom="paragraph">
                        <wp:posOffset>26035</wp:posOffset>
                      </wp:positionV>
                      <wp:extent cx="4587240" cy="1352550"/>
                      <wp:effectExtent l="4445" t="0" r="0" b="0"/>
                      <wp:wrapNone/>
                      <wp:docPr id="40" name="组合 40"/>
                      <wp:cNvGraphicFramePr/>
                      <a:graphic xmlns:a="http://schemas.openxmlformats.org/drawingml/2006/main">
                        <a:graphicData uri="http://schemas.microsoft.com/office/word/2010/wordprocessingGroup">
                          <wpg:wgp>
                            <wpg:cNvGrpSpPr/>
                            <wpg:grpSpPr>
                              <a:xfrm>
                                <a:off x="0" y="0"/>
                                <a:ext cx="4587240" cy="1352550"/>
                                <a:chOff x="5588" y="712227"/>
                                <a:chExt cx="7224" cy="2130"/>
                              </a:xfrm>
                            </wpg:grpSpPr>
                            <wps:wsp>
                              <wps:cNvPr id="23" name="文本框 23"/>
                              <wps:cNvSpPr txBox="1"/>
                              <wps:spPr>
                                <a:xfrm>
                                  <a:off x="5588" y="713001"/>
                                  <a:ext cx="3224" cy="512"/>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地面及墙裙防渗、导流槽建设等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1362" y="713003"/>
                                  <a:ext cx="1250" cy="512"/>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设施安装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直接箭头连接符 28"/>
                              <wps:cNvCnPr/>
                              <wps:spPr>
                                <a:xfrm flipV="1">
                                  <a:off x="8812" y="713251"/>
                                  <a:ext cx="650" cy="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直接箭头连接符 29"/>
                              <wps:cNvCnPr/>
                              <wps:spPr>
                                <a:xfrm flipV="1">
                                  <a:off x="7151" y="712638"/>
                                  <a:ext cx="0" cy="37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0" name="文本框 30"/>
                              <wps:cNvSpPr txBox="1"/>
                              <wps:spPr>
                                <a:xfrm>
                                  <a:off x="5725" y="712227"/>
                                  <a:ext cx="2862"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粉尘、废水、噪声、固废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箭头连接符 31"/>
                              <wps:cNvCnPr/>
                              <wps:spPr>
                                <a:xfrm flipV="1">
                                  <a:off x="12000" y="712625"/>
                                  <a:ext cx="0" cy="37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2" name="文本框 32"/>
                              <wps:cNvSpPr txBox="1"/>
                              <wps:spPr>
                                <a:xfrm>
                                  <a:off x="11338" y="712249"/>
                                  <a:ext cx="1475"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9465" y="713004"/>
                                  <a:ext cx="1250" cy="512"/>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宋体"/>
                                        <w:lang w:eastAsia="zh-CN"/>
                                      </w:rPr>
                                    </w:pPr>
                                    <w:r>
                                      <w:rPr>
                                        <w:rFonts w:hint="eastAsia" w:eastAsia="宋体"/>
                                        <w:lang w:eastAsia="zh-CN"/>
                                      </w:rPr>
                                      <w:t>粉刷装饰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直接箭头连接符 34"/>
                              <wps:cNvCnPr/>
                              <wps:spPr>
                                <a:xfrm flipV="1">
                                  <a:off x="10712" y="713239"/>
                                  <a:ext cx="650" cy="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flipV="1">
                                  <a:off x="10037" y="712637"/>
                                  <a:ext cx="0" cy="37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 name="文本框 36"/>
                              <wps:cNvSpPr txBox="1"/>
                              <wps:spPr>
                                <a:xfrm>
                                  <a:off x="9112" y="712252"/>
                                  <a:ext cx="2038"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粉尘、噪声、固废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直接箭头连接符 37"/>
                              <wps:cNvCnPr/>
                              <wps:spPr>
                                <a:xfrm>
                                  <a:off x="7164" y="713513"/>
                                  <a:ext cx="0" cy="39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8" name="文本框 38"/>
                              <wps:cNvSpPr txBox="1"/>
                              <wps:spPr>
                                <a:xfrm>
                                  <a:off x="6061" y="713845"/>
                                  <a:ext cx="2891"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废水：沉淀回用及地面抑尘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2pt;margin-top:2.05pt;height:106.5pt;width:361.2pt;z-index:251662336;mso-width-relative:page;mso-height-relative:page;" coordorigin="5588,712227" coordsize="7224,2130" o:gfxdata="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SrqHENkAAAAIAQAADwAAAAAAAAABACAAAAAi&#10;AAAAZHJzL2Rvd25yZXYueG1sUEsBAhQAFAAAAAgAh07iQDlN/YUnBQAAvCEAAA4AAAAAAAAAAQAg&#10;AAAAKAEAAGRycy9lMm9Eb2MueG1sUEsFBgAAAAAGAAYAWQEAAMEIAAAAAA==&#10;">
                      <o:lock v:ext="edit" aspectratio="f"/>
                      <v:shape id="_x0000_s1026" o:spid="_x0000_s1026" o:spt="202" type="#_x0000_t202" style="position:absolute;left:5588;top:713001;height:512;width:3224;"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地面及墙裙防渗、导流槽建设等</w:t>
                              </w:r>
                            </w:p>
                          </w:txbxContent>
                        </v:textbox>
                      </v:shape>
                      <v:shape id="_x0000_s1026" o:spid="_x0000_s1026" o:spt="202" type="#_x0000_t202" style="position:absolute;left:11362;top:713003;height:512;width:1250;" fillcolor="#FFFFFF [3201]"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设施安装</w:t>
                              </w:r>
                            </w:p>
                          </w:txbxContent>
                        </v:textbox>
                      </v:shape>
                      <v:shape id="_x0000_s1026" o:spid="_x0000_s1026" o:spt="32" type="#_x0000_t32" style="position:absolute;left:8812;top:713251;flip:y;height:6;width:650;" filled="f" stroked="t" coordsize="21600,21600" o:gfxdata="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677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_x0000_s1026" o:spid="_x0000_s1026" o:spt="32" type="#_x0000_t32" style="position:absolute;left:7151;top:712638;flip:y;height:375;width:0;" filled="f" stroked="t" coordsize="21600,21600" o:gfxdata="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5Bab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shape id="_x0000_s1026" o:spid="_x0000_s1026" o:spt="202" type="#_x0000_t202" style="position:absolute;left:5725;top:712227;height:512;width:2862;"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eastAsia="宋体"/>
                                  <w:lang w:eastAsia="zh-CN"/>
                                </w:rPr>
                              </w:pPr>
                              <w:r>
                                <w:rPr>
                                  <w:rFonts w:hint="eastAsia"/>
                                  <w:lang w:eastAsia="zh-CN"/>
                                </w:rPr>
                                <w:t>粉尘、废水、噪声、固废</w:t>
                              </w:r>
                            </w:p>
                          </w:txbxContent>
                        </v:textbox>
                      </v:shape>
                      <v:shape id="_x0000_s1026" o:spid="_x0000_s1026" o:spt="32" type="#_x0000_t32" style="position:absolute;left:12000;top:712625;flip:y;height:375;width:0;" filled="f" stroked="t" coordsize="21600,21600" o:gfxdata="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S4xA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shape id="_x0000_s1026" o:spid="_x0000_s1026" o:spt="202" type="#_x0000_t202" style="position:absolute;left:11338;top:712249;height:512;width:1475;"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噪声、固废</w:t>
                              </w:r>
                            </w:p>
                          </w:txbxContent>
                        </v:textbox>
                      </v:shape>
                      <v:shape id="_x0000_s1026" o:spid="_x0000_s1026" o:spt="202" type="#_x0000_t202" style="position:absolute;left:9465;top:713004;height:512;width:1250;" fillcolor="#FFFFFF [3201]" filled="t" stroked="t" coordsize="21600,21600" o:gfxdata="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eTQDG2AAAA2w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pPr>
                                <w:spacing w:line="240" w:lineRule="auto"/>
                                <w:rPr>
                                  <w:rFonts w:hint="eastAsia" w:eastAsia="宋体"/>
                                  <w:lang w:eastAsia="zh-CN"/>
                                </w:rPr>
                              </w:pPr>
                              <w:r>
                                <w:rPr>
                                  <w:rFonts w:hint="eastAsia" w:eastAsia="宋体"/>
                                  <w:lang w:eastAsia="zh-CN"/>
                                </w:rPr>
                                <w:t>粉刷装饰</w:t>
                              </w:r>
                            </w:p>
                          </w:txbxContent>
                        </v:textbox>
                      </v:shape>
                      <v:shape id="_x0000_s1026" o:spid="_x0000_s1026" o:spt="32" type="#_x0000_t32" style="position:absolute;left:10712;top:713239;flip:y;height:6;width:650;" filled="f" stroked="t" coordsize="21600,21600" o:gfxdata="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PmN7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10037;top:712637;flip:y;height:375;width:0;" filled="f" stroked="t" coordsize="21600,21600" o:gfxdata="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3CKQ7sAAADb&#10;AAAADwAAAAAAAAABACAAAAAiAAAAZHJzL2Rvd25yZXYueG1sUEsBAhQAFAAAAAgAh07iQDMvBZ47&#10;AAAAOQAAABAAAAAAAAAAAQAgAAAACgEAAGRycy9zaGFwZXhtbC54bWxQSwUGAAAAAAYABgBbAQAA&#10;tAMAAAAA&#10;">
                        <v:fill on="f" focussize="0,0"/>
                        <v:stroke color="#000000 [3213]" joinstyle="round" dashstyle="dash" endarrow="block"/>
                        <v:imagedata o:title=""/>
                        <o:lock v:ext="edit" aspectratio="f"/>
                      </v:shape>
                      <v:shape id="_x0000_s1026" o:spid="_x0000_s1026" o:spt="202" type="#_x0000_t202" style="position:absolute;left:9112;top:712252;height:512;width:2038;"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eastAsia="zh-CN"/>
                                </w:rPr>
                                <w:t>粉尘、噪声、固废</w:t>
                              </w:r>
                            </w:p>
                          </w:txbxContent>
                        </v:textbox>
                      </v:shape>
                      <v:shape id="_x0000_s1026" o:spid="_x0000_s1026" o:spt="32" type="#_x0000_t32" style="position:absolute;left:7164;top:713513;height:398;width:0;" filled="f" stroked="t" coordsize="21600,21600" o:gfxdata="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o4ZvQAA&#10;ANs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_x0000_s1026" o:spid="_x0000_s1026" o:spt="202" type="#_x0000_t202" style="position:absolute;left:6061;top:713845;height:512;width:2891;"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eastAsia="宋体"/>
                                  <w:lang w:eastAsia="zh-CN"/>
                                </w:rPr>
                              </w:pPr>
                              <w:r>
                                <w:rPr>
                                  <w:rFonts w:hint="eastAsia"/>
                                  <w:lang w:eastAsia="zh-CN"/>
                                </w:rPr>
                                <w:t>废水：沉淀回用及地面抑尘</w:t>
                              </w:r>
                            </w:p>
                          </w:txbxContent>
                        </v:textbox>
                      </v:shape>
                    </v:group>
                  </w:pict>
                </mc:Fallback>
              </mc:AlternateContent>
            </w:r>
          </w:p>
          <w:p>
            <w:pPr>
              <w:pStyle w:val="92"/>
              <w:ind w:firstLine="482"/>
              <w:rPr>
                <w:rFonts w:hint="default" w:ascii="Times New Roman" w:hAnsi="Times New Roman" w:cs="Times New Roman"/>
                <w:b/>
                <w:bCs w:val="0"/>
                <w:color w:val="auto"/>
              </w:rPr>
            </w:pPr>
          </w:p>
          <w:p>
            <w:pPr>
              <w:pStyle w:val="92"/>
              <w:ind w:firstLine="482"/>
              <w:rPr>
                <w:rFonts w:hint="default" w:ascii="Times New Roman" w:hAnsi="Times New Roman" w:cs="Times New Roman"/>
                <w:b/>
                <w:bCs w:val="0"/>
                <w:color w:val="auto"/>
              </w:rPr>
            </w:pPr>
          </w:p>
          <w:p>
            <w:pPr>
              <w:pStyle w:val="92"/>
              <w:ind w:firstLine="482"/>
              <w:rPr>
                <w:rFonts w:hint="default" w:ascii="Times New Roman" w:hAnsi="Times New Roman" w:cs="Times New Roman"/>
                <w:b/>
                <w:bCs w:val="0"/>
                <w:color w:val="auto"/>
              </w:rPr>
            </w:pPr>
          </w:p>
          <w:p>
            <w:pPr>
              <w:spacing w:line="360" w:lineRule="auto"/>
              <w:jc w:val="both"/>
              <w:rPr>
                <w:rFonts w:hint="default" w:ascii="Times New Roman" w:hAnsi="Times New Roman" w:cs="Times New Roman"/>
                <w:b/>
                <w:color w:val="auto"/>
                <w:sz w:val="24"/>
                <w:szCs w:val="24"/>
              </w:rPr>
            </w:pPr>
          </w:p>
          <w:p>
            <w:pPr>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图2-</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施工期工艺流程</w:t>
            </w:r>
            <w:r>
              <w:rPr>
                <w:rFonts w:hint="eastAsia" w:cs="Times New Roman"/>
                <w:b/>
                <w:color w:val="auto"/>
                <w:sz w:val="24"/>
                <w:szCs w:val="24"/>
                <w:lang w:eastAsia="zh-CN"/>
              </w:rPr>
              <w:t>及产排污节点</w:t>
            </w:r>
            <w:r>
              <w:rPr>
                <w:rFonts w:hint="default" w:ascii="Times New Roman" w:hAnsi="Times New Roman" w:cs="Times New Roman"/>
                <w:b/>
                <w:color w:val="auto"/>
                <w:sz w:val="24"/>
                <w:szCs w:val="24"/>
              </w:rPr>
              <w:t>图</w:t>
            </w:r>
          </w:p>
          <w:p>
            <w:pPr>
              <w:pStyle w:val="92"/>
              <w:spacing w:before="120" w:beforeLines="50"/>
              <w:ind w:firstLine="439" w:firstLineChars="183"/>
              <w:rPr>
                <w:rFonts w:hint="default" w:ascii="Times New Roman" w:hAnsi="Times New Roman" w:cs="Times New Roman"/>
                <w:color w:val="auto"/>
              </w:rPr>
            </w:pPr>
            <w:r>
              <w:rPr>
                <w:rFonts w:hint="default" w:ascii="Times New Roman" w:hAnsi="Times New Roman" w:cs="Times New Roman"/>
                <w:color w:val="auto"/>
              </w:rPr>
              <w:t>（1）</w:t>
            </w:r>
            <w:r>
              <w:rPr>
                <w:rFonts w:hint="eastAsia"/>
                <w:color w:val="auto"/>
                <w:lang w:eastAsia="zh-CN"/>
              </w:rPr>
              <w:t>地面及墙裙防渗、导流槽建设</w:t>
            </w:r>
          </w:p>
          <w:p>
            <w:pPr>
              <w:pStyle w:val="92"/>
              <w:spacing w:line="372" w:lineRule="auto"/>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施工过程中会产生少量粉尘、</w:t>
            </w:r>
            <w:r>
              <w:rPr>
                <w:rFonts w:hint="eastAsia" w:ascii="Times New Roman" w:hAnsi="Times New Roman" w:cs="Times New Roman"/>
                <w:color w:val="auto"/>
                <w:lang w:eastAsia="zh-CN"/>
              </w:rPr>
              <w:t>废水、</w:t>
            </w:r>
            <w:r>
              <w:rPr>
                <w:rFonts w:hint="default" w:ascii="Times New Roman" w:hAnsi="Times New Roman" w:cs="Times New Roman"/>
                <w:color w:val="auto"/>
              </w:rPr>
              <w:t>噪声及</w:t>
            </w:r>
            <w:r>
              <w:rPr>
                <w:rFonts w:hint="eastAsia" w:ascii="Times New Roman" w:hAnsi="Times New Roman" w:cs="Times New Roman"/>
                <w:color w:val="auto"/>
                <w:lang w:eastAsia="zh-CN"/>
              </w:rPr>
              <w:t>建筑垃圾。</w:t>
            </w:r>
            <w:r>
              <w:rPr>
                <w:rFonts w:hint="default" w:ascii="Times New Roman" w:hAnsi="Times New Roman" w:cs="Times New Roman"/>
                <w:color w:val="auto"/>
              </w:rPr>
              <w:t>在</w:t>
            </w:r>
            <w:r>
              <w:rPr>
                <w:rFonts w:hint="eastAsia" w:ascii="Times New Roman" w:hAnsi="Times New Roman" w:cs="Times New Roman"/>
                <w:color w:val="auto"/>
                <w:lang w:eastAsia="zh-CN"/>
              </w:rPr>
              <w:t>施工区</w:t>
            </w:r>
            <w:r>
              <w:rPr>
                <w:rFonts w:hint="default" w:ascii="Times New Roman" w:hAnsi="Times New Roman" w:cs="Times New Roman"/>
                <w:color w:val="auto"/>
              </w:rPr>
              <w:t>设置</w:t>
            </w:r>
            <w:r>
              <w:rPr>
                <w:rFonts w:hint="eastAsia" w:ascii="Times New Roman" w:hAnsi="Times New Roman" w:cs="Times New Roman"/>
                <w:color w:val="auto"/>
                <w:lang w:eastAsia="zh-CN"/>
              </w:rPr>
              <w:t>移动</w:t>
            </w:r>
            <w:r>
              <w:rPr>
                <w:rFonts w:hint="default" w:ascii="Times New Roman" w:hAnsi="Times New Roman" w:cs="Times New Roman"/>
                <w:color w:val="auto"/>
              </w:rPr>
              <w:t>临时沉淀池对废水进行收集</w:t>
            </w:r>
            <w:r>
              <w:rPr>
                <w:rFonts w:hint="eastAsia" w:ascii="Times New Roman" w:hAnsi="Times New Roman" w:cs="Times New Roman"/>
                <w:color w:val="auto"/>
                <w:lang w:eastAsia="zh-CN"/>
              </w:rPr>
              <w:t>沉淀，</w:t>
            </w:r>
            <w:r>
              <w:rPr>
                <w:rFonts w:hint="default" w:ascii="Times New Roman" w:hAnsi="Times New Roman" w:cs="Times New Roman"/>
                <w:color w:val="auto"/>
              </w:rPr>
              <w:t>然后</w:t>
            </w:r>
            <w:r>
              <w:rPr>
                <w:rFonts w:hint="eastAsia" w:ascii="Times New Roman" w:hAnsi="Times New Roman" w:cs="Times New Roman"/>
                <w:color w:val="auto"/>
                <w:lang w:eastAsia="zh-CN"/>
              </w:rPr>
              <w:t>回用施工以及地面抑尘</w:t>
            </w:r>
            <w:r>
              <w:rPr>
                <w:rFonts w:hint="default" w:ascii="Times New Roman" w:hAnsi="Times New Roman" w:cs="Times New Roman"/>
                <w:color w:val="auto"/>
              </w:rPr>
              <w:t>。</w:t>
            </w:r>
            <w:r>
              <w:rPr>
                <w:rFonts w:hint="eastAsia" w:ascii="Times New Roman" w:hAnsi="Times New Roman" w:cs="Times New Roman"/>
                <w:color w:val="auto"/>
                <w:lang w:eastAsia="zh-CN"/>
              </w:rPr>
              <w:t>建筑垃圾运往相关部门制定的建筑垃圾收集点。</w:t>
            </w:r>
          </w:p>
          <w:p>
            <w:pPr>
              <w:pStyle w:val="92"/>
              <w:spacing w:line="372" w:lineRule="auto"/>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eastAsia="zh-CN"/>
              </w:rPr>
              <w:t>粉刷装饰</w:t>
            </w:r>
          </w:p>
          <w:p>
            <w:pPr>
              <w:pStyle w:val="92"/>
              <w:spacing w:line="372" w:lineRule="auto"/>
              <w:ind w:firstLine="480"/>
              <w:rPr>
                <w:rFonts w:hint="default" w:ascii="Times New Roman" w:hAnsi="Times New Roman" w:cs="Times New Roman"/>
                <w:color w:val="auto"/>
              </w:rPr>
            </w:pPr>
            <w:r>
              <w:rPr>
                <w:rFonts w:hint="default" w:ascii="Times New Roman" w:hAnsi="Times New Roman" w:cs="Times New Roman"/>
                <w:color w:val="auto"/>
              </w:rPr>
              <w:t>本项目主要是对</w:t>
            </w:r>
            <w:r>
              <w:rPr>
                <w:rFonts w:hint="eastAsia" w:ascii="Times New Roman" w:hAnsi="Times New Roman" w:cs="Times New Roman"/>
                <w:color w:val="auto"/>
                <w:lang w:eastAsia="zh-CN"/>
              </w:rPr>
              <w:t>危废</w:t>
            </w:r>
            <w:r>
              <w:rPr>
                <w:rFonts w:hint="default" w:ascii="Times New Roman" w:hAnsi="Times New Roman" w:cs="Times New Roman"/>
                <w:color w:val="auto"/>
              </w:rPr>
              <w:t>间进行</w:t>
            </w:r>
            <w:r>
              <w:rPr>
                <w:rFonts w:hint="eastAsia" w:ascii="Times New Roman" w:hAnsi="Times New Roman" w:cs="Times New Roman"/>
                <w:color w:val="auto"/>
                <w:lang w:eastAsia="zh-CN"/>
              </w:rPr>
              <w:t>简单粉刷</w:t>
            </w:r>
            <w:r>
              <w:rPr>
                <w:rFonts w:hint="default" w:ascii="Times New Roman" w:hAnsi="Times New Roman" w:cs="Times New Roman"/>
                <w:color w:val="auto"/>
              </w:rPr>
              <w:t>，主要产生少量粉尘和非甲烷总烃</w:t>
            </w:r>
            <w:r>
              <w:rPr>
                <w:rFonts w:hint="eastAsia" w:ascii="Times New Roman" w:hAnsi="Times New Roman" w:cs="Times New Roman"/>
                <w:color w:val="auto"/>
                <w:lang w:eastAsia="zh-CN"/>
              </w:rPr>
              <w:t>、</w:t>
            </w:r>
            <w:r>
              <w:rPr>
                <w:rFonts w:hint="default" w:ascii="Times New Roman" w:hAnsi="Times New Roman" w:cs="Times New Roman"/>
                <w:color w:val="auto"/>
              </w:rPr>
              <w:t>噪声及少量的建筑垃圾。</w:t>
            </w:r>
            <w:r>
              <w:rPr>
                <w:rFonts w:hint="eastAsia" w:ascii="Times New Roman" w:hAnsi="Times New Roman" w:cs="Times New Roman"/>
                <w:color w:val="auto"/>
                <w:lang w:eastAsia="zh-CN"/>
              </w:rPr>
              <w:t>建筑垃圾运往相关部门制定的建筑垃圾收集点。</w:t>
            </w:r>
          </w:p>
          <w:p>
            <w:pPr>
              <w:pStyle w:val="92"/>
              <w:spacing w:line="372" w:lineRule="auto"/>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3</w:t>
            </w:r>
            <w:r>
              <w:rPr>
                <w:rFonts w:hint="default" w:ascii="Times New Roman" w:hAnsi="Times New Roman" w:cs="Times New Roman"/>
                <w:color w:val="auto"/>
              </w:rPr>
              <w:t>）</w:t>
            </w:r>
            <w:r>
              <w:rPr>
                <w:rFonts w:hint="eastAsia" w:ascii="Times New Roman" w:hAnsi="Times New Roman" w:cs="Times New Roman"/>
                <w:color w:val="auto"/>
                <w:lang w:eastAsia="zh-CN"/>
              </w:rPr>
              <w:t>设施</w:t>
            </w:r>
            <w:r>
              <w:rPr>
                <w:rFonts w:hint="default" w:ascii="Times New Roman" w:hAnsi="Times New Roman" w:cs="Times New Roman"/>
                <w:color w:val="auto"/>
              </w:rPr>
              <w:t>安装</w:t>
            </w:r>
          </w:p>
          <w:p>
            <w:pPr>
              <w:pStyle w:val="92"/>
              <w:spacing w:line="372"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主要对</w:t>
            </w:r>
            <w:r>
              <w:rPr>
                <w:rFonts w:hint="eastAsia" w:ascii="Times New Roman" w:hAnsi="Times New Roman" w:cs="Times New Roman"/>
                <w:color w:val="auto"/>
                <w:lang w:eastAsia="zh-CN"/>
              </w:rPr>
              <w:t>安装集气罩和引风管道等，主要产生固废和噪声</w:t>
            </w:r>
            <w:r>
              <w:rPr>
                <w:rFonts w:hint="default" w:ascii="Times New Roman" w:hAnsi="Times New Roman" w:cs="Times New Roman"/>
                <w:color w:val="auto"/>
              </w:rPr>
              <w:t>。</w:t>
            </w:r>
            <w:r>
              <w:rPr>
                <w:rFonts w:hint="eastAsia" w:ascii="Times New Roman" w:hAnsi="Times New Roman" w:cs="Times New Roman"/>
                <w:color w:val="auto"/>
                <w:lang w:eastAsia="zh-CN"/>
              </w:rPr>
              <w:t>固体废物主要为金属管道的边角料，外售，不外排。</w:t>
            </w:r>
          </w:p>
          <w:p>
            <w:pPr>
              <w:spacing w:line="360" w:lineRule="auto"/>
              <w:ind w:firstLine="422" w:firstLineChars="200"/>
              <w:rPr>
                <w:rFonts w:hint="default" w:ascii="Times New Roman" w:hAnsi="Times New Roman" w:cs="Times New Roman"/>
                <w:b/>
                <w:bCs w:val="0"/>
                <w:color w:val="auto"/>
              </w:rPr>
            </w:pPr>
            <w:r>
              <w:rPr>
                <w:b/>
                <w:bCs/>
                <w:color w:val="auto"/>
              </w:rPr>
              <w:t>2、营运期工艺流程</w:t>
            </w:r>
            <w:r>
              <w:rPr>
                <w:color w:val="auto"/>
                <w:sz w:val="24"/>
              </w:rPr>
              <mc:AlternateContent>
                <mc:Choice Requires="wpg">
                  <w:drawing>
                    <wp:anchor distT="0" distB="0" distL="114300" distR="114300" simplePos="0" relativeHeight="251663360" behindDoc="0" locked="0" layoutInCell="1" allowOverlap="1">
                      <wp:simplePos x="0" y="0"/>
                      <wp:positionH relativeFrom="column">
                        <wp:posOffset>101600</wp:posOffset>
                      </wp:positionH>
                      <wp:positionV relativeFrom="paragraph">
                        <wp:posOffset>17780</wp:posOffset>
                      </wp:positionV>
                      <wp:extent cx="5078095" cy="800735"/>
                      <wp:effectExtent l="0" t="0" r="8255" b="19685"/>
                      <wp:wrapNone/>
                      <wp:docPr id="57" name="组合 57"/>
                      <wp:cNvGraphicFramePr/>
                      <a:graphic xmlns:a="http://schemas.openxmlformats.org/drawingml/2006/main">
                        <a:graphicData uri="http://schemas.microsoft.com/office/word/2010/wordprocessingGroup">
                          <wpg:wgp>
                            <wpg:cNvGrpSpPr/>
                            <wpg:grpSpPr>
                              <a:xfrm>
                                <a:off x="0" y="0"/>
                                <a:ext cx="5078095" cy="800735"/>
                                <a:chOff x="5337" y="723442"/>
                                <a:chExt cx="7997" cy="1261"/>
                              </a:xfrm>
                            </wpg:grpSpPr>
                            <wps:wsp>
                              <wps:cNvPr id="43" name="文本框 23"/>
                              <wps:cNvSpPr txBox="1"/>
                              <wps:spPr>
                                <a:xfrm>
                                  <a:off x="6737" y="724191"/>
                                  <a:ext cx="1725" cy="512"/>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管理人员登记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27"/>
                              <wps:cNvSpPr txBox="1"/>
                              <wps:spPr>
                                <a:xfrm>
                                  <a:off x="11524" y="724181"/>
                                  <a:ext cx="1811" cy="476"/>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有资质单位转运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直接箭头连接符 28"/>
                              <wps:cNvCnPr/>
                              <wps:spPr>
                                <a:xfrm flipV="1">
                                  <a:off x="8475" y="724429"/>
                                  <a:ext cx="650" cy="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文本框 33"/>
                              <wps:cNvSpPr txBox="1"/>
                              <wps:spPr>
                                <a:xfrm>
                                  <a:off x="9128" y="724170"/>
                                  <a:ext cx="1774" cy="512"/>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宋体"/>
                                        <w:lang w:eastAsia="zh-CN"/>
                                      </w:rPr>
                                    </w:pPr>
                                    <w:r>
                                      <w:rPr>
                                        <w:rFonts w:hint="eastAsia" w:eastAsia="宋体"/>
                                        <w:lang w:eastAsia="zh-CN"/>
                                      </w:rPr>
                                      <w:t>危废暂存间暂存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直接箭头连接符 34"/>
                              <wps:cNvCnPr/>
                              <wps:spPr>
                                <a:xfrm flipV="1">
                                  <a:off x="10900" y="724404"/>
                                  <a:ext cx="650" cy="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直接箭头连接符 35"/>
                              <wps:cNvCnPr/>
                              <wps:spPr>
                                <a:xfrm flipV="1">
                                  <a:off x="10000" y="723764"/>
                                  <a:ext cx="0" cy="37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3" name="文本框 36"/>
                              <wps:cNvSpPr txBox="1"/>
                              <wps:spPr>
                                <a:xfrm>
                                  <a:off x="9299" y="723442"/>
                                  <a:ext cx="1402"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38"/>
                              <wps:cNvSpPr txBox="1"/>
                              <wps:spPr>
                                <a:xfrm>
                                  <a:off x="5337" y="724035"/>
                                  <a:ext cx="1191"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危险废物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直接箭头连接符 28"/>
                              <wps:cNvCnPr/>
                              <wps:spPr>
                                <a:xfrm flipV="1">
                                  <a:off x="6088" y="724442"/>
                                  <a:ext cx="650" cy="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8pt;margin-top:1.4pt;height:63.05pt;width:399.85pt;z-index:251663360;mso-width-relative:page;mso-height-relative:page;" coordorigin="5337,723442" coordsize="7997,1261" o:gfxdata="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">
                      <o:lock v:ext="edit" aspectratio="f"/>
                      <v:shape id="文本框 23" o:spid="_x0000_s1026" o:spt="202" type="#_x0000_t202" style="position:absolute;left:6737;top:724191;height:512;width:1725;" fillcolor="#FFFFFF [3201]" filled="t" stroked="t" coordsize="21600,21600" o:gfxdata="UEsDBAoAAAAAAIdO4kAAAAAAAAAAAAAAAAAEAAAAZHJzL1BLAwQUAAAACACHTuJAH5UzTLcAAADb&#10;AAAADwAAAGRycy9kb3ducmV2LnhtbEWPwQrCMBBE74L/EFbwpqlWRK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lTNM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管理人员登记</w:t>
                              </w:r>
                            </w:p>
                          </w:txbxContent>
                        </v:textbox>
                      </v:shape>
                      <v:shape id="文本框 27" o:spid="_x0000_s1026" o:spt="202" type="#_x0000_t202" style="position:absolute;left:11524;top:724181;height:476;width:1811;"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有资质单位转运</w:t>
                              </w:r>
                            </w:p>
                          </w:txbxContent>
                        </v:textbox>
                      </v:shape>
                      <v:shape id="直接箭头连接符 28" o:spid="_x0000_s1026" o:spt="32" type="#_x0000_t32" style="position:absolute;left:8475;top:724429;flip:y;height:6;width:650;" filled="f" stroked="t" coordsize="21600,21600" o:gfxdata="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TDR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文本框 33" o:spid="_x0000_s1026" o:spt="202" type="#_x0000_t202" style="position:absolute;left:9128;top:724170;height:512;width:1774;" fillcolor="#FFFFFF [3201]" filled="t" stroked="t" coordsize="21600,21600" o:gfxdata="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qnjvmtAAAANsAAAAPAAAA&#10;AAAAAAEAIAAAACIAAABkcnMvZG93bnJldi54bWxQSwECFAAUAAAACACHTuJAMy8FnjsAAAA5AAAA&#10;EAAAAAAAAAABACAAAAADAQAAZHJzL3NoYXBleG1sLnhtbFBLBQYAAAAABgAGAFsBAACtAwAAAAA=&#10;">
                        <v:fill on="t" focussize="0,0"/>
                        <v:stroke weight="0.5pt" color="#000000 [3213]" joinstyle="round"/>
                        <v:imagedata o:title=""/>
                        <o:lock v:ext="edit" aspectratio="f"/>
                        <v:textbox>
                          <w:txbxContent>
                            <w:p>
                              <w:pPr>
                                <w:spacing w:line="240" w:lineRule="auto"/>
                                <w:rPr>
                                  <w:rFonts w:hint="eastAsia" w:eastAsia="宋体"/>
                                  <w:lang w:eastAsia="zh-CN"/>
                                </w:rPr>
                              </w:pPr>
                              <w:r>
                                <w:rPr>
                                  <w:rFonts w:hint="eastAsia" w:eastAsia="宋体"/>
                                  <w:lang w:eastAsia="zh-CN"/>
                                </w:rPr>
                                <w:t>危废暂存间暂存</w:t>
                              </w:r>
                            </w:p>
                          </w:txbxContent>
                        </v:textbox>
                      </v:shape>
                      <v:shape id="直接箭头连接符 34" o:spid="_x0000_s1026" o:spt="32" type="#_x0000_t32" style="position:absolute;left:10900;top:724404;flip:y;height:6;width:650;" filled="f" stroked="t" coordsize="21600,21600" o:gfxdata="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ugD7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35" o:spid="_x0000_s1026" o:spt="32" type="#_x0000_t32" style="position:absolute;left:10000;top:723764;flip:y;height:375;width:0;" filled="f" stroked="t" coordsize="21600,21600" o:gfxdata="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RveX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shape id="文本框 36" o:spid="_x0000_s1026" o:spt="202" type="#_x0000_t202" style="position:absolute;left:9299;top:723442;height:512;width:1402;" filled="f" stroked="f" coordsize="21600,21600" o:gfxdata="UEsDBAoAAAAAAIdO4kAAAAAAAAAAAAAAAAAEAAAAZHJzL1BLAwQUAAAACACHTuJArZxuN78AAADb&#10;AAAADwAAAGRycy9kb3ducmV2LnhtbEWPQWvCQBSE7wX/w/IEb3UTS4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bj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eastAsia="zh-CN"/>
                                </w:rPr>
                                <w:t>废气、噪声</w:t>
                              </w:r>
                            </w:p>
                          </w:txbxContent>
                        </v:textbox>
                      </v:shape>
                      <v:shape id="文本框 38" o:spid="_x0000_s1026" o:spt="202" type="#_x0000_t202" style="position:absolute;left:5337;top:724035;height:512;width:1191;"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危险废物</w:t>
                              </w:r>
                            </w:p>
                          </w:txbxContent>
                        </v:textbox>
                      </v:shape>
                      <v:shape id="直接箭头连接符 28" o:spid="_x0000_s1026" o:spt="32" type="#_x0000_t32" style="position:absolute;left:6088;top:724442;flip:y;height:6;width:650;" filled="f" stroked="t" coordsize="21600,21600" o:gfxdata="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4e7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group>
                  </w:pict>
                </mc:Fallback>
              </mc:AlternateContent>
            </w:r>
          </w:p>
          <w:p>
            <w:pPr>
              <w:pStyle w:val="92"/>
              <w:ind w:firstLine="482"/>
              <w:rPr>
                <w:rFonts w:hint="default" w:ascii="Times New Roman" w:hAnsi="Times New Roman" w:cs="Times New Roman"/>
                <w:b/>
                <w:bCs w:val="0"/>
                <w:color w:val="auto"/>
              </w:rPr>
            </w:pPr>
          </w:p>
          <w:p>
            <w:pPr>
              <w:pStyle w:val="92"/>
              <w:ind w:firstLine="482"/>
              <w:rPr>
                <w:rFonts w:hint="default" w:ascii="Times New Roman" w:hAnsi="Times New Roman" w:cs="Times New Roman"/>
                <w:b/>
                <w:bCs w:val="0"/>
                <w:color w:val="auto"/>
              </w:rPr>
            </w:pPr>
          </w:p>
          <w:p>
            <w:pPr>
              <w:spacing w:line="360" w:lineRule="auto"/>
              <w:ind w:firstLine="482" w:firstLineChars="200"/>
              <w:contextualSpacing/>
              <w:jc w:val="center"/>
              <w:rPr>
                <w:rFonts w:hint="eastAsia" w:ascii="Times New Roman" w:hAnsi="Times New Roman" w:eastAsia="宋体" w:cs="Times New Roman"/>
                <w:b/>
                <w:bCs/>
                <w:color w:val="auto"/>
                <w:spacing w:val="0"/>
                <w:kern w:val="2"/>
                <w:sz w:val="24"/>
                <w:szCs w:val="24"/>
                <w:lang w:val="en-US" w:eastAsia="zh-CN" w:bidi="ar-SA"/>
              </w:rPr>
            </w:pPr>
          </w:p>
          <w:p>
            <w:pPr>
              <w:spacing w:line="360" w:lineRule="auto"/>
              <w:ind w:firstLine="482" w:firstLineChars="200"/>
              <w:contextualSpacing/>
              <w:jc w:val="center"/>
              <w:rPr>
                <w:rFonts w:hint="eastAsia" w:ascii="Times New Roman" w:hAnsi="Times New Roman" w:eastAsia="宋体" w:cs="Times New Roman"/>
                <w:b/>
                <w:bCs/>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图2-</w:t>
            </w:r>
            <w:r>
              <w:rPr>
                <w:rFonts w:hint="eastAsia" w:cs="Times New Roman"/>
                <w:b/>
                <w:bCs/>
                <w:color w:val="auto"/>
                <w:spacing w:val="0"/>
                <w:kern w:val="2"/>
                <w:sz w:val="24"/>
                <w:szCs w:val="24"/>
                <w:lang w:val="en-US" w:eastAsia="zh-CN" w:bidi="ar-SA"/>
              </w:rPr>
              <w:t xml:space="preserve">3 </w:t>
            </w:r>
            <w:r>
              <w:rPr>
                <w:rFonts w:hint="eastAsia" w:ascii="Times New Roman" w:hAnsi="Times New Roman" w:eastAsia="宋体" w:cs="Times New Roman"/>
                <w:b/>
                <w:bCs/>
                <w:color w:val="auto"/>
                <w:spacing w:val="0"/>
                <w:kern w:val="2"/>
                <w:sz w:val="24"/>
                <w:szCs w:val="24"/>
                <w:lang w:val="en-US" w:eastAsia="zh-CN" w:bidi="ar-SA"/>
              </w:rPr>
              <w:t>运营期生产工艺流程及产污环节图</w:t>
            </w:r>
          </w:p>
          <w:p>
            <w:pPr>
              <w:spacing w:line="360" w:lineRule="auto"/>
              <w:ind w:firstLine="422" w:firstLineChars="200"/>
              <w:rPr>
                <w:rFonts w:hint="eastAsia"/>
                <w:b/>
                <w:bCs/>
                <w:color w:val="auto"/>
                <w:sz w:val="24"/>
                <w:szCs w:val="24"/>
              </w:rPr>
            </w:pPr>
            <w:r>
              <w:rPr>
                <w:rFonts w:hint="eastAsia" w:cs="Times New Roman"/>
                <w:b/>
                <w:bCs/>
                <w:color w:val="auto"/>
                <w:spacing w:val="0"/>
                <w:kern w:val="2"/>
                <w:sz w:val="21"/>
                <w:szCs w:val="24"/>
                <w:lang w:val="en-US" w:eastAsia="zh-CN" w:bidi="ar-SA"/>
              </w:rPr>
              <w:t xml:space="preserve"> </w:t>
            </w:r>
            <w:r>
              <w:rPr>
                <w:rFonts w:hint="eastAsia"/>
                <w:b/>
                <w:bCs/>
                <w:color w:val="auto"/>
                <w:sz w:val="24"/>
                <w:szCs w:val="24"/>
              </w:rPr>
              <w:t>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建设单位产生的危险废物经工作人员登记后暂存于危险废物暂存间，定期交由有资质单位统一处置，危险废物在暂存过程中会产生一定的有机废气，主要包括非甲烷总烃、甲醇、甲苯和臭气浓度等。 产生的废气经集气罩收集（危废暂存间封闭管理）+经活性炭吸附装置处理，由17m高排气筒排放。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rFonts w:hint="eastAsia"/>
                <w:b/>
                <w:bCs/>
                <w:color w:val="auto"/>
                <w:sz w:val="24"/>
                <w:szCs w:val="24"/>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 xml:space="preserve">5 </w:t>
            </w:r>
            <w:r>
              <w:rPr>
                <w:rFonts w:hint="eastAsia"/>
                <w:b/>
                <w:bCs/>
                <w:color w:val="auto"/>
                <w:sz w:val="24"/>
                <w:szCs w:val="24"/>
              </w:rPr>
              <w:t>运营期</w:t>
            </w:r>
            <w:r>
              <w:rPr>
                <w:rFonts w:hint="eastAsia"/>
                <w:b/>
                <w:bCs/>
                <w:color w:val="auto"/>
                <w:sz w:val="24"/>
                <w:szCs w:val="24"/>
                <w:lang w:val="en-US" w:eastAsia="zh-CN"/>
              </w:rPr>
              <w:t>目产排污情况一览表</w:t>
            </w:r>
          </w:p>
          <w:tbl>
            <w:tblPr>
              <w:tblStyle w:val="32"/>
              <w:tblW w:w="4973"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2"/>
              <w:gridCol w:w="1711"/>
              <w:gridCol w:w="1381"/>
              <w:gridCol w:w="1890"/>
              <w:gridCol w:w="25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类别</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lang w:val="en-US" w:eastAsia="zh-CN"/>
                    </w:rPr>
                  </w:pPr>
                  <w:r>
                    <w:rPr>
                      <w:rFonts w:hint="default"/>
                      <w:b/>
                      <w:bCs/>
                      <w:color w:val="auto"/>
                      <w:lang w:val="en-US" w:eastAsia="zh-CN"/>
                    </w:rPr>
                    <w:t>产污工序</w:t>
                  </w:r>
                </w:p>
              </w:tc>
              <w:tc>
                <w:tcPr>
                  <w:tcW w:w="8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主要污染物</w:t>
                  </w:r>
                </w:p>
              </w:tc>
              <w:tc>
                <w:tcPr>
                  <w:tcW w:w="1129"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lang w:val="en-US" w:eastAsia="zh-CN"/>
                    </w:rPr>
                  </w:pPr>
                  <w:r>
                    <w:rPr>
                      <w:rFonts w:hint="eastAsia"/>
                      <w:b/>
                      <w:bCs/>
                      <w:color w:val="auto"/>
                      <w:lang w:val="en-US" w:eastAsia="zh-CN"/>
                    </w:rPr>
                    <w:t>污染因子</w:t>
                  </w:r>
                </w:p>
              </w:tc>
              <w:tc>
                <w:tcPr>
                  <w:tcW w:w="155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处理措施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废气</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lang w:eastAsia="zh-CN"/>
                    </w:rPr>
                  </w:pPr>
                  <w:r>
                    <w:rPr>
                      <w:rFonts w:hint="eastAsia"/>
                      <w:color w:val="auto"/>
                      <w:lang w:val="en-US" w:eastAsia="zh-CN"/>
                    </w:rPr>
                    <w:t>危险废物暂存</w:t>
                  </w:r>
                </w:p>
              </w:tc>
              <w:tc>
                <w:tcPr>
                  <w:tcW w:w="8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eastAsia="zh-CN"/>
                    </w:rPr>
                    <w:t>有机废气</w:t>
                  </w:r>
                </w:p>
              </w:tc>
              <w:tc>
                <w:tcPr>
                  <w:tcW w:w="1129"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非甲烷总烃、甲醇、甲苯、臭气浓度</w:t>
                  </w:r>
                </w:p>
              </w:tc>
              <w:tc>
                <w:tcPr>
                  <w:tcW w:w="155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r>
                    <w:rPr>
                      <w:rFonts w:hint="default" w:ascii="Times New Roman" w:hAnsi="Times New Roman" w:cs="Times New Roman"/>
                      <w:color w:val="auto"/>
                      <w:sz w:val="21"/>
                      <w:szCs w:val="21"/>
                      <w:highlight w:val="none"/>
                      <w:lang w:val="en-US" w:eastAsia="zh-CN"/>
                    </w:rPr>
                    <w:t>集气罩收集</w:t>
                  </w:r>
                  <w:r>
                    <w:rPr>
                      <w:rFonts w:hint="default" w:ascii="Times New Roman" w:hAnsi="Times New Roman" w:eastAsia="宋体" w:cs="Times New Roman"/>
                      <w:color w:val="auto"/>
                      <w:spacing w:val="-2"/>
                      <w:sz w:val="21"/>
                      <w:szCs w:val="21"/>
                      <w:lang w:val="en-US" w:eastAsia="zh-CN"/>
                    </w:rPr>
                    <w:t>（</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经活性炭吸附装置处理</w:t>
                  </w:r>
                  <w:r>
                    <w:rPr>
                      <w:rFonts w:hint="default" w:ascii="Times New Roman" w:hAnsi="Times New Roman" w:cs="Times New Roman"/>
                      <w:color w:val="auto"/>
                      <w:sz w:val="21"/>
                      <w:szCs w:val="21"/>
                      <w:highlight w:val="none"/>
                      <w:lang w:val="en-US" w:eastAsia="zh-CN"/>
                    </w:rPr>
                    <w:t>，由17m高排气筒排放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lang w:val="en-US" w:eastAsia="zh-CN"/>
                    </w:rPr>
                  </w:pPr>
                  <w:r>
                    <w:rPr>
                      <w:rFonts w:hint="eastAsia"/>
                      <w:b/>
                      <w:bCs/>
                      <w:color w:val="auto"/>
                      <w:lang w:val="en-US" w:eastAsia="zh-CN"/>
                    </w:rPr>
                    <w:t>噪声</w:t>
                  </w:r>
                </w:p>
              </w:tc>
              <w:tc>
                <w:tcPr>
                  <w:tcW w:w="102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危废暂存间设备</w:t>
                  </w:r>
                  <w:r>
                    <w:rPr>
                      <w:rFonts w:hint="eastAsia" w:ascii="Times New Roman" w:hAnsi="Times New Roman" w:eastAsia="宋体" w:cs="Times New Roman"/>
                      <w:color w:val="auto"/>
                      <w:lang w:val="en-US" w:eastAsia="zh-CN"/>
                    </w:rPr>
                    <w:t xml:space="preserve"> </w:t>
                  </w:r>
                  <w:r>
                    <w:rPr>
                      <w:rFonts w:hint="eastAsia" w:cs="Times New Roman"/>
                      <w:color w:val="auto"/>
                      <w:lang w:val="en-US" w:eastAsia="zh-CN"/>
                    </w:rPr>
                    <w:t>（风机、打包机）</w:t>
                  </w:r>
                </w:p>
              </w:tc>
              <w:tc>
                <w:tcPr>
                  <w:tcW w:w="8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设备噪声</w:t>
                  </w:r>
                </w:p>
              </w:tc>
              <w:tc>
                <w:tcPr>
                  <w:tcW w:w="1129" w:type="pct"/>
                  <w:vMerge w:val="restar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w:t>
                  </w:r>
                  <w:r>
                    <w:rPr>
                      <w:rFonts w:hint="eastAsia" w:cs="Times New Roman"/>
                      <w:color w:val="auto"/>
                      <w:lang w:val="en-US" w:eastAsia="zh-CN"/>
                    </w:rPr>
                    <w:t>（</w:t>
                  </w:r>
                  <w:r>
                    <w:rPr>
                      <w:rFonts w:hint="eastAsia" w:ascii="Times New Roman" w:hAnsi="Times New Roman" w:eastAsia="宋体" w:cs="Times New Roman"/>
                      <w:color w:val="auto"/>
                      <w:lang w:val="en-US" w:eastAsia="zh-CN"/>
                    </w:rPr>
                    <w:t>dB(A)</w:t>
                  </w:r>
                  <w:r>
                    <w:rPr>
                      <w:rFonts w:hint="eastAsia" w:cs="Times New Roman"/>
                      <w:color w:val="auto"/>
                      <w:lang w:val="en-US" w:eastAsia="zh-CN"/>
                    </w:rPr>
                    <w:t>）</w:t>
                  </w:r>
                  <w:r>
                    <w:rPr>
                      <w:rFonts w:hint="eastAsia" w:ascii="Times New Roman" w:hAnsi="Times New Roman" w:eastAsia="宋体" w:cs="Times New Roman"/>
                      <w:color w:val="auto"/>
                      <w:lang w:val="en-US" w:eastAsia="zh-CN"/>
                    </w:rPr>
                    <w:t xml:space="preserve"> </w:t>
                  </w:r>
                </w:p>
              </w:tc>
              <w:tc>
                <w:tcPr>
                  <w:tcW w:w="155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风机：选用低噪声设备</w:t>
                  </w:r>
                  <w:r>
                    <w:rPr>
                      <w:rFonts w:hint="eastAsia" w:cs="Times New Roman"/>
                      <w:color w:val="auto"/>
                      <w:lang w:val="en-US" w:eastAsia="zh-CN"/>
                    </w:rPr>
                    <w:t>，基础减震、消声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p>
              </w:tc>
              <w:tc>
                <w:tcPr>
                  <w:tcW w:w="102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p>
              </w:tc>
              <w:tc>
                <w:tcPr>
                  <w:tcW w:w="8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p>
              </w:tc>
              <w:tc>
                <w:tcPr>
                  <w:tcW w:w="1129"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p>
              </w:tc>
              <w:tc>
                <w:tcPr>
                  <w:tcW w:w="155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打包机：</w:t>
                  </w:r>
                  <w:r>
                    <w:rPr>
                      <w:rFonts w:hint="eastAsia" w:cs="Times New Roman"/>
                      <w:color w:val="auto"/>
                      <w:lang w:eastAsia="zh-CN"/>
                    </w:rPr>
                    <w:t>低噪声设备、厂房隔声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固废</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r>
                    <w:rPr>
                      <w:rFonts w:hint="eastAsia" w:cs="Times New Roman"/>
                      <w:color w:val="auto"/>
                      <w:lang w:val="en-US" w:eastAsia="zh-CN"/>
                    </w:rPr>
                    <w:t>危废暂存间的活性炭吸附设施</w:t>
                  </w:r>
                </w:p>
              </w:tc>
              <w:tc>
                <w:tcPr>
                  <w:tcW w:w="1956" w:type="pct"/>
                  <w:gridSpan w:val="2"/>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废活性炭</w:t>
                  </w:r>
                </w:p>
              </w:tc>
              <w:tc>
                <w:tcPr>
                  <w:tcW w:w="155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r>
                    <w:rPr>
                      <w:rFonts w:hint="eastAsia" w:cs="Times New Roman"/>
                      <w:color w:val="auto"/>
                      <w:lang w:val="en-US" w:eastAsia="zh-CN"/>
                    </w:rPr>
                    <w:t>危废暂存间暂存，交由有资质单位统一拉运处置</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Align w:val="center"/>
          </w:tcPr>
          <w:p>
            <w:pPr>
              <w:pStyle w:val="27"/>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4765" w:type="pct"/>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rPr>
            </w:pPr>
            <w:r>
              <w:rPr>
                <w:rFonts w:hint="default"/>
                <w:color w:val="auto"/>
                <w:sz w:val="24"/>
                <w:szCs w:val="24"/>
              </w:rPr>
              <w:t>一、现有</w:t>
            </w:r>
            <w:r>
              <w:rPr>
                <w:rFonts w:hint="eastAsia"/>
                <w:color w:val="auto"/>
                <w:sz w:val="24"/>
                <w:szCs w:val="24"/>
                <w:lang w:eastAsia="zh-CN"/>
              </w:rPr>
              <w:t>项目</w:t>
            </w:r>
            <w:r>
              <w:rPr>
                <w:rFonts w:hint="default"/>
                <w:color w:val="auto"/>
                <w:sz w:val="24"/>
                <w:szCs w:val="24"/>
              </w:rPr>
              <w:t>概况</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1、环评手续情况</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现有危废暂存间没有单独履行环评手续，企业现有的生产线环评手续中包含了现有危废暂存间的相关内容。</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目前渭南高新区海泰新型电子材料有限责任公司厂区内共涉及2个项目，即液晶显示材料生产线项目和年产20吨医药中间体项目，均已建成投产。具体情况如下:</w:t>
            </w:r>
          </w:p>
          <w:p>
            <w:pPr>
              <w:numPr>
                <w:ilvl w:val="0"/>
                <w:numId w:val="0"/>
              </w:numPr>
              <w:spacing w:line="360" w:lineRule="auto"/>
              <w:ind w:firstLine="480" w:firstLineChars="200"/>
              <w:rPr>
                <w:rFonts w:hint="eastAsia" w:cs="Times New Roman"/>
                <w:color w:val="auto"/>
                <w:kern w:val="2"/>
                <w:sz w:val="21"/>
                <w:szCs w:val="24"/>
                <w:lang w:val="en-US" w:eastAsia="zh-CN" w:bidi="ar-SA"/>
              </w:rPr>
            </w:pPr>
            <w:r>
              <w:rPr>
                <w:rFonts w:hint="eastAsia" w:cs="Times New Roman" w:eastAsiaTheme="minorEastAsia"/>
                <w:color w:val="auto"/>
                <w:kern w:val="0"/>
                <w:sz w:val="24"/>
                <w:szCs w:val="24"/>
                <w:lang w:val="en-US" w:eastAsia="zh-CN"/>
              </w:rPr>
              <w:t>液晶显示材料生产线项目委托渭南市环保科技咨询中心编制完成环境影响报告书，2005年5月取得环评批复（渭环审发[2005] 21 号），2007年7月和2012年4月分两期通过了竣工环保验收（渭环验[2007]4号和渭环验[2012]5号）：年产20吨医药中间体项目委托陕西省现代建筑设计研究院编制完成环境影响报告书，2017年1月取得环评批复（渭环批复[2017]3号），2017年5月通过竣工环保验收（渭环验[2017]11号）。2018年10月，渭南高新区海泰新型电子材料有限责任公司针对“液晶显示材料生产线项目和年产20吨医药中间体项目”开展了环境影响后评价工作，并完成后评价项目报告的备案工作，见备案文件：</w:t>
            </w:r>
            <w:r>
              <w:rPr>
                <w:rFonts w:hint="eastAsia" w:ascii="宋体" w:hAnsi="宋体" w:eastAsia="宋体"/>
                <w:color w:val="auto"/>
                <w:sz w:val="24"/>
                <w:szCs w:val="24"/>
              </w:rPr>
              <w:t>《渭南高新区海泰新型电子材料有限责任公司环境影响后评价报告》（备案号：渭环评备[2019年]1号）</w:t>
            </w:r>
            <w:r>
              <w:rPr>
                <w:rFonts w:hint="eastAsia" w:cs="Times New Roman" w:eastAsiaTheme="minorEastAsia"/>
                <w:color w:val="auto"/>
                <w:kern w:val="0"/>
                <w:sz w:val="24"/>
                <w:szCs w:val="24"/>
                <w:lang w:val="en-US" w:eastAsia="zh-CN"/>
              </w:rPr>
              <w:t>。液晶显示材料生产线项目和年产20吨医药中间体项目两条生产线的危险废物均暂存于现有的危废暂存间，定期由第三方有资质单位转运处置。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200"/>
              <w:textAlignment w:val="auto"/>
              <w:rPr>
                <w:rFonts w:hint="eastAsia" w:ascii="Times New Roman" w:hAnsi="Times New Roman" w:eastAsia="宋体" w:cs="Times New Roman"/>
                <w:b w:val="0"/>
                <w:bCs w:val="0"/>
                <w:color w:val="auto"/>
                <w:sz w:val="24"/>
                <w:lang w:eastAsia="zh-CN"/>
              </w:rPr>
            </w:pPr>
            <w:r>
              <w:rPr>
                <w:rFonts w:hint="eastAsia"/>
                <w:b w:val="0"/>
                <w:bCs w:val="0"/>
                <w:color w:val="auto"/>
                <w:sz w:val="24"/>
                <w:szCs w:val="24"/>
                <w:lang w:val="en-US" w:eastAsia="zh-CN"/>
              </w:rPr>
              <w:t>2、</w:t>
            </w:r>
            <w:r>
              <w:rPr>
                <w:rFonts w:hint="default" w:ascii="Times New Roman" w:hAnsi="Times New Roman" w:cs="Times New Roman"/>
                <w:b w:val="0"/>
                <w:bCs w:val="0"/>
                <w:color w:val="auto"/>
                <w:sz w:val="24"/>
              </w:rPr>
              <w:t>原有项目</w:t>
            </w:r>
            <w:r>
              <w:rPr>
                <w:rFonts w:hint="eastAsia" w:cs="Times New Roman"/>
                <w:b w:val="0"/>
                <w:bCs w:val="0"/>
                <w:color w:val="auto"/>
                <w:sz w:val="24"/>
                <w:lang w:eastAsia="zh-CN"/>
              </w:rPr>
              <w:t>现状</w:t>
            </w:r>
          </w:p>
          <w:p>
            <w:pPr>
              <w:numPr>
                <w:ilvl w:val="0"/>
                <w:numId w:val="0"/>
              </w:numPr>
              <w:spacing w:line="360" w:lineRule="auto"/>
              <w:ind w:firstLine="480" w:firstLineChars="200"/>
              <w:rPr>
                <w:rFonts w:hint="eastAsia" w:cs="Times New Roman"/>
                <w:b w:val="0"/>
                <w:bCs w:val="0"/>
                <w:color w:val="auto"/>
                <w:sz w:val="24"/>
                <w:lang w:val="en-US" w:eastAsia="zh-CN"/>
              </w:rPr>
            </w:pPr>
            <w:r>
              <w:rPr>
                <w:rFonts w:hint="eastAsia" w:cs="Times New Roman"/>
                <w:b w:val="0"/>
                <w:bCs w:val="0"/>
                <w:color w:val="auto"/>
                <w:sz w:val="24"/>
                <w:lang w:val="en-US" w:eastAsia="zh-CN"/>
              </w:rPr>
              <w:t>（1）主要建设内容</w:t>
            </w:r>
          </w:p>
          <w:p>
            <w:pPr>
              <w:numPr>
                <w:ilvl w:val="0"/>
                <w:numId w:val="0"/>
              </w:numPr>
              <w:spacing w:line="360" w:lineRule="auto"/>
              <w:ind w:firstLine="480" w:firstLineChars="200"/>
              <w:rPr>
                <w:rFonts w:hint="eastAsia" w:cs="Times New Roman"/>
                <w:color w:val="auto"/>
                <w:sz w:val="24"/>
                <w:lang w:val="en-US" w:eastAsia="zh-CN"/>
              </w:rPr>
            </w:pPr>
            <w:r>
              <w:rPr>
                <w:rFonts w:hint="eastAsia" w:cs="Times New Roman"/>
                <w:color w:val="auto"/>
                <w:sz w:val="24"/>
                <w:lang w:eastAsia="zh-CN"/>
              </w:rPr>
              <w:t>目前，企业正常使用的现有危废暂存间有</w:t>
            </w:r>
            <w:r>
              <w:rPr>
                <w:rFonts w:hint="eastAsia" w:cs="Times New Roman"/>
                <w:color w:val="auto"/>
                <w:sz w:val="24"/>
                <w:lang w:val="en-US" w:eastAsia="zh-CN"/>
              </w:rPr>
              <w:t>1个，</w:t>
            </w:r>
            <w:r>
              <w:rPr>
                <w:rFonts w:hint="eastAsia" w:cs="Times New Roman"/>
                <w:color w:val="auto"/>
                <w:sz w:val="24"/>
                <w:lang w:eastAsia="zh-CN"/>
              </w:rPr>
              <w:t>现有危废暂存间</w:t>
            </w:r>
            <w:r>
              <w:rPr>
                <w:rFonts w:hint="eastAsia" w:cs="Times New Roman"/>
                <w:color w:val="auto"/>
                <w:sz w:val="24"/>
                <w:lang w:val="en-US" w:eastAsia="zh-CN"/>
              </w:rPr>
              <w:t>组成及主要建设内容见表2-6。</w:t>
            </w:r>
          </w:p>
          <w:p>
            <w:pPr>
              <w:spacing w:line="360" w:lineRule="auto"/>
              <w:jc w:val="center"/>
              <w:rPr>
                <w:b/>
                <w:color w:val="auto"/>
                <w:sz w:val="24"/>
                <w:szCs w:val="24"/>
              </w:rPr>
            </w:pPr>
            <w:r>
              <w:rPr>
                <w:b/>
                <w:color w:val="auto"/>
                <w:sz w:val="24"/>
                <w:szCs w:val="24"/>
              </w:rPr>
              <w:t>表</w:t>
            </w:r>
            <w:r>
              <w:rPr>
                <w:rFonts w:hint="eastAsia"/>
                <w:b/>
                <w:color w:val="auto"/>
                <w:sz w:val="24"/>
                <w:szCs w:val="24"/>
              </w:rPr>
              <w:t>2-</w:t>
            </w:r>
            <w:r>
              <w:rPr>
                <w:rFonts w:hint="eastAsia"/>
                <w:b/>
                <w:color w:val="auto"/>
                <w:sz w:val="24"/>
                <w:szCs w:val="24"/>
                <w:lang w:val="en-US" w:eastAsia="zh-CN"/>
              </w:rPr>
              <w:t>6 现有危废暂存间组成及主要建设内容一览表</w:t>
            </w:r>
          </w:p>
          <w:tbl>
            <w:tblPr>
              <w:tblStyle w:val="3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8"/>
              <w:gridCol w:w="1427"/>
              <w:gridCol w:w="62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类别</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名称</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工程内容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主体工程</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危废暂存区</w:t>
                  </w:r>
                </w:p>
              </w:tc>
              <w:tc>
                <w:tcPr>
                  <w:tcW w:w="3693"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占地面积为</w:t>
                  </w:r>
                  <w:r>
                    <w:rPr>
                      <w:rFonts w:hint="eastAsia" w:cs="Times New Roman"/>
                      <w:color w:val="auto"/>
                      <w:sz w:val="21"/>
                      <w:szCs w:val="21"/>
                      <w:lang w:val="en-US" w:eastAsia="zh-CN"/>
                    </w:rPr>
                    <w:t>44.5</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各类型危险废物贮存区四周</w:t>
                  </w:r>
                  <w:r>
                    <w:rPr>
                      <w:rFonts w:hint="eastAsia"/>
                      <w:color w:val="auto"/>
                      <w:sz w:val="21"/>
                    </w:rPr>
                    <w:t>布设导流槽</w:t>
                  </w:r>
                  <w:r>
                    <w:rPr>
                      <w:rFonts w:hint="eastAsia"/>
                      <w:color w:val="auto"/>
                      <w:sz w:val="21"/>
                      <w:lang w:eastAsia="zh-CN"/>
                    </w:rPr>
                    <w:t>，设置</w:t>
                  </w:r>
                  <w:r>
                    <w:rPr>
                      <w:rFonts w:hint="eastAsia"/>
                      <w:color w:val="auto"/>
                      <w:sz w:val="21"/>
                      <w:lang w:val="en-US" w:eastAsia="zh-CN"/>
                    </w:rPr>
                    <w:t>1个</w:t>
                  </w:r>
                  <w:r>
                    <w:rPr>
                      <w:rFonts w:hint="eastAsia"/>
                      <w:color w:val="auto"/>
                      <w:sz w:val="21"/>
                    </w:rPr>
                    <w:t>集液池</w:t>
                  </w:r>
                  <w:r>
                    <w:rPr>
                      <w:rFonts w:hint="eastAsia"/>
                      <w:color w:val="auto"/>
                      <w:sz w:val="21"/>
                      <w:lang w:eastAsia="zh-CN"/>
                    </w:rPr>
                    <w:t>，容积</w:t>
                  </w:r>
                  <w:r>
                    <w:rPr>
                      <w:rFonts w:hint="eastAsia"/>
                      <w:color w:val="auto"/>
                      <w:sz w:val="21"/>
                      <w:lang w:val="en-US" w:eastAsia="zh-CN"/>
                    </w:rPr>
                    <w:t>3m</w:t>
                  </w:r>
                  <w:r>
                    <w:rPr>
                      <w:rFonts w:hint="eastAsia"/>
                      <w:color w:val="auto"/>
                      <w:sz w:val="21"/>
                      <w:vertAlign w:val="superscript"/>
                      <w:lang w:val="en-US" w:eastAsia="zh-CN"/>
                    </w:rPr>
                    <w:t>3</w:t>
                  </w:r>
                  <w:r>
                    <w:rPr>
                      <w:rFonts w:hint="eastAsia"/>
                      <w:color w:val="auto"/>
                      <w:sz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公用工程</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供电系统</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利用公司现有供电系统电源供电，年用电量约0.5万kWh。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457" w:type="pct"/>
                  <w:vMerge w:val="restar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环保工程</w:t>
                  </w:r>
                </w:p>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 </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现有危废暂存间</w:t>
                  </w:r>
                  <w:r>
                    <w:rPr>
                      <w:rFonts w:hint="default" w:ascii="Times New Roman" w:hAnsi="Times New Roman" w:eastAsia="宋体" w:cs="Times New Roman"/>
                      <w:color w:val="auto"/>
                      <w:kern w:val="2"/>
                      <w:sz w:val="21"/>
                      <w:szCs w:val="21"/>
                    </w:rPr>
                    <w:t>产生</w:t>
                  </w:r>
                  <w:r>
                    <w:rPr>
                      <w:rFonts w:hint="eastAsia" w:ascii="Times New Roman" w:hAnsi="Times New Roman" w:eastAsia="宋体" w:cs="Times New Roman"/>
                      <w:color w:val="auto"/>
                      <w:kern w:val="2"/>
                      <w:sz w:val="21"/>
                      <w:szCs w:val="21"/>
                      <w:lang w:eastAsia="zh-CN"/>
                    </w:rPr>
                    <w:t>非甲烷总烃、甲苯、甲醇等</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经</w:t>
                  </w:r>
                  <w:r>
                    <w:rPr>
                      <w:rFonts w:hint="eastAsia" w:ascii="Times New Roman" w:hAnsi="Times New Roman" w:eastAsia="宋体" w:cs="Times New Roman"/>
                      <w:color w:val="auto"/>
                      <w:kern w:val="2"/>
                      <w:sz w:val="21"/>
                      <w:szCs w:val="21"/>
                      <w:lang w:val="en-US" w:eastAsia="zh-CN"/>
                    </w:rPr>
                    <w:t>集气罩收集（危废暂存间封闭管理）+</w:t>
                  </w:r>
                  <w:r>
                    <w:rPr>
                      <w:rFonts w:hint="default" w:ascii="Times New Roman" w:hAnsi="Times New Roman" w:eastAsia="宋体" w:cs="Times New Roman"/>
                      <w:color w:val="auto"/>
                      <w:kern w:val="2"/>
                      <w:sz w:val="21"/>
                      <w:szCs w:val="21"/>
                      <w:lang w:val="en-US" w:eastAsia="zh-CN"/>
                    </w:rPr>
                    <w:t>经</w:t>
                  </w:r>
                  <w:r>
                    <w:rPr>
                      <w:rFonts w:hint="default" w:ascii="Times New Roman" w:hAnsi="Times New Roman" w:eastAsia="宋体" w:cs="Times New Roman"/>
                      <w:color w:val="auto"/>
                      <w:kern w:val="2"/>
                      <w:sz w:val="21"/>
                      <w:szCs w:val="21"/>
                    </w:rPr>
                    <w:t>活性炭吸附</w:t>
                  </w:r>
                  <w:r>
                    <w:rPr>
                      <w:rFonts w:hint="eastAsia" w:ascii="Times New Roman" w:hAnsi="Times New Roman" w:eastAsia="宋体" w:cs="Times New Roman"/>
                      <w:color w:val="auto"/>
                      <w:kern w:val="2"/>
                      <w:sz w:val="21"/>
                      <w:szCs w:val="21"/>
                      <w:lang w:eastAsia="zh-CN"/>
                    </w:rPr>
                    <w:t>装置处理</w:t>
                  </w:r>
                  <w:r>
                    <w:rPr>
                      <w:rFonts w:hint="default" w:ascii="Times New Roman" w:hAnsi="Times New Roman" w:eastAsia="宋体" w:cs="Times New Roman"/>
                      <w:color w:val="auto"/>
                      <w:kern w:val="2"/>
                      <w:sz w:val="21"/>
                      <w:szCs w:val="21"/>
                    </w:rPr>
                    <w:t>，由</w:t>
                  </w:r>
                  <w:r>
                    <w:rPr>
                      <w:rFonts w:hint="eastAsia" w:ascii="Times New Roman" w:hAnsi="Times New Roman" w:eastAsia="宋体" w:cs="Times New Roman"/>
                      <w:color w:val="auto"/>
                      <w:kern w:val="2"/>
                      <w:sz w:val="21"/>
                      <w:szCs w:val="21"/>
                      <w:lang w:val="en-US" w:eastAsia="zh-CN"/>
                    </w:rPr>
                    <w:t>17</w:t>
                  </w:r>
                  <w:r>
                    <w:rPr>
                      <w:rFonts w:hint="default" w:ascii="Times New Roman" w:hAnsi="Times New Roman" w:eastAsia="宋体" w:cs="Times New Roman"/>
                      <w:color w:val="auto"/>
                      <w:kern w:val="2"/>
                      <w:sz w:val="21"/>
                      <w:szCs w:val="21"/>
                    </w:rPr>
                    <w:t>m高排气筒排放</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eastAsia" w:ascii="Times New Roman" w:hAnsi="Times New Roman" w:eastAsia="宋体" w:cs="Times New Roman"/>
                      <w:color w:val="auto"/>
                      <w:kern w:val="2"/>
                      <w:sz w:val="21"/>
                      <w:szCs w:val="21"/>
                      <w:lang w:val="en-US" w:eastAsia="zh-CN" w:bidi="ar-SA"/>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tabs>
                      <w:tab w:val="left" w:pos="3255"/>
                    </w:tabs>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供水</w:t>
                  </w:r>
                </w:p>
              </w:tc>
              <w:tc>
                <w:tcPr>
                  <w:tcW w:w="3693" w:type="pct"/>
                  <w:tcBorders>
                    <w:tl2br w:val="nil"/>
                    <w:tr2bl w:val="nil"/>
                  </w:tcBorders>
                  <w:noWrap w:val="0"/>
                  <w:vAlign w:val="center"/>
                </w:tcPr>
                <w:p>
                  <w:pPr>
                    <w:tabs>
                      <w:tab w:val="left" w:pos="3255"/>
                    </w:tabs>
                    <w:rPr>
                      <w:rFonts w:hint="eastAsia" w:ascii="Times New Roman" w:hAnsi="Times New Roman" w:eastAsia="宋体" w:cs="Times New Roman"/>
                      <w:color w:val="auto"/>
                      <w:kern w:val="2"/>
                      <w:sz w:val="21"/>
                      <w:szCs w:val="21"/>
                      <w:lang w:val="en-US" w:eastAsia="zh-CN" w:bidi="ar-SA"/>
                    </w:rPr>
                  </w:pPr>
                  <w:r>
                    <w:rPr>
                      <w:rFonts w:hint="eastAsia"/>
                      <w:color w:val="auto"/>
                    </w:rPr>
                    <w:t>本项目不新增劳动定员，不新增生活用水；本项目仅涉及危险废物暂存，无生产用水。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危险废物</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lang w:val="en" w:eastAsia="zh-CN" w:bidi="ar-SA"/>
                    </w:rPr>
                  </w:pPr>
                  <w:r>
                    <w:rPr>
                      <w:rFonts w:hint="eastAsia" w:ascii="Times New Roman" w:hAnsi="Times New Roman" w:eastAsia="宋体" w:cs="Times New Roman"/>
                      <w:color w:val="auto"/>
                      <w:kern w:val="2"/>
                      <w:sz w:val="21"/>
                      <w:szCs w:val="21"/>
                      <w:lang w:val="en-US" w:eastAsia="zh-CN" w:bidi="ar-SA"/>
                    </w:rPr>
                    <w:t>本项目属于危废暂存间，活性炭吸附装置定期更换活性炭，产生的废活性炭暂存于危废间，和暂存的其他危废定期交由有资质单位统一拉运处置。危险废物收集后暂存于危废暂存间，定期交由有资质单位处理；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防渗</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rPr>
                    <w:t>危废间</w:t>
                  </w: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sz w:val="21"/>
                      <w:szCs w:val="21"/>
                      <w:highlight w:val="none"/>
                      <w:lang w:eastAsia="zh-CN"/>
                    </w:rPr>
                    <w:t>采用</w:t>
                  </w:r>
                  <w:r>
                    <w:rPr>
                      <w:rFonts w:hint="default" w:ascii="Times New Roman" w:hAnsi="Times New Roman" w:eastAsia="宋体" w:cs="Times New Roman"/>
                      <w:color w:val="auto"/>
                      <w:sz w:val="21"/>
                      <w:szCs w:val="21"/>
                      <w:highlight w:val="none"/>
                      <w:lang w:val="en-US" w:eastAsia="zh-CN"/>
                    </w:rPr>
                    <w:t>2mm厚的HDPE土工膜+水泥抹面保护层，</w:t>
                  </w:r>
                  <w:r>
                    <w:rPr>
                      <w:rFonts w:hint="default" w:ascii="Times New Roman" w:hAnsi="Times New Roman" w:eastAsia="宋体" w:cs="Times New Roman"/>
                      <w:color w:val="auto"/>
                      <w:sz w:val="21"/>
                      <w:szCs w:val="21"/>
                      <w:highlight w:val="none"/>
                    </w:rPr>
                    <w:t>渗透系数≤1.0×10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kern w:val="2"/>
                      <w:sz w:val="21"/>
                      <w:szCs w:val="21"/>
                      <w:lang w:val="en-US" w:eastAsia="zh-CN" w:bidi="ar-SA"/>
                    </w:rPr>
                    <w:t>各类危险废物独立区域</w:t>
                  </w:r>
                  <w:r>
                    <w:rPr>
                      <w:rFonts w:hint="default" w:ascii="Times New Roman" w:hAnsi="Times New Roman" w:eastAsia="宋体" w:cs="Times New Roman"/>
                      <w:color w:val="auto"/>
                      <w:kern w:val="2"/>
                      <w:sz w:val="21"/>
                      <w:szCs w:val="21"/>
                      <w:lang w:val="en-US" w:eastAsia="zh-CN" w:bidi="ar-SA"/>
                    </w:rPr>
                    <w:t>分别</w:t>
                  </w:r>
                  <w:r>
                    <w:rPr>
                      <w:rFonts w:hint="eastAsia" w:ascii="Times New Roman" w:hAnsi="Times New Roman" w:eastAsia="宋体" w:cs="Times New Roman"/>
                      <w:color w:val="auto"/>
                      <w:kern w:val="2"/>
                      <w:sz w:val="21"/>
                      <w:szCs w:val="21"/>
                      <w:lang w:val="en-US" w:eastAsia="zh-CN" w:bidi="ar-SA"/>
                    </w:rPr>
                    <w:t>设置</w:t>
                  </w:r>
                  <w:r>
                    <w:rPr>
                      <w:rFonts w:hint="default" w:ascii="Times New Roman" w:hAnsi="Times New Roman" w:eastAsia="宋体" w:cs="Times New Roman"/>
                      <w:color w:val="auto"/>
                      <w:kern w:val="2"/>
                      <w:sz w:val="21"/>
                      <w:szCs w:val="21"/>
                      <w:lang w:val="en-US" w:eastAsia="zh-CN" w:bidi="ar-SA"/>
                    </w:rPr>
                    <w:t>防渗托盘，托盘或格栅与箱体密封底之间形成最低15</w:t>
                  </w:r>
                  <w:r>
                    <w:rPr>
                      <w:rFonts w:hint="eastAsia" w:ascii="Times New Roman" w:hAnsi="Times New Roman" w:eastAsia="宋体" w:cs="Times New Roman"/>
                      <w:color w:val="auto"/>
                      <w:kern w:val="2"/>
                      <w:sz w:val="21"/>
                      <w:szCs w:val="21"/>
                      <w:lang w:val="en-US" w:eastAsia="zh-CN" w:bidi="ar-SA"/>
                    </w:rPr>
                    <w:t>cm</w:t>
                  </w:r>
                  <w:r>
                    <w:rPr>
                      <w:rFonts w:hint="default" w:ascii="Times New Roman" w:hAnsi="Times New Roman" w:eastAsia="宋体" w:cs="Times New Roman"/>
                      <w:color w:val="auto"/>
                      <w:kern w:val="2"/>
                      <w:sz w:val="21"/>
                      <w:szCs w:val="21"/>
                      <w:lang w:val="en-US" w:eastAsia="zh-CN" w:bidi="ar-SA"/>
                    </w:rPr>
                    <w:t>高度的裙脚防渗槽</w:t>
                  </w:r>
                  <w:r>
                    <w:rPr>
                      <w:rFonts w:hint="eastAsia" w:ascii="Times New Roman" w:hAnsi="Times New Roman" w:eastAsia="宋体" w:cs="Times New Roman"/>
                      <w:color w:val="auto"/>
                      <w:kern w:val="2"/>
                      <w:sz w:val="21"/>
                      <w:szCs w:val="21"/>
                      <w:lang w:val="en-US" w:eastAsia="zh-CN" w:bidi="ar-SA"/>
                    </w:rPr>
                    <w:t>。</w:t>
                  </w:r>
                </w:p>
              </w:tc>
            </w:tr>
          </w:tbl>
          <w:p>
            <w:pPr>
              <w:numPr>
                <w:ilvl w:val="0"/>
                <w:numId w:val="0"/>
              </w:numPr>
              <w:spacing w:line="360" w:lineRule="auto"/>
              <w:ind w:left="630" w:leftChars="0"/>
              <w:rPr>
                <w:rFonts w:hint="eastAsia"/>
                <w:b/>
                <w:bCs/>
                <w:color w:val="auto"/>
                <w:sz w:val="24"/>
                <w:szCs w:val="24"/>
                <w:lang w:val="en-US" w:eastAsia="zh-CN"/>
              </w:rPr>
            </w:pPr>
            <w:r>
              <w:rPr>
                <w:rFonts w:hint="eastAsia"/>
                <w:b w:val="0"/>
                <w:bCs w:val="0"/>
                <w:color w:val="auto"/>
                <w:sz w:val="24"/>
                <w:szCs w:val="24"/>
                <w:lang w:val="en-US" w:eastAsia="zh-CN"/>
              </w:rPr>
              <w:t>（2）主要设备（设施）</w:t>
            </w:r>
          </w:p>
          <w:p>
            <w:pPr>
              <w:numPr>
                <w:ilvl w:val="0"/>
                <w:numId w:val="0"/>
              </w:numPr>
              <w:spacing w:line="360" w:lineRule="auto"/>
              <w:ind w:firstLine="480" w:firstLineChars="200"/>
              <w:rPr>
                <w:color w:val="auto"/>
                <w:sz w:val="24"/>
                <w:szCs w:val="24"/>
              </w:rPr>
            </w:pPr>
            <w:r>
              <w:rPr>
                <w:rFonts w:hint="eastAsia"/>
                <w:color w:val="auto"/>
                <w:sz w:val="24"/>
                <w:szCs w:val="24"/>
                <w:lang w:eastAsia="zh-CN"/>
              </w:rPr>
              <w:t>现有危废暂存间</w:t>
            </w:r>
            <w:r>
              <w:rPr>
                <w:rFonts w:hint="eastAsia"/>
                <w:color w:val="auto"/>
                <w:sz w:val="24"/>
                <w:szCs w:val="24"/>
              </w:rPr>
              <w:t>主要设备</w:t>
            </w:r>
            <w:r>
              <w:rPr>
                <w:rFonts w:hint="eastAsia"/>
                <w:color w:val="auto"/>
                <w:sz w:val="24"/>
                <w:szCs w:val="24"/>
                <w:lang w:eastAsia="zh-CN"/>
              </w:rPr>
              <w:t>（设施）</w:t>
            </w:r>
            <w:r>
              <w:rPr>
                <w:rFonts w:hint="eastAsia"/>
                <w:color w:val="auto"/>
                <w:sz w:val="24"/>
                <w:szCs w:val="24"/>
              </w:rPr>
              <w:t>清单见下表2-</w:t>
            </w:r>
            <w:r>
              <w:rPr>
                <w:rFonts w:hint="eastAsia"/>
                <w:color w:val="auto"/>
                <w:sz w:val="24"/>
                <w:szCs w:val="24"/>
                <w:lang w:val="en-US" w:eastAsia="zh-CN"/>
              </w:rPr>
              <w:t>7</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rPr>
            </w:pPr>
            <w:r>
              <w:rPr>
                <w:rFonts w:hint="eastAsia"/>
                <w:b/>
                <w:color w:val="auto"/>
                <w:sz w:val="24"/>
                <w:szCs w:val="24"/>
              </w:rPr>
              <w:t>表2-</w:t>
            </w:r>
            <w:r>
              <w:rPr>
                <w:rFonts w:hint="eastAsia"/>
                <w:b/>
                <w:color w:val="auto"/>
                <w:sz w:val="24"/>
                <w:szCs w:val="24"/>
                <w:lang w:val="en-US" w:eastAsia="zh-CN"/>
              </w:rPr>
              <w:t>7</w:t>
            </w:r>
            <w:r>
              <w:rPr>
                <w:rFonts w:hint="eastAsia"/>
                <w:b/>
                <w:color w:val="auto"/>
                <w:sz w:val="24"/>
                <w:szCs w:val="24"/>
              </w:rPr>
              <w:t xml:space="preserve"> 主要设备</w:t>
            </w:r>
            <w:r>
              <w:rPr>
                <w:rFonts w:hint="eastAsia"/>
                <w:b/>
                <w:color w:val="auto"/>
                <w:sz w:val="24"/>
                <w:szCs w:val="24"/>
                <w:lang w:eastAsia="zh-CN"/>
              </w:rPr>
              <w:t>（设施）</w:t>
            </w:r>
            <w:r>
              <w:rPr>
                <w:rFonts w:hint="eastAsia"/>
                <w:b/>
                <w:color w:val="auto"/>
                <w:sz w:val="24"/>
                <w:szCs w:val="24"/>
              </w:rPr>
              <w:t>清单</w:t>
            </w:r>
          </w:p>
          <w:tbl>
            <w:tblPr>
              <w:tblStyle w:val="31"/>
              <w:tblW w:w="5008"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79"/>
              <w:gridCol w:w="3463"/>
              <w:gridCol w:w="1470"/>
              <w:gridCol w:w="23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7"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序号</w:t>
                  </w:r>
                </w:p>
              </w:tc>
              <w:tc>
                <w:tcPr>
                  <w:tcW w:w="205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设备名称</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数量</w:t>
                  </w:r>
                </w:p>
              </w:tc>
              <w:tc>
                <w:tcPr>
                  <w:tcW w:w="1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b/>
                      <w:bCs/>
                      <w:color w:val="auto"/>
                      <w:sz w:val="21"/>
                      <w:szCs w:val="21"/>
                      <w:lang w:eastAsia="zh-CN"/>
                    </w:rPr>
                  </w:pPr>
                  <w:r>
                    <w:rPr>
                      <w:rFonts w:hint="eastAsia"/>
                      <w:b/>
                      <w:bCs/>
                      <w:color w:val="auto"/>
                      <w:sz w:val="21"/>
                      <w:szCs w:val="21"/>
                      <w:lang w:val="en-US" w:eastAsia="zh-CN"/>
                    </w:rPr>
                    <w:t xml:space="preserve">备注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eastAsia="宋体"/>
                      <w:color w:val="auto"/>
                      <w:sz w:val="21"/>
                      <w:szCs w:val="21"/>
                      <w:lang w:val="en-US" w:eastAsia="zh-CN"/>
                    </w:rPr>
                  </w:pPr>
                  <w:r>
                    <w:rPr>
                      <w:rFonts w:hint="eastAsia"/>
                      <w:color w:val="auto"/>
                      <w:sz w:val="21"/>
                      <w:szCs w:val="21"/>
                      <w:lang w:val="en-US" w:eastAsia="zh-CN"/>
                    </w:rPr>
                    <w:t>1</w:t>
                  </w:r>
                </w:p>
              </w:tc>
              <w:tc>
                <w:tcPr>
                  <w:tcW w:w="2056"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ascii="宋体" w:eastAsia="宋体"/>
                      <w:color w:val="auto"/>
                      <w:sz w:val="21"/>
                      <w:szCs w:val="21"/>
                    </w:rPr>
                  </w:pPr>
                  <w:r>
                    <w:rPr>
                      <w:rFonts w:hint="eastAsia"/>
                      <w:color w:val="auto"/>
                      <w:szCs w:val="21"/>
                      <w:lang w:val="en-US" w:eastAsia="zh-CN"/>
                    </w:rPr>
                    <w:t>风机</w:t>
                  </w:r>
                </w:p>
              </w:tc>
              <w:tc>
                <w:tcPr>
                  <w:tcW w:w="873"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eastAsia" w:eastAsia="宋体"/>
                      <w:color w:val="auto"/>
                      <w:sz w:val="21"/>
                      <w:szCs w:val="21"/>
                      <w:lang w:val="en-US" w:eastAsia="zh-CN"/>
                    </w:rPr>
                  </w:pPr>
                  <w:r>
                    <w:rPr>
                      <w:rFonts w:hint="eastAsia"/>
                      <w:color w:val="auto"/>
                      <w:sz w:val="21"/>
                      <w:szCs w:val="21"/>
                      <w:lang w:val="en-US" w:eastAsia="zh-CN"/>
                    </w:rPr>
                    <w:t>1台</w:t>
                  </w:r>
                </w:p>
              </w:tc>
              <w:tc>
                <w:tcPr>
                  <w:tcW w:w="1369"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eastAsia="宋体"/>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eastAsia="宋体"/>
                      <w:color w:val="auto"/>
                      <w:sz w:val="21"/>
                      <w:szCs w:val="21"/>
                      <w:lang w:val="en-US" w:eastAsia="zh-CN"/>
                    </w:rPr>
                  </w:pPr>
                  <w:r>
                    <w:rPr>
                      <w:rFonts w:hint="eastAsia"/>
                      <w:color w:val="auto"/>
                      <w:sz w:val="21"/>
                      <w:szCs w:val="21"/>
                      <w:lang w:val="en-US" w:eastAsia="zh-CN"/>
                    </w:rPr>
                    <w:t>2</w:t>
                  </w:r>
                </w:p>
              </w:tc>
              <w:tc>
                <w:tcPr>
                  <w:tcW w:w="2056"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ascii="宋体" w:eastAsia="宋体"/>
                      <w:color w:val="auto"/>
                      <w:sz w:val="21"/>
                      <w:szCs w:val="21"/>
                      <w:lang w:val="en-US"/>
                    </w:rPr>
                  </w:pPr>
                  <w:r>
                    <w:rPr>
                      <w:rFonts w:hint="eastAsia"/>
                      <w:color w:val="auto"/>
                      <w:szCs w:val="21"/>
                      <w:lang w:val="en-US" w:eastAsia="zh-CN"/>
                    </w:rPr>
                    <w:t>活性炭</w:t>
                  </w:r>
                </w:p>
              </w:tc>
              <w:tc>
                <w:tcPr>
                  <w:tcW w:w="873"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eastAsia="宋体"/>
                      <w:color w:val="auto"/>
                      <w:sz w:val="21"/>
                      <w:szCs w:val="21"/>
                      <w:lang w:val="en-US" w:eastAsia="zh-CN"/>
                    </w:rPr>
                  </w:pPr>
                  <w:r>
                    <w:rPr>
                      <w:rFonts w:hint="eastAsia"/>
                      <w:color w:val="auto"/>
                      <w:sz w:val="21"/>
                      <w:szCs w:val="21"/>
                      <w:lang w:val="en-US" w:eastAsia="zh-CN"/>
                    </w:rPr>
                    <w:t>1套</w:t>
                  </w:r>
                </w:p>
              </w:tc>
              <w:tc>
                <w:tcPr>
                  <w:tcW w:w="1369"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eastAsia="宋体"/>
                      <w:color w:val="auto"/>
                      <w:sz w:val="21"/>
                      <w:szCs w:val="21"/>
                      <w:lang w:val="en-US" w:eastAsia="zh-CN"/>
                    </w:rPr>
                  </w:pPr>
                  <w:r>
                    <w:rPr>
                      <w:rFonts w:hint="eastAsia"/>
                      <w:color w:val="auto"/>
                      <w:sz w:val="21"/>
                      <w:szCs w:val="21"/>
                      <w:lang w:val="en-US" w:eastAsia="zh-CN"/>
                    </w:rPr>
                    <w:t>3</w:t>
                  </w:r>
                </w:p>
              </w:tc>
              <w:tc>
                <w:tcPr>
                  <w:tcW w:w="2056"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ascii="宋体" w:eastAsia="宋体"/>
                      <w:color w:val="auto"/>
                      <w:sz w:val="21"/>
                      <w:szCs w:val="21"/>
                    </w:rPr>
                  </w:pPr>
                  <w:r>
                    <w:rPr>
                      <w:rFonts w:hint="eastAsia"/>
                      <w:color w:val="auto"/>
                      <w:szCs w:val="21"/>
                      <w:lang w:val="en-US" w:eastAsia="zh-CN"/>
                    </w:rPr>
                    <w:t>集气罩</w:t>
                  </w:r>
                </w:p>
              </w:tc>
              <w:tc>
                <w:tcPr>
                  <w:tcW w:w="873"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eastAsia" w:eastAsia="宋体"/>
                      <w:color w:val="auto"/>
                      <w:sz w:val="21"/>
                      <w:szCs w:val="21"/>
                      <w:lang w:eastAsia="zh-CN"/>
                    </w:rPr>
                  </w:pPr>
                  <w:r>
                    <w:rPr>
                      <w:rFonts w:hint="eastAsia"/>
                      <w:color w:val="auto"/>
                      <w:sz w:val="21"/>
                      <w:szCs w:val="21"/>
                      <w:lang w:val="en-US" w:eastAsia="zh-CN"/>
                    </w:rPr>
                    <w:t>6套</w:t>
                  </w:r>
                </w:p>
              </w:tc>
              <w:tc>
                <w:tcPr>
                  <w:tcW w:w="1369"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color w:val="auto"/>
                      <w:sz w:val="21"/>
                      <w:szCs w:val="21"/>
                      <w:lang w:val="en-US"/>
                    </w:rPr>
                  </w:pPr>
                </w:p>
              </w:tc>
            </w:tr>
          </w:tbl>
          <w:p>
            <w:pPr>
              <w:numPr>
                <w:ilvl w:val="0"/>
                <w:numId w:val="0"/>
              </w:numPr>
              <w:spacing w:line="360" w:lineRule="auto"/>
              <w:ind w:left="630" w:leftChars="0"/>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（3）危险废物贮存情况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根据现有危废暂存间固体废物系统填报数据（2022年度），危险废物贮存情况见表2-8。</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r>
              <w:rPr>
                <w:rFonts w:hint="eastAsia"/>
                <w:b/>
                <w:color w:val="auto"/>
                <w:sz w:val="24"/>
                <w:szCs w:val="24"/>
                <w:highlight w:val="none"/>
              </w:rPr>
              <w:t>表2-</w:t>
            </w:r>
            <w:r>
              <w:rPr>
                <w:rFonts w:hint="eastAsia"/>
                <w:b/>
                <w:color w:val="auto"/>
                <w:sz w:val="24"/>
                <w:szCs w:val="24"/>
                <w:highlight w:val="none"/>
                <w:lang w:val="en-US" w:eastAsia="zh-CN"/>
              </w:rPr>
              <w:t>8</w:t>
            </w:r>
            <w:r>
              <w:rPr>
                <w:rFonts w:hint="eastAsia"/>
                <w:b/>
                <w:color w:val="auto"/>
                <w:sz w:val="24"/>
                <w:szCs w:val="24"/>
                <w:highlight w:val="none"/>
              </w:rPr>
              <w:t xml:space="preserve"> </w:t>
            </w:r>
            <w:r>
              <w:rPr>
                <w:rFonts w:hint="eastAsia"/>
                <w:b/>
                <w:color w:val="auto"/>
                <w:sz w:val="24"/>
                <w:szCs w:val="24"/>
                <w:highlight w:val="none"/>
                <w:lang w:val="en-US" w:eastAsia="zh-CN"/>
              </w:rPr>
              <w:t>危险废物贮存情况</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530"/>
              <w:gridCol w:w="638"/>
              <w:gridCol w:w="1033"/>
              <w:gridCol w:w="690"/>
              <w:gridCol w:w="372"/>
              <w:gridCol w:w="480"/>
              <w:gridCol w:w="729"/>
              <w:gridCol w:w="379"/>
              <w:gridCol w:w="692"/>
              <w:gridCol w:w="663"/>
              <w:gridCol w:w="1301"/>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884" w:type="pct"/>
                  <w:gridSpan w:val="8"/>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情况</w:t>
                  </w:r>
                </w:p>
              </w:tc>
              <w:tc>
                <w:tcPr>
                  <w:tcW w:w="1579" w:type="pct"/>
                  <w:gridSpan w:val="3"/>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委外外单位利用/处置情况</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危险废物名称</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危险废物类别</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危险废物代码</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有害成分名称</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量</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计量单位</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省（区、市）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单位名称</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危险废物经营许可证编号/利用处置环节豁免管理/出口核准通知单编号</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废酸</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HW34废酸 </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261-057-34</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有机酸</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104.281</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检测</w:t>
                  </w:r>
                  <w:r>
                    <w:rPr>
                      <w:rFonts w:hint="default" w:ascii="Times New Roman" w:hAnsi="Times New Roman" w:eastAsia="宋体" w:cs="Times New Roman"/>
                      <w:color w:val="auto"/>
                      <w:sz w:val="21"/>
                      <w:szCs w:val="21"/>
                      <w:highlight w:val="none"/>
                    </w:rPr>
                    <w:t>废液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eastAsia" w:cs="Times New Roman"/>
                      <w:color w:val="auto"/>
                      <w:sz w:val="21"/>
                      <w:szCs w:val="21"/>
                      <w:highlight w:val="none"/>
                      <w:lang w:val="en-US" w:eastAsia="zh-CN"/>
                    </w:rPr>
                    <w:t>49</w:t>
                  </w:r>
                  <w:r>
                    <w:rPr>
                      <w:rFonts w:hint="eastAsia"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t>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047</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氨氮、</w:t>
                  </w:r>
                  <w:r>
                    <w:rPr>
                      <w:rFonts w:hint="default" w:ascii="Times New Roman" w:hAnsi="Times New Roman" w:eastAsia="宋体" w:cs="Times New Roman"/>
                      <w:color w:val="auto"/>
                      <w:sz w:val="21"/>
                      <w:szCs w:val="21"/>
                      <w:highlight w:val="none"/>
                    </w:rPr>
                    <w:t>铬</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0.403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废催化剂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HW50废催化剂</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261-165-50</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催化剂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0.50</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废灯管</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HW29含汞废物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900-023-29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汞</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188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废活性炭</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900-039-49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11.6</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废包装</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w:t>
                  </w:r>
                  <w:r>
                    <w:rPr>
                      <w:rFonts w:hint="eastAsia"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40.28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废玻璃</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w:t>
                  </w:r>
                  <w:r>
                    <w:rPr>
                      <w:rFonts w:hint="eastAsia"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6.862</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废盐</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303.92</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陕西省，宝鸡市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废硅胶、干燥剂</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302.9</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HW6105280003</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废电池</w:t>
                  </w:r>
                  <w:r>
                    <w:rPr>
                      <w:rFonts w:hint="eastAsia" w:cs="Times New Roman"/>
                      <w:color w:val="auto"/>
                      <w:sz w:val="21"/>
                      <w:szCs w:val="21"/>
                      <w:highlight w:val="none"/>
                      <w:lang w:eastAsia="zh-CN"/>
                    </w:rPr>
                    <w:t>（办公使用的干电池）</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900-044-49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镉、镍</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废污泥</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772</w:t>
                  </w: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6-49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24.524</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HW6105280003</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HW08废矿物油与含矿物油废物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-08</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99%废油</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4.93</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陕西省，宝鸡市，凤翔县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混合废溶剂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HW06废有机溶剂与含有机溶剂废物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900-404-0</w:t>
                  </w:r>
                  <w:r>
                    <w:rPr>
                      <w:rFonts w:hint="eastAsia" w:cs="Times New Roman"/>
                      <w:color w:val="auto"/>
                      <w:sz w:val="21"/>
                      <w:szCs w:val="21"/>
                      <w:highlight w:val="none"/>
                      <w:lang w:val="en-US" w:eastAsia="zh-CN"/>
                    </w:rPr>
                    <w:t>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有机混合溶剂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T，R，I</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86.10</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陕西省，渭南市，蒲城县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陕西蒲城海泰新材料产业有限责任公司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HW6105260004</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废溶剂、废母液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HW06废有机溶剂与含有机溶剂废物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900-407-06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有机溶剂5%</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T，I，R</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106.858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陕西省，渭南市，蒲城县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固体原料</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900-999-49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过期</w:t>
                  </w:r>
                  <w:r>
                    <w:rPr>
                      <w:rFonts w:hint="default" w:ascii="Times New Roman" w:hAnsi="Times New Roman" w:eastAsia="宋体" w:cs="Times New Roman"/>
                      <w:color w:val="auto"/>
                      <w:sz w:val="21"/>
                      <w:szCs w:val="21"/>
                      <w:highlight w:val="none"/>
                    </w:rPr>
                    <w:t>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T，C，I，R</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12.994</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；由第三方有资质单位直接由原料库清运，不在危废暂存间贮存。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废油漆</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eastAsia" w:cs="Times New Roman"/>
                      <w:color w:val="auto"/>
                      <w:sz w:val="21"/>
                      <w:szCs w:val="21"/>
                      <w:highlight w:val="none"/>
                      <w:lang w:val="en-US" w:eastAsia="zh-CN"/>
                    </w:rPr>
                    <w:t>21染料、涂料废物</w:t>
                  </w:r>
                  <w:r>
                    <w:rPr>
                      <w:rFonts w:hint="default" w:ascii="Times New Roman" w:hAnsi="Times New Roman" w:eastAsia="宋体" w:cs="Times New Roman"/>
                      <w:color w:val="auto"/>
                      <w:sz w:val="21"/>
                      <w:szCs w:val="21"/>
                      <w:highlight w:val="none"/>
                    </w:rPr>
                    <w:t>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99-</w:t>
                  </w:r>
                  <w:r>
                    <w:rPr>
                      <w:rFonts w:hint="eastAsia" w:cs="Times New Roman"/>
                      <w:color w:val="auto"/>
                      <w:sz w:val="21"/>
                      <w:szCs w:val="21"/>
                      <w:highlight w:val="none"/>
                      <w:lang w:val="en-US" w:eastAsia="zh-CN"/>
                    </w:rPr>
                    <w:t>12</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过期油漆</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16</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废树脂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锅炉软水制备更换的</w:t>
                  </w:r>
                  <w:r>
                    <w:rPr>
                      <w:rFonts w:hint="eastAsia" w:cs="Times New Roman"/>
                      <w:color w:val="auto"/>
                      <w:sz w:val="21"/>
                      <w:szCs w:val="21"/>
                      <w:highlight w:val="none"/>
                      <w:lang w:val="en-US" w:eastAsia="zh-CN"/>
                    </w:rPr>
                    <w:t>废树脂</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015</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13</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废树脂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0.265</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w:t>
                  </w:r>
                  <w:r>
                    <w:rPr>
                      <w:rFonts w:hint="eastAsia"/>
                    </w:rPr>
                    <w:t>提前联系</w:t>
                  </w:r>
                  <w:r>
                    <w:rPr>
                      <w:rFonts w:hint="eastAsia"/>
                      <w:lang w:eastAsia="zh-CN"/>
                    </w:rPr>
                    <w:t>有资质单位，直接更换运走</w:t>
                  </w:r>
                  <w:r>
                    <w:rPr>
                      <w:rFonts w:hint="eastAsia" w:cs="Times New Roman"/>
                      <w:color w:val="auto"/>
                      <w:sz w:val="21"/>
                      <w:szCs w:val="21"/>
                      <w:highlight w:val="none"/>
                      <w:lang w:eastAsia="zh-CN"/>
                    </w:rPr>
                    <w:t>。</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袋装</w:t>
                  </w:r>
                </w:p>
              </w:tc>
            </w:tr>
          </w:tbl>
          <w:p>
            <w:pPr>
              <w:keepNext w:val="0"/>
              <w:keepLines w:val="0"/>
              <w:pageBreakBefore w:val="0"/>
              <w:widowControl w:val="0"/>
              <w:kinsoku/>
              <w:wordWrap/>
              <w:overflowPunct/>
              <w:topLinePunct w:val="0"/>
              <w:autoSpaceDE/>
              <w:autoSpaceDN/>
              <w:bidi w:val="0"/>
              <w:adjustRightInd/>
              <w:snapToGrid/>
              <w:spacing w:line="280" w:lineRule="exact"/>
              <w:ind w:firstLine="422" w:firstLineChars="200"/>
              <w:jc w:val="both"/>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说明：</w:t>
            </w:r>
            <w:r>
              <w:rPr>
                <w:rFonts w:hint="default" w:ascii="Times New Roman" w:hAnsi="Times New Roman" w:eastAsia="宋体" w:cs="Times New Roman"/>
                <w:color w:val="auto"/>
                <w:sz w:val="21"/>
                <w:szCs w:val="21"/>
                <w:highlight w:val="none"/>
              </w:rPr>
              <w:t>HW50废催化剂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HW06混合废溶剂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HW49固体原料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HW</w:t>
            </w:r>
            <w:r>
              <w:rPr>
                <w:rFonts w:hint="eastAsia" w:ascii="Times New Roman" w:hAnsi="Times New Roman" w:eastAsia="宋体" w:cs="Times New Roman"/>
                <w:color w:val="auto"/>
                <w:sz w:val="21"/>
                <w:szCs w:val="21"/>
                <w:highlight w:val="none"/>
                <w:lang w:val="en-US" w:eastAsia="zh-CN"/>
              </w:rPr>
              <w:t>21</w:t>
            </w:r>
            <w:r>
              <w:rPr>
                <w:rFonts w:hint="eastAsia" w:cs="Times New Roman"/>
                <w:color w:val="auto"/>
                <w:sz w:val="21"/>
                <w:szCs w:val="21"/>
                <w:highlight w:val="none"/>
                <w:lang w:eastAsia="zh-CN"/>
              </w:rPr>
              <w:t>过期废油漆由第三方资质单位直接清运走；软化水废树脂</w:t>
            </w:r>
            <w:r>
              <w:rPr>
                <w:rFonts w:hint="eastAsia"/>
              </w:rPr>
              <w:t>提前联系</w:t>
            </w:r>
            <w:r>
              <w:rPr>
                <w:rFonts w:hint="eastAsia"/>
                <w:lang w:eastAsia="zh-CN"/>
              </w:rPr>
              <w:t>有资质单位，直接更换运走</w:t>
            </w:r>
            <w:r>
              <w:rPr>
                <w:rFonts w:hint="eastAsia" w:cs="Times New Roman"/>
                <w:color w:val="auto"/>
                <w:sz w:val="21"/>
                <w:szCs w:val="21"/>
                <w:highlight w:val="none"/>
                <w:lang w:eastAsia="zh-CN"/>
              </w:rPr>
              <w:t>，均不在危废暂存间贮存。</w:t>
            </w:r>
          </w:p>
          <w:p>
            <w:pPr>
              <w:numPr>
                <w:ilvl w:val="0"/>
                <w:numId w:val="0"/>
              </w:numPr>
              <w:spacing w:line="360" w:lineRule="auto"/>
              <w:ind w:firstLine="480" w:firstLineChars="200"/>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（4）现有危废暂存间现状</w:t>
            </w: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①有危废暂存间及配套的环保设施运行情况</w:t>
            </w: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现有危废暂存间及配套的环保措施均正常稳定运行，现状见下图：</w:t>
            </w: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p>
          <w:p>
            <w:pPr>
              <w:numPr>
                <w:ilvl w:val="0"/>
                <w:numId w:val="0"/>
              </w:numPr>
              <w:spacing w:line="360" w:lineRule="auto"/>
              <w:ind w:firstLine="964" w:firstLineChars="400"/>
              <w:rPr>
                <w:rFonts w:hint="default" w:cs="Times New Roman"/>
                <w:b/>
                <w:bCs/>
                <w:i w:val="0"/>
                <w:iCs w:val="0"/>
                <w:color w:val="auto"/>
                <w:sz w:val="24"/>
                <w:highlight w:val="none"/>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020310" cy="3416300"/>
                  <wp:effectExtent l="0" t="0" r="8890" b="12700"/>
                  <wp:docPr id="17" name="图片 17" descr="IMG_20230221_14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0221_140539"/>
                          <pic:cNvPicPr>
                            <a:picLocks noChangeAspect="1"/>
                          </pic:cNvPicPr>
                        </pic:nvPicPr>
                        <pic:blipFill>
                          <a:blip r:embed="rId11"/>
                          <a:stretch>
                            <a:fillRect/>
                          </a:stretch>
                        </pic:blipFill>
                        <pic:spPr>
                          <a:xfrm>
                            <a:off x="0" y="0"/>
                            <a:ext cx="5020310" cy="3416300"/>
                          </a:xfrm>
                          <a:prstGeom prst="rect">
                            <a:avLst/>
                          </a:prstGeom>
                        </pic:spPr>
                      </pic:pic>
                    </a:graphicData>
                  </a:graphic>
                </wp:inline>
              </w:drawing>
            </w: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r>
              <w:rPr>
                <w:rFonts w:hint="eastAsia"/>
                <w:b/>
                <w:bCs/>
                <w:color w:val="auto"/>
                <w:sz w:val="24"/>
                <w:szCs w:val="24"/>
                <w:lang w:val="en-US" w:eastAsia="zh-CN"/>
              </w:rPr>
              <w:t>图2-4 现有危废暂存间</w:t>
            </w: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color w:val="auto"/>
                <w:lang w:val="en-US" w:eastAsia="zh-CN"/>
              </w:rPr>
            </w:pPr>
            <w:r>
              <w:rPr>
                <w:rFonts w:hint="eastAsia"/>
                <w:color w:val="auto"/>
                <w:lang w:val="en-US" w:eastAsia="zh-CN"/>
              </w:rPr>
              <w:drawing>
                <wp:inline distT="0" distB="0" distL="114300" distR="114300">
                  <wp:extent cx="5346065" cy="4011295"/>
                  <wp:effectExtent l="0" t="0" r="6985" b="8255"/>
                  <wp:docPr id="25" name="图片 25" descr="微信图片_2023070513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30705135944"/>
                          <pic:cNvPicPr>
                            <a:picLocks noChangeAspect="1"/>
                          </pic:cNvPicPr>
                        </pic:nvPicPr>
                        <pic:blipFill>
                          <a:blip r:embed="rId12"/>
                          <a:stretch>
                            <a:fillRect/>
                          </a:stretch>
                        </pic:blipFill>
                        <pic:spPr>
                          <a:xfrm>
                            <a:off x="0" y="0"/>
                            <a:ext cx="5346065" cy="4011295"/>
                          </a:xfrm>
                          <a:prstGeom prst="rect">
                            <a:avLst/>
                          </a:prstGeom>
                        </pic:spPr>
                      </pic:pic>
                    </a:graphicData>
                  </a:graphic>
                </wp:inline>
              </w:drawing>
            </w: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r>
              <w:rPr>
                <w:rFonts w:hint="eastAsia"/>
                <w:b/>
                <w:bCs/>
                <w:color w:val="auto"/>
                <w:sz w:val="24"/>
                <w:szCs w:val="24"/>
                <w:lang w:val="en-US" w:eastAsia="zh-CN"/>
              </w:rPr>
              <w:t>图2-5 现有危废暂存间</w:t>
            </w:r>
          </w:p>
          <w:p>
            <w:pPr>
              <w:pStyle w:val="4"/>
              <w:rPr>
                <w:rFonts w:hint="default"/>
                <w:b/>
                <w:bCs/>
                <w:color w:val="auto"/>
                <w:sz w:val="21"/>
                <w:szCs w:val="21"/>
                <w:lang w:val="en-US" w:eastAsia="zh-CN"/>
              </w:rPr>
            </w:pPr>
            <w:r>
              <w:rPr>
                <w:rFonts w:hint="eastAsia"/>
                <w:b/>
                <w:bCs/>
                <w:color w:val="auto"/>
                <w:sz w:val="21"/>
                <w:szCs w:val="21"/>
                <w:lang w:val="en-US" w:eastAsia="zh-CN"/>
              </w:rPr>
              <w:t xml:space="preserve">  </w:t>
            </w:r>
            <w:r>
              <w:rPr>
                <w:rFonts w:hint="eastAsia"/>
                <w:b/>
                <w:bCs/>
                <w:color w:val="auto"/>
                <w:sz w:val="24"/>
                <w:szCs w:val="24"/>
                <w:lang w:val="en-US" w:eastAsia="zh-CN"/>
              </w:rPr>
              <w:drawing>
                <wp:inline distT="0" distB="0" distL="114300" distR="114300">
                  <wp:extent cx="2496820" cy="3670935"/>
                  <wp:effectExtent l="0" t="0" r="17780" b="5715"/>
                  <wp:docPr id="59" name="图片 59" descr="IMG_20230221_14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230221_140006"/>
                          <pic:cNvPicPr>
                            <a:picLocks noChangeAspect="1"/>
                          </pic:cNvPicPr>
                        </pic:nvPicPr>
                        <pic:blipFill>
                          <a:blip r:embed="rId13"/>
                          <a:stretch>
                            <a:fillRect/>
                          </a:stretch>
                        </pic:blipFill>
                        <pic:spPr>
                          <a:xfrm>
                            <a:off x="0" y="0"/>
                            <a:ext cx="2496820" cy="3670935"/>
                          </a:xfrm>
                          <a:prstGeom prst="rect">
                            <a:avLst/>
                          </a:prstGeom>
                        </pic:spPr>
                      </pic:pic>
                    </a:graphicData>
                  </a:graphic>
                </wp:inline>
              </w:drawing>
            </w:r>
            <w:r>
              <w:rPr>
                <w:rFonts w:hint="eastAsia"/>
                <w:b/>
                <w:bCs/>
                <w:color w:val="auto"/>
                <w:sz w:val="24"/>
                <w:szCs w:val="24"/>
                <w:lang w:val="en-US" w:eastAsia="zh-CN"/>
              </w:rPr>
              <w:t xml:space="preserve"> </w:t>
            </w:r>
            <w:r>
              <w:rPr>
                <w:rFonts w:hint="default"/>
                <w:b/>
                <w:bCs/>
                <w:color w:val="auto"/>
                <w:sz w:val="21"/>
                <w:szCs w:val="21"/>
                <w:lang w:val="en-US" w:eastAsia="zh-CN"/>
              </w:rPr>
              <w:drawing>
                <wp:inline distT="0" distB="0" distL="114300" distR="114300">
                  <wp:extent cx="2505075" cy="3684905"/>
                  <wp:effectExtent l="0" t="0" r="9525" b="10795"/>
                  <wp:docPr id="60" name="图片 60" descr="IMG_20230221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0230221_140425"/>
                          <pic:cNvPicPr>
                            <a:picLocks noChangeAspect="1"/>
                          </pic:cNvPicPr>
                        </pic:nvPicPr>
                        <pic:blipFill>
                          <a:blip r:embed="rId14"/>
                          <a:stretch>
                            <a:fillRect/>
                          </a:stretch>
                        </pic:blipFill>
                        <pic:spPr>
                          <a:xfrm>
                            <a:off x="0" y="0"/>
                            <a:ext cx="2505075" cy="3684905"/>
                          </a:xfrm>
                          <a:prstGeom prst="rect">
                            <a:avLst/>
                          </a:prstGeom>
                        </pic:spPr>
                      </pic:pic>
                    </a:graphicData>
                  </a:graphic>
                </wp:inline>
              </w:drawing>
            </w: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r>
              <w:rPr>
                <w:rFonts w:hint="eastAsia"/>
                <w:b/>
                <w:bCs/>
                <w:color w:val="auto"/>
                <w:sz w:val="21"/>
                <w:szCs w:val="21"/>
                <w:lang w:val="en-US" w:eastAsia="zh-CN"/>
              </w:rPr>
              <w:t xml:space="preserve"> </w:t>
            </w:r>
            <w:r>
              <w:rPr>
                <w:rFonts w:hint="eastAsia"/>
                <w:b/>
                <w:bCs/>
                <w:color w:val="auto"/>
                <w:sz w:val="24"/>
                <w:szCs w:val="24"/>
                <w:lang w:val="en-US" w:eastAsia="zh-CN"/>
              </w:rPr>
              <w:t>图2-6 现有危废暂存间废气处理设施</w:t>
            </w:r>
          </w:p>
          <w:p>
            <w:pPr>
              <w:rPr>
                <w:rFonts w:hint="eastAsia"/>
                <w:b/>
                <w:bCs/>
                <w:color w:val="auto"/>
                <w:sz w:val="21"/>
                <w:szCs w:val="21"/>
                <w:lang w:val="en-US" w:eastAsia="zh-CN"/>
              </w:rPr>
            </w:pPr>
          </w:p>
          <w:p>
            <w:pPr>
              <w:pStyle w:val="4"/>
              <w:rPr>
                <w:rFonts w:hint="default"/>
                <w:b/>
                <w:bCs/>
                <w:color w:val="auto"/>
                <w:sz w:val="21"/>
                <w:szCs w:val="21"/>
                <w:lang w:val="en-US" w:eastAsia="zh-CN"/>
              </w:rPr>
            </w:pPr>
            <w:r>
              <w:rPr>
                <w:rFonts w:hint="eastAsia"/>
                <w:b/>
                <w:bCs/>
                <w:color w:val="auto"/>
                <w:sz w:val="21"/>
                <w:szCs w:val="21"/>
                <w:lang w:val="en-US" w:eastAsia="zh-CN"/>
              </w:rPr>
              <w:t xml:space="preserve">    </w:t>
            </w:r>
            <w:r>
              <w:rPr>
                <w:rFonts w:hint="eastAsia"/>
                <w:b/>
                <w:bCs/>
                <w:color w:val="auto"/>
                <w:sz w:val="21"/>
                <w:szCs w:val="21"/>
                <w:lang w:val="en-US" w:eastAsia="zh-CN"/>
              </w:rPr>
              <w:drawing>
                <wp:inline distT="0" distB="0" distL="114300" distR="114300">
                  <wp:extent cx="2519045" cy="3359150"/>
                  <wp:effectExtent l="0" t="0" r="14605" b="12700"/>
                  <wp:docPr id="61" name="图片 61" descr="IMG_20230221_1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0230221_140501"/>
                          <pic:cNvPicPr>
                            <a:picLocks noChangeAspect="1"/>
                          </pic:cNvPicPr>
                        </pic:nvPicPr>
                        <pic:blipFill>
                          <a:blip r:embed="rId15"/>
                          <a:stretch>
                            <a:fillRect/>
                          </a:stretch>
                        </pic:blipFill>
                        <pic:spPr>
                          <a:xfrm>
                            <a:off x="0" y="0"/>
                            <a:ext cx="2519045" cy="3359150"/>
                          </a:xfrm>
                          <a:prstGeom prst="rect">
                            <a:avLst/>
                          </a:prstGeom>
                        </pic:spPr>
                      </pic:pic>
                    </a:graphicData>
                  </a:graphic>
                </wp:inline>
              </w:drawing>
            </w:r>
            <w:r>
              <w:rPr>
                <w:rFonts w:hint="eastAsia"/>
                <w:b/>
                <w:bCs/>
                <w:color w:val="auto"/>
                <w:sz w:val="21"/>
                <w:szCs w:val="21"/>
                <w:lang w:val="en-US" w:eastAsia="zh-CN"/>
              </w:rPr>
              <w:t xml:space="preserve"> </w:t>
            </w:r>
            <w:r>
              <w:rPr>
                <w:rFonts w:hint="default"/>
                <w:b/>
                <w:bCs/>
                <w:color w:val="auto"/>
                <w:sz w:val="21"/>
                <w:szCs w:val="21"/>
                <w:lang w:val="en-US" w:eastAsia="zh-CN"/>
              </w:rPr>
              <w:drawing>
                <wp:inline distT="0" distB="0" distL="114300" distR="114300">
                  <wp:extent cx="2284730" cy="3358515"/>
                  <wp:effectExtent l="0" t="0" r="1270" b="13335"/>
                  <wp:docPr id="62" name="图片 62" descr="IMG_20230221_14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230221_140410"/>
                          <pic:cNvPicPr>
                            <a:picLocks noChangeAspect="1"/>
                          </pic:cNvPicPr>
                        </pic:nvPicPr>
                        <pic:blipFill>
                          <a:blip r:embed="rId16"/>
                          <a:stretch>
                            <a:fillRect/>
                          </a:stretch>
                        </pic:blipFill>
                        <pic:spPr>
                          <a:xfrm>
                            <a:off x="0" y="0"/>
                            <a:ext cx="2284730" cy="33585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lang w:val="en-US" w:eastAsia="zh-CN"/>
              </w:rPr>
            </w:pPr>
            <w:r>
              <w:rPr>
                <w:rFonts w:hint="eastAsia"/>
                <w:b/>
                <w:bCs/>
                <w:color w:val="auto"/>
                <w:sz w:val="24"/>
                <w:szCs w:val="24"/>
                <w:lang w:val="en-US" w:eastAsia="zh-CN"/>
              </w:rPr>
              <w:t>图2-7 现有危废暂存间事故池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30" w:leftChars="0"/>
              <w:jc w:val="both"/>
              <w:textAlignment w:val="auto"/>
              <w:rPr>
                <w:rFonts w:hint="eastAsia"/>
                <w:b w:val="0"/>
                <w:bCs w:val="0"/>
                <w:color w:val="auto"/>
                <w:sz w:val="24"/>
                <w:szCs w:val="24"/>
                <w:lang w:val="en-US" w:eastAsia="zh-CN"/>
              </w:rPr>
            </w:pPr>
            <w:r>
              <w:rPr>
                <w:rFonts w:hint="eastAsia" w:cs="Times New Roman"/>
                <w:b w:val="0"/>
                <w:bCs w:val="0"/>
                <w:i w:val="0"/>
                <w:iCs w:val="0"/>
                <w:color w:val="auto"/>
                <w:sz w:val="24"/>
                <w:highlight w:val="none"/>
                <w:lang w:val="en-US" w:eastAsia="zh-CN"/>
              </w:rPr>
              <w:t>②</w:t>
            </w:r>
            <w:r>
              <w:rPr>
                <w:rFonts w:hint="eastAsia"/>
                <w:b w:val="0"/>
                <w:bCs w:val="0"/>
                <w:color w:val="auto"/>
                <w:sz w:val="24"/>
                <w:szCs w:val="24"/>
                <w:lang w:val="en-US" w:eastAsia="zh-CN"/>
              </w:rPr>
              <w:t>现有危废暂存间危险废物贮存方式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目前现有危废暂存间的危险废物包括固态危险废物和液态危险废物，储存方式为分区单独贮存，按照危险废物的类型、形态、危险特性和物理化学性质，采取固态危险废物和液态危险废物分类单独贮存</w:t>
            </w:r>
            <w:r>
              <w:rPr>
                <w:rFonts w:hint="eastAsia"/>
                <w:b w:val="0"/>
                <w:bCs w:val="0"/>
                <w:color w:val="auto"/>
                <w:sz w:val="24"/>
                <w:szCs w:val="24"/>
                <w:lang w:val="en-US" w:eastAsia="zh-CN"/>
              </w:rPr>
              <w:t>，交由有资质单位及时清运处理。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本次环评建议扩建的危废暂存间建设完成后，承担固态危险废物的贮存，现有危废暂存间承担液态危险废物的贮存。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3、现有危废暂存间污染物产生、排放及治理情况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根据现有危废暂存间大气污染物例行监测、补充监测结果，现有危废暂存间污染物排放情况如下：</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危险废物在暂存过程中会产生一定的有机废气，主要包括非甲烷总烃、甲醇、甲苯和臭气浓度等。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根据例行监测数据和本次污染源监测数据， 甲苯、非甲烷总烃有组织监测结果均符合《大气污染物综合排放标准》（GB 16297-1996）表2中限值要求；臭气浓度有组织监测结果符合《恶臭污染物排放标准》（GB 14554-93）表2中限值要求、甲醇有组织监测结果符合《挥发性有机物排放控制标准》（DB61/ T1061-2017）中表1限值要求。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甲醇、非甲烷总烃无组织监测结果均符合《挥发性有机物排放控制标准》（DB61/ T1061-2017）中表3限值要求；臭气浓度无组织监测结果符合《恶臭污染物排放标准》（GB 14554-93）中表1限值要求；甲苯无组织监测结果符合《大气污染物综合排放标准》（GB 16297-1996）中表2新扩改建限值要求。具体监测结果见表2-9、表2-10、表2-11、表2-12，评价结果见表2-13、表2-14。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lang w:eastAsia="zh-CN"/>
              </w:rPr>
            </w:pPr>
            <w:r>
              <w:rPr>
                <w:rFonts w:hint="eastAsia"/>
                <w:color w:val="auto"/>
                <w:sz w:val="24"/>
              </w:rPr>
              <w:t>①</w:t>
            </w:r>
            <w:r>
              <w:rPr>
                <w:rFonts w:hint="eastAsia"/>
                <w:color w:val="auto"/>
                <w:sz w:val="24"/>
                <w:lang w:eastAsia="zh-CN"/>
              </w:rPr>
              <w:t>有组废气污染物监测结果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9 有组废气污染物监测结果</w:t>
            </w:r>
            <w:r>
              <w:rPr>
                <w:rFonts w:hint="eastAsia"/>
                <w:b/>
                <w:bCs/>
                <w:color w:val="auto"/>
                <w:sz w:val="24"/>
                <w:szCs w:val="24"/>
              </w:rPr>
              <w:t>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019"/>
              <w:gridCol w:w="1529"/>
              <w:gridCol w:w="1104"/>
              <w:gridCol w:w="1097"/>
              <w:gridCol w:w="1026"/>
              <w:gridCol w:w="1070"/>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800" w:type="pct"/>
                  <w:gridSpan w:val="3"/>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监</w:t>
                  </w:r>
                  <w:r>
                    <w:rPr>
                      <w:rFonts w:hint="eastAsia" w:ascii="Times New Roman" w:hAnsi="Times New Roman" w:cs="Times New Roman"/>
                      <w:b/>
                      <w:bCs/>
                      <w:color w:val="auto"/>
                      <w:szCs w:val="21"/>
                      <w:lang w:val="en-US" w:eastAsia="zh-CN"/>
                    </w:rPr>
                    <w:t>测日期</w:t>
                  </w:r>
                </w:p>
              </w:tc>
              <w:tc>
                <w:tcPr>
                  <w:tcW w:w="3199" w:type="pct"/>
                  <w:gridSpan w:val="5"/>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highlight w:val="none"/>
                      <w:lang w:val="en-US" w:eastAsia="zh-CN"/>
                    </w:rPr>
                    <w:t>2023.</w:t>
                  </w:r>
                  <w:r>
                    <w:rPr>
                      <w:rFonts w:hint="eastAsia" w:cs="Times New Roman"/>
                      <w:b/>
                      <w:bCs/>
                      <w:color w:val="auto"/>
                      <w:sz w:val="21"/>
                      <w:szCs w:val="21"/>
                      <w:highlight w:val="no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00" w:type="pct"/>
                  <w:gridSpan w:val="3"/>
                  <w:vMerge w:val="restart"/>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监测项目</w:t>
                  </w:r>
                </w:p>
              </w:tc>
              <w:tc>
                <w:tcPr>
                  <w:tcW w:w="3199" w:type="pct"/>
                  <w:gridSpan w:val="5"/>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800" w:type="pct"/>
                  <w:gridSpan w:val="3"/>
                  <w:vMerge w:val="continue"/>
                  <w:noWrap/>
                  <w:vAlign w:val="center"/>
                </w:tcPr>
                <w:p>
                  <w:pPr>
                    <w:keepNext w:val="0"/>
                    <w:keepLines w:val="0"/>
                    <w:suppressLineNumbers w:val="0"/>
                    <w:overflowPunct w:val="0"/>
                    <w:topLinePunct/>
                    <w:autoSpaceDE w:val="0"/>
                    <w:autoSpaceDN w:val="0"/>
                    <w:spacing w:before="0" w:beforeAutospacing="0" w:after="0" w:afterAutospacing="0" w:line="300" w:lineRule="exact"/>
                    <w:ind w:left="0" w:right="0"/>
                    <w:jc w:val="center"/>
                    <w:rPr>
                      <w:rFonts w:hint="default" w:ascii="Times New Roman" w:hAnsi="Times New Roman" w:eastAsia="宋体" w:cs="Times New Roman"/>
                      <w:b/>
                      <w:bCs/>
                      <w:color w:val="auto"/>
                      <w:szCs w:val="21"/>
                    </w:rPr>
                  </w:pPr>
                </w:p>
              </w:tc>
              <w:tc>
                <w:tcPr>
                  <w:tcW w:w="1104"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08:</w:t>
                  </w:r>
                  <w:r>
                    <w:rPr>
                      <w:rFonts w:hint="eastAsia" w:ascii="Times New Roman" w:hAnsi="Times New Roman" w:cs="Times New Roman"/>
                      <w:b/>
                      <w:bCs/>
                      <w:color w:val="auto"/>
                      <w:szCs w:val="21"/>
                      <w:vertAlign w:val="baseline"/>
                      <w:lang w:val="en-US" w:eastAsia="zh-CN"/>
                    </w:rPr>
                    <w:t>3</w:t>
                  </w:r>
                  <w:r>
                    <w:rPr>
                      <w:rFonts w:hint="default" w:ascii="Times New Roman" w:hAnsi="Times New Roman" w:eastAsia="宋体" w:cs="Times New Roman"/>
                      <w:b/>
                      <w:bCs/>
                      <w:color w:val="auto"/>
                      <w:szCs w:val="21"/>
                      <w:vertAlign w:val="baseline"/>
                      <w:lang w:val="en-US" w:eastAsia="zh-CN"/>
                    </w:rPr>
                    <w:t>2</w:t>
                  </w:r>
                </w:p>
              </w:tc>
              <w:tc>
                <w:tcPr>
                  <w:tcW w:w="1097"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11:</w:t>
                  </w:r>
                  <w:r>
                    <w:rPr>
                      <w:rFonts w:hint="eastAsia" w:ascii="Times New Roman" w:hAnsi="Times New Roman" w:cs="Times New Roman"/>
                      <w:b/>
                      <w:bCs/>
                      <w:color w:val="auto"/>
                      <w:szCs w:val="21"/>
                      <w:vertAlign w:val="baseline"/>
                      <w:lang w:val="en-US" w:eastAsia="zh-CN"/>
                    </w:rPr>
                    <w:t>12</w:t>
                  </w:r>
                </w:p>
              </w:tc>
              <w:tc>
                <w:tcPr>
                  <w:tcW w:w="1026"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14:2</w:t>
                  </w:r>
                  <w:r>
                    <w:rPr>
                      <w:rFonts w:hint="eastAsia" w:ascii="Times New Roman" w:hAnsi="Times New Roman" w:cs="Times New Roman"/>
                      <w:b/>
                      <w:bCs/>
                      <w:color w:val="auto"/>
                      <w:szCs w:val="21"/>
                      <w:vertAlign w:val="baseline"/>
                      <w:lang w:val="en-US" w:eastAsia="zh-CN"/>
                    </w:rPr>
                    <w:t>5</w:t>
                  </w:r>
                </w:p>
              </w:tc>
              <w:tc>
                <w:tcPr>
                  <w:tcW w:w="1070"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16:</w:t>
                  </w:r>
                  <w:r>
                    <w:rPr>
                      <w:rFonts w:hint="eastAsia" w:ascii="Times New Roman" w:hAnsi="Times New Roman" w:cs="Times New Roman"/>
                      <w:b/>
                      <w:bCs/>
                      <w:color w:val="auto"/>
                      <w:szCs w:val="21"/>
                      <w:vertAlign w:val="baseline"/>
                      <w:lang w:val="en-US" w:eastAsia="zh-CN"/>
                    </w:rPr>
                    <w:t>34</w:t>
                  </w:r>
                </w:p>
              </w:tc>
              <w:tc>
                <w:tcPr>
                  <w:tcW w:w="645" w:type="pct"/>
                  <w:noWrap/>
                  <w:vAlign w:val="center"/>
                </w:tcPr>
                <w:p>
                  <w:pPr>
                    <w:keepNext w:val="0"/>
                    <w:keepLines w:val="0"/>
                    <w:suppressLineNumbers w:val="0"/>
                    <w:overflowPunct w:val="0"/>
                    <w:topLinePunct/>
                    <w:autoSpaceDE w:val="0"/>
                    <w:autoSpaceDN w:val="0"/>
                    <w:spacing w:before="0" w:beforeAutospacing="0" w:after="0" w:afterAutospacing="0" w:line="300" w:lineRule="exact"/>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restart"/>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排气筒进口</w:t>
                  </w:r>
                </w:p>
              </w:tc>
              <w:tc>
                <w:tcPr>
                  <w:tcW w:w="1514"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排气筒直径（</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99" w:type="pct"/>
                  <w:gridSpan w:val="5"/>
                  <w:noWrap/>
                  <w:vAlign w:val="center"/>
                </w:tcPr>
                <w:p>
                  <w:pPr>
                    <w:keepNext w:val="0"/>
                    <w:keepLines w:val="0"/>
                    <w:suppressLineNumbers w:val="0"/>
                    <w:spacing w:before="0" w:beforeAutospacing="0" w:after="0" w:afterAutospacing="0" w:line="310" w:lineRule="exact"/>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r>
                    <w:rPr>
                      <w:rFonts w:hint="eastAsia" w:ascii="Times New Roman" w:hAnsi="Times New Roman" w:eastAsia="宋体" w:cs="Times New Roman"/>
                      <w:color w:val="auto"/>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流速（m/s）</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16.75</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16.45</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17.24</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16.32</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温度 （</w:t>
                  </w:r>
                  <w:r>
                    <w:rPr>
                      <w:rFonts w:hint="default" w:ascii="Times New Roman" w:hAnsi="Times New Roman" w:eastAsia="宋体" w:cs="Times New Roman"/>
                      <w:color w:val="auto"/>
                      <w:szCs w:val="21"/>
                      <w:vertAlign w:val="superscript"/>
                    </w:rPr>
                    <w:t>o</w:t>
                  </w:r>
                  <w:r>
                    <w:rPr>
                      <w:rFonts w:hint="default" w:ascii="Times New Roman" w:hAnsi="Times New Roman" w:eastAsia="宋体" w:cs="Times New Roman"/>
                      <w:color w:val="auto"/>
                      <w:szCs w:val="21"/>
                    </w:rPr>
                    <w:t>C）</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含湿量（</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1.0</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1.0</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firstLine="420" w:firstLineChars="20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 xml:space="preserve"> </w:t>
                  </w:r>
                  <w:r>
                    <w:rPr>
                      <w:rFonts w:hint="eastAsia" w:ascii="Times New Roman" w:hAnsi="Times New Roman" w:cs="Times New Roman"/>
                      <w:color w:val="auto"/>
                      <w:szCs w:val="21"/>
                      <w:highlight w:val="none"/>
                      <w:lang w:val="en-US" w:eastAsia="zh-CN"/>
                    </w:rPr>
                    <w:t>排气</w:t>
                  </w:r>
                  <w:r>
                    <w:rPr>
                      <w:rFonts w:hint="default" w:ascii="Times New Roman" w:hAnsi="Times New Roman" w:eastAsia="宋体" w:cs="Times New Roman"/>
                      <w:color w:val="auto"/>
                      <w:szCs w:val="21"/>
                      <w:highlight w:val="none"/>
                    </w:rPr>
                    <w:t>流量（m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7580</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7444</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7801</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7385</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firstLine="420" w:firstLineChars="20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标干流量（Ndm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6401</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6293</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6595</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6238</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甲苯</w:t>
                  </w:r>
                </w:p>
              </w:tc>
              <w:tc>
                <w:tcPr>
                  <w:tcW w:w="908" w:type="pct"/>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0.805</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0.835</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0.915</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0.810</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908" w:type="pct"/>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5.15</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5.25</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6.03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5.05</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5.37</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甲醇</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12.4</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12.4</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11.4</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11.6</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7.94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7.80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7.52</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7.24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7.62</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非甲烷总烃</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53.6</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46.5</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47.9</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50.8</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0.34</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0.29</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0.32</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0.32</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臭气浓度</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w:t>
                  </w:r>
                  <w:r>
                    <w:rPr>
                      <w:rFonts w:hint="default" w:ascii="Times New Roman" w:hAnsi="Times New Roman" w:eastAsia="宋体" w:cs="Times New Roman"/>
                      <w:color w:val="auto"/>
                      <w:szCs w:val="21"/>
                      <w:lang w:eastAsia="zh-CN"/>
                    </w:rPr>
                    <w:t>无量纲</w:t>
                  </w:r>
                  <w:r>
                    <w:rPr>
                      <w:rFonts w:hint="default" w:ascii="Times New Roman" w:hAnsi="Times New Roman" w:eastAsia="宋体" w:cs="Times New Roman"/>
                      <w:color w:val="auto"/>
                      <w:szCs w:val="21"/>
                    </w:rPr>
                    <w:t>）</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630</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724</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851</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977</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restart"/>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排气筒出口</w:t>
                  </w:r>
                </w:p>
              </w:tc>
              <w:tc>
                <w:tcPr>
                  <w:tcW w:w="1514"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排气筒高度（</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99" w:type="pct"/>
                  <w:gridSpan w:val="5"/>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排气筒直径（</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99" w:type="pct"/>
                  <w:gridSpan w:val="5"/>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流速（m/s）</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17.42</w:t>
                  </w:r>
                </w:p>
              </w:tc>
              <w:tc>
                <w:tcPr>
                  <w:tcW w:w="1097"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17.36</w:t>
                  </w:r>
                </w:p>
              </w:tc>
              <w:tc>
                <w:tcPr>
                  <w:tcW w:w="1026"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17.28</w:t>
                  </w:r>
                </w:p>
              </w:tc>
              <w:tc>
                <w:tcPr>
                  <w:tcW w:w="1070"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17.49</w:t>
                  </w:r>
                </w:p>
              </w:tc>
              <w:tc>
                <w:tcPr>
                  <w:tcW w:w="1085"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温度 （</w:t>
                  </w:r>
                  <w:r>
                    <w:rPr>
                      <w:rFonts w:hint="default" w:ascii="Times New Roman" w:hAnsi="Times New Roman" w:eastAsia="宋体" w:cs="Times New Roman"/>
                      <w:color w:val="auto"/>
                      <w:szCs w:val="21"/>
                      <w:vertAlign w:val="superscript"/>
                    </w:rPr>
                    <w:t>o</w:t>
                  </w:r>
                  <w:r>
                    <w:rPr>
                      <w:rFonts w:hint="default" w:ascii="Times New Roman" w:hAnsi="Times New Roman" w:eastAsia="宋体" w:cs="Times New Roman"/>
                      <w:color w:val="auto"/>
                      <w:szCs w:val="21"/>
                    </w:rPr>
                    <w:t>C）</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32.3</w:t>
                  </w:r>
                </w:p>
              </w:tc>
              <w:tc>
                <w:tcPr>
                  <w:tcW w:w="109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33.0</w:t>
                  </w:r>
                </w:p>
              </w:tc>
              <w:tc>
                <w:tcPr>
                  <w:tcW w:w="1026"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32.3</w:t>
                  </w:r>
                </w:p>
              </w:tc>
              <w:tc>
                <w:tcPr>
                  <w:tcW w:w="107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33.0</w:t>
                  </w:r>
                </w:p>
              </w:tc>
              <w:tc>
                <w:tcPr>
                  <w:tcW w:w="1085"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含湿量（</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w:t>
                  </w:r>
                </w:p>
              </w:tc>
              <w:tc>
                <w:tcPr>
                  <w:tcW w:w="1104"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109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w:t>
                  </w:r>
                </w:p>
              </w:tc>
              <w:tc>
                <w:tcPr>
                  <w:tcW w:w="1026"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w:t>
                  </w:r>
                </w:p>
              </w:tc>
              <w:tc>
                <w:tcPr>
                  <w:tcW w:w="107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1085"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hint="eastAsia" w:ascii="Times New Roman" w:hAnsi="Times New Roman" w:cs="Times New Roman"/>
                      <w:color w:val="auto"/>
                      <w:szCs w:val="21"/>
                      <w:highlight w:val="none"/>
                      <w:lang w:val="en-US" w:eastAsia="zh-CN"/>
                    </w:rPr>
                    <w:t>排气</w:t>
                  </w:r>
                  <w:r>
                    <w:rPr>
                      <w:rFonts w:hint="default" w:ascii="Times New Roman" w:hAnsi="Times New Roman" w:eastAsia="宋体" w:cs="Times New Roman"/>
                      <w:color w:val="auto"/>
                      <w:szCs w:val="21"/>
                      <w:highlight w:val="none"/>
                    </w:rPr>
                    <w:t>流量（m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7883</w:t>
                  </w:r>
                </w:p>
              </w:tc>
              <w:tc>
                <w:tcPr>
                  <w:tcW w:w="1097"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7856</w:t>
                  </w:r>
                </w:p>
              </w:tc>
              <w:tc>
                <w:tcPr>
                  <w:tcW w:w="1026"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7820</w:t>
                  </w:r>
                </w:p>
              </w:tc>
              <w:tc>
                <w:tcPr>
                  <w:tcW w:w="1070"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7915</w:t>
                  </w:r>
                </w:p>
              </w:tc>
              <w:tc>
                <w:tcPr>
                  <w:tcW w:w="1085"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highlight w:val="none"/>
                    </w:rPr>
                  </w:pPr>
                </w:p>
              </w:tc>
              <w:tc>
                <w:tcPr>
                  <w:tcW w:w="1104"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6658</w:t>
                  </w:r>
                </w:p>
              </w:tc>
              <w:tc>
                <w:tcPr>
                  <w:tcW w:w="1097"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6626</w:t>
                  </w:r>
                </w:p>
              </w:tc>
              <w:tc>
                <w:tcPr>
                  <w:tcW w:w="1026"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6611</w:t>
                  </w:r>
                </w:p>
              </w:tc>
              <w:tc>
                <w:tcPr>
                  <w:tcW w:w="1070"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6668</w:t>
                  </w:r>
                </w:p>
              </w:tc>
              <w:tc>
                <w:tcPr>
                  <w:tcW w:w="1085"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甲苯</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0.496</w:t>
                  </w:r>
                </w:p>
              </w:tc>
              <w:tc>
                <w:tcPr>
                  <w:tcW w:w="109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0.371</w:t>
                  </w:r>
                </w:p>
              </w:tc>
              <w:tc>
                <w:tcPr>
                  <w:tcW w:w="1026"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0.276</w:t>
                  </w:r>
                </w:p>
              </w:tc>
              <w:tc>
                <w:tcPr>
                  <w:tcW w:w="107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0.295</w:t>
                  </w:r>
                </w:p>
              </w:tc>
              <w:tc>
                <w:tcPr>
                  <w:tcW w:w="1085" w:type="dxa"/>
                  <w:noWrap/>
                  <w:vAlign w:val="center"/>
                </w:tcPr>
                <w:p>
                  <w:pPr>
                    <w:spacing w:line="31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3.30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97"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2.46</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26"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1.82</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70"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1.97</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85" w:type="dxa"/>
                  <w:noWrap/>
                  <w:vAlign w:val="center"/>
                </w:tcPr>
                <w:p>
                  <w:pPr>
                    <w:spacing w:line="31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2.39</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104"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35.9</w:t>
                  </w:r>
                </w:p>
              </w:tc>
              <w:tc>
                <w:tcPr>
                  <w:tcW w:w="109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53.1</w:t>
                  </w:r>
                </w:p>
              </w:tc>
              <w:tc>
                <w:tcPr>
                  <w:tcW w:w="1026"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69.8</w:t>
                  </w:r>
                </w:p>
              </w:tc>
              <w:tc>
                <w:tcPr>
                  <w:tcW w:w="107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60.9</w:t>
                  </w:r>
                </w:p>
              </w:tc>
              <w:tc>
                <w:tcPr>
                  <w:tcW w:w="1085"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甲醇</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5.8</w:t>
                  </w:r>
                </w:p>
              </w:tc>
              <w:tc>
                <w:tcPr>
                  <w:tcW w:w="1097"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6.0</w:t>
                  </w:r>
                </w:p>
              </w:tc>
              <w:tc>
                <w:tcPr>
                  <w:tcW w:w="1026"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5.9</w:t>
                  </w:r>
                </w:p>
              </w:tc>
              <w:tc>
                <w:tcPr>
                  <w:tcW w:w="1070"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5.7</w:t>
                  </w:r>
                </w:p>
              </w:tc>
              <w:tc>
                <w:tcPr>
                  <w:tcW w:w="1085" w:type="dxa"/>
                  <w:noWrap/>
                  <w:vAlign w:val="center"/>
                </w:tcPr>
                <w:p>
                  <w:pPr>
                    <w:spacing w:line="31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3.86</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97"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3.98</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26"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3.90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70"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3.80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85" w:type="dxa"/>
                  <w:noWrap/>
                  <w:vAlign w:val="center"/>
                </w:tcPr>
                <w:p>
                  <w:pPr>
                    <w:spacing w:line="31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3.88</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104" w:type="dxa"/>
                  <w:noWrap/>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51.3</w:t>
                  </w:r>
                </w:p>
              </w:tc>
              <w:tc>
                <w:tcPr>
                  <w:tcW w:w="1097" w:type="dxa"/>
                  <w:noWrap/>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48.9</w:t>
                  </w:r>
                </w:p>
              </w:tc>
              <w:tc>
                <w:tcPr>
                  <w:tcW w:w="1026" w:type="dxa"/>
                  <w:noWrap/>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48.1</w:t>
                  </w:r>
                </w:p>
              </w:tc>
              <w:tc>
                <w:tcPr>
                  <w:tcW w:w="1070" w:type="dxa"/>
                  <w:noWrap/>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47.5</w:t>
                  </w:r>
                </w:p>
              </w:tc>
              <w:tc>
                <w:tcPr>
                  <w:tcW w:w="1085" w:type="dxa"/>
                  <w:noWrap/>
                  <w:vAlign w:val="center"/>
                </w:tcPr>
                <w:p>
                  <w:pPr>
                    <w:spacing w:line="31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非甲烷总烃</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26.0</w:t>
                  </w:r>
                </w:p>
              </w:tc>
              <w:tc>
                <w:tcPr>
                  <w:tcW w:w="109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22.3</w:t>
                  </w:r>
                </w:p>
              </w:tc>
              <w:tc>
                <w:tcPr>
                  <w:tcW w:w="1026"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21.2</w:t>
                  </w:r>
                </w:p>
              </w:tc>
              <w:tc>
                <w:tcPr>
                  <w:tcW w:w="107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20.0</w:t>
                  </w:r>
                </w:p>
              </w:tc>
              <w:tc>
                <w:tcPr>
                  <w:tcW w:w="1085"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0.17</w:t>
                  </w:r>
                </w:p>
              </w:tc>
              <w:tc>
                <w:tcPr>
                  <w:tcW w:w="109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0.15</w:t>
                  </w:r>
                </w:p>
              </w:tc>
              <w:tc>
                <w:tcPr>
                  <w:tcW w:w="1026"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0.14</w:t>
                  </w:r>
                </w:p>
              </w:tc>
              <w:tc>
                <w:tcPr>
                  <w:tcW w:w="107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0.13</w:t>
                  </w:r>
                </w:p>
              </w:tc>
              <w:tc>
                <w:tcPr>
                  <w:tcW w:w="1085"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104"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50.0</w:t>
                  </w:r>
                </w:p>
              </w:tc>
              <w:tc>
                <w:tcPr>
                  <w:tcW w:w="109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48.2</w:t>
                  </w:r>
                </w:p>
              </w:tc>
              <w:tc>
                <w:tcPr>
                  <w:tcW w:w="1026"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56.2</w:t>
                  </w:r>
                </w:p>
              </w:tc>
              <w:tc>
                <w:tcPr>
                  <w:tcW w:w="107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59.3</w:t>
                  </w:r>
                </w:p>
              </w:tc>
              <w:tc>
                <w:tcPr>
                  <w:tcW w:w="1085"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臭气浓度</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w:t>
                  </w:r>
                  <w:r>
                    <w:rPr>
                      <w:rFonts w:hint="default" w:ascii="Times New Roman" w:hAnsi="Times New Roman" w:eastAsia="宋体" w:cs="Times New Roman"/>
                      <w:color w:val="auto"/>
                      <w:szCs w:val="21"/>
                      <w:lang w:eastAsia="zh-CN"/>
                    </w:rPr>
                    <w:t>无量纲</w:t>
                  </w:r>
                  <w:r>
                    <w:rPr>
                      <w:rFonts w:hint="default" w:ascii="Times New Roman" w:hAnsi="Times New Roman" w:eastAsia="宋体" w:cs="Times New Roman"/>
                      <w:color w:val="auto"/>
                      <w:szCs w:val="21"/>
                    </w:rPr>
                    <w:t>）</w:t>
                  </w:r>
                </w:p>
              </w:tc>
              <w:tc>
                <w:tcPr>
                  <w:tcW w:w="1104"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highlight w:val="none"/>
                      <w:lang w:val="en-US" w:eastAsia="zh-CN"/>
                    </w:rPr>
                    <w:t>416</w:t>
                  </w:r>
                </w:p>
              </w:tc>
              <w:tc>
                <w:tcPr>
                  <w:tcW w:w="109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354</w:t>
                  </w:r>
                </w:p>
              </w:tc>
              <w:tc>
                <w:tcPr>
                  <w:tcW w:w="1026"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478</w:t>
                  </w:r>
                </w:p>
              </w:tc>
              <w:tc>
                <w:tcPr>
                  <w:tcW w:w="107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354</w:t>
                  </w:r>
                </w:p>
              </w:tc>
              <w:tc>
                <w:tcPr>
                  <w:tcW w:w="1085" w:type="dxa"/>
                  <w:noWrap/>
                  <w:vAlign w:val="center"/>
                </w:tcPr>
                <w:p>
                  <w:pPr>
                    <w:spacing w:line="31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400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10 有组废气污染物监测结果</w:t>
            </w:r>
            <w:r>
              <w:rPr>
                <w:rFonts w:hint="eastAsia"/>
                <w:b/>
                <w:bCs/>
                <w:color w:val="auto"/>
                <w:sz w:val="24"/>
                <w:szCs w:val="24"/>
              </w:rPr>
              <w:t>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856"/>
              <w:gridCol w:w="1426"/>
              <w:gridCol w:w="1048"/>
              <w:gridCol w:w="1250"/>
              <w:gridCol w:w="1048"/>
              <w:gridCol w:w="104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877" w:type="pct"/>
                  <w:gridSpan w:val="3"/>
                  <w:noWrap/>
                  <w:vAlign w:val="center"/>
                </w:tcPr>
                <w:p>
                  <w:pPr>
                    <w:pStyle w:val="30"/>
                    <w:ind w:left="0" w:leftChars="0" w:firstLine="0" w:firstLineChars="0"/>
                    <w:jc w:val="center"/>
                    <w:rPr>
                      <w:rFonts w:hint="default" w:ascii="Times New Roman" w:hAnsi="Times New Roman" w:eastAsia="宋体" w:cs="Times New Roman"/>
                      <w:b/>
                      <w:bCs w:val="0"/>
                      <w:color w:val="auto"/>
                      <w:kern w:val="2"/>
                      <w:sz w:val="21"/>
                      <w:szCs w:val="21"/>
                      <w:lang w:val="en-US" w:eastAsia="zh-CN" w:bidi="ar-SA"/>
                    </w:rPr>
                  </w:pPr>
                  <w:r>
                    <w:rPr>
                      <w:rFonts w:hint="eastAsia" w:eastAsia="宋体" w:cs="Times New Roman"/>
                      <w:b/>
                      <w:bCs w:val="0"/>
                      <w:color w:val="auto"/>
                      <w:kern w:val="2"/>
                      <w:sz w:val="21"/>
                      <w:szCs w:val="21"/>
                      <w:lang w:val="en-US" w:eastAsia="zh-CN" w:bidi="ar-SA"/>
                    </w:rPr>
                    <w:t>监测日期</w:t>
                  </w:r>
                </w:p>
              </w:tc>
              <w:tc>
                <w:tcPr>
                  <w:tcW w:w="3122" w:type="pct"/>
                  <w:gridSpan w:val="5"/>
                  <w:noWrap/>
                  <w:vAlign w:val="center"/>
                </w:tcPr>
                <w:p>
                  <w:pPr>
                    <w:pStyle w:val="30"/>
                    <w:ind w:left="0" w:leftChars="0" w:firstLine="0" w:firstLineChars="0"/>
                    <w:jc w:val="center"/>
                    <w:rPr>
                      <w:rFonts w:hint="default"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highlight w:val="none"/>
                      <w:lang w:val="en-US" w:eastAsia="zh-CN"/>
                    </w:rPr>
                    <w:t>2023.3.2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77" w:type="pct"/>
                  <w:gridSpan w:val="3"/>
                  <w:vMerge w:val="restart"/>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监测项目</w:t>
                  </w:r>
                </w:p>
              </w:tc>
              <w:tc>
                <w:tcPr>
                  <w:tcW w:w="3122" w:type="pct"/>
                  <w:gridSpan w:val="5"/>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877" w:type="pct"/>
                  <w:gridSpan w:val="3"/>
                  <w:vMerge w:val="continue"/>
                  <w:noWrap/>
                  <w:vAlign w:val="center"/>
                </w:tcPr>
                <w:p>
                  <w:pPr>
                    <w:keepNext w:val="0"/>
                    <w:keepLines w:val="0"/>
                    <w:suppressLineNumbers w:val="0"/>
                    <w:overflowPunct w:val="0"/>
                    <w:topLinePunct/>
                    <w:autoSpaceDE w:val="0"/>
                    <w:autoSpaceDN w:val="0"/>
                    <w:spacing w:before="0" w:beforeAutospacing="0" w:after="0" w:afterAutospacing="0" w:line="300" w:lineRule="exact"/>
                    <w:ind w:left="0" w:right="0"/>
                    <w:jc w:val="center"/>
                    <w:rPr>
                      <w:rFonts w:hint="default" w:ascii="Times New Roman" w:hAnsi="Times New Roman" w:eastAsia="宋体" w:cs="Times New Roman"/>
                      <w:b/>
                      <w:bCs w:val="0"/>
                      <w:color w:val="auto"/>
                      <w:szCs w:val="21"/>
                    </w:rPr>
                  </w:pPr>
                </w:p>
              </w:tc>
              <w:tc>
                <w:tcPr>
                  <w:tcW w:w="1048"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08:</w:t>
                  </w:r>
                  <w:r>
                    <w:rPr>
                      <w:rFonts w:hint="eastAsia" w:ascii="Times New Roman" w:hAnsi="Times New Roman" w:cs="Times New Roman"/>
                      <w:b/>
                      <w:bCs/>
                      <w:color w:val="auto"/>
                      <w:szCs w:val="21"/>
                      <w:vertAlign w:val="baseline"/>
                      <w:lang w:val="en-US" w:eastAsia="zh-CN"/>
                    </w:rPr>
                    <w:t>41</w:t>
                  </w:r>
                </w:p>
              </w:tc>
              <w:tc>
                <w:tcPr>
                  <w:tcW w:w="1250"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11:</w:t>
                  </w:r>
                  <w:r>
                    <w:rPr>
                      <w:rFonts w:hint="eastAsia" w:ascii="Times New Roman" w:hAnsi="Times New Roman" w:cs="Times New Roman"/>
                      <w:b/>
                      <w:bCs/>
                      <w:color w:val="auto"/>
                      <w:szCs w:val="21"/>
                      <w:vertAlign w:val="baseline"/>
                      <w:lang w:val="en-US" w:eastAsia="zh-CN"/>
                    </w:rPr>
                    <w:t>2</w:t>
                  </w:r>
                  <w:r>
                    <w:rPr>
                      <w:rFonts w:hint="eastAsia" w:ascii="Times New Roman" w:hAnsi="Times New Roman" w:eastAsia="宋体" w:cs="Times New Roman"/>
                      <w:b/>
                      <w:bCs/>
                      <w:color w:val="auto"/>
                      <w:szCs w:val="21"/>
                      <w:vertAlign w:val="baseline"/>
                      <w:lang w:val="en-US" w:eastAsia="zh-CN"/>
                    </w:rPr>
                    <w:t>5</w:t>
                  </w:r>
                </w:p>
              </w:tc>
              <w:tc>
                <w:tcPr>
                  <w:tcW w:w="1048"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14:</w:t>
                  </w:r>
                  <w:r>
                    <w:rPr>
                      <w:rFonts w:hint="eastAsia" w:ascii="Times New Roman" w:hAnsi="Times New Roman" w:cs="Times New Roman"/>
                      <w:b/>
                      <w:bCs/>
                      <w:color w:val="auto"/>
                      <w:szCs w:val="21"/>
                      <w:vertAlign w:val="baseline"/>
                      <w:lang w:val="en-US" w:eastAsia="zh-CN"/>
                    </w:rPr>
                    <w:t>32</w:t>
                  </w:r>
                </w:p>
              </w:tc>
              <w:tc>
                <w:tcPr>
                  <w:tcW w:w="1048"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16:</w:t>
                  </w:r>
                  <w:r>
                    <w:rPr>
                      <w:rFonts w:hint="eastAsia" w:ascii="Times New Roman" w:hAnsi="Times New Roman" w:cs="Times New Roman"/>
                      <w:b/>
                      <w:bCs/>
                      <w:color w:val="auto"/>
                      <w:szCs w:val="21"/>
                      <w:vertAlign w:val="baseline"/>
                      <w:lang w:val="en-US" w:eastAsia="zh-CN"/>
                    </w:rPr>
                    <w:t>2</w:t>
                  </w:r>
                  <w:r>
                    <w:rPr>
                      <w:rFonts w:hint="eastAsia" w:ascii="Times New Roman" w:hAnsi="Times New Roman" w:eastAsia="宋体" w:cs="Times New Roman"/>
                      <w:b/>
                      <w:bCs/>
                      <w:color w:val="auto"/>
                      <w:szCs w:val="21"/>
                      <w:vertAlign w:val="baseline"/>
                      <w:lang w:val="en-US" w:eastAsia="zh-CN"/>
                    </w:rPr>
                    <w:t>2</w:t>
                  </w:r>
                </w:p>
              </w:tc>
              <w:tc>
                <w:tcPr>
                  <w:tcW w:w="629" w:type="pct"/>
                  <w:noWrap/>
                  <w:vAlign w:val="center"/>
                </w:tcPr>
                <w:p>
                  <w:pPr>
                    <w:keepNext w:val="0"/>
                    <w:keepLines w:val="0"/>
                    <w:suppressLineNumbers w:val="0"/>
                    <w:overflowPunct w:val="0"/>
                    <w:topLinePunct/>
                    <w:autoSpaceDE w:val="0"/>
                    <w:autoSpaceDN w:val="0"/>
                    <w:spacing w:before="0" w:beforeAutospacing="0" w:after="0" w:afterAutospacing="0" w:line="300" w:lineRule="exact"/>
                    <w:ind w:left="0" w:right="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restart"/>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排气筒进口</w:t>
                  </w:r>
                </w:p>
              </w:tc>
              <w:tc>
                <w:tcPr>
                  <w:tcW w:w="1436"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排气筒直径（</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22" w:type="pct"/>
                  <w:gridSpan w:val="5"/>
                  <w:noWrap/>
                  <w:vAlign w:val="center"/>
                </w:tcPr>
                <w:p>
                  <w:pPr>
                    <w:keepNext w:val="0"/>
                    <w:keepLines w:val="0"/>
                    <w:suppressLineNumbers w:val="0"/>
                    <w:spacing w:before="0" w:beforeAutospacing="0" w:after="0" w:afterAutospacing="0" w:line="310" w:lineRule="exact"/>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r>
                    <w:rPr>
                      <w:rFonts w:hint="eastAsia" w:ascii="Times New Roman" w:hAnsi="Times New Roman" w:eastAsia="宋体" w:cs="Times New Roman"/>
                      <w:color w:val="auto"/>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流速（m/s）</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17.11</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16.28</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16.93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16.90</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温度 （</w:t>
                  </w:r>
                  <w:r>
                    <w:rPr>
                      <w:rFonts w:hint="default" w:ascii="Times New Roman" w:hAnsi="Times New Roman" w:eastAsia="宋体" w:cs="Times New Roman"/>
                      <w:color w:val="auto"/>
                      <w:szCs w:val="21"/>
                      <w:vertAlign w:val="superscript"/>
                    </w:rPr>
                    <w:t>o</w:t>
                  </w:r>
                  <w:r>
                    <w:rPr>
                      <w:rFonts w:hint="default" w:ascii="Times New Roman" w:hAnsi="Times New Roman" w:eastAsia="宋体" w:cs="Times New Roman"/>
                      <w:color w:val="auto"/>
                      <w:szCs w:val="21"/>
                    </w:rPr>
                    <w:t>C）</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30.0</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30.0</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含湿量（</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1.0</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1.0</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firstLine="420" w:firstLineChars="20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排气</w:t>
                  </w:r>
                  <w:r>
                    <w:rPr>
                      <w:rFonts w:hint="default" w:ascii="Times New Roman" w:hAnsi="Times New Roman" w:eastAsia="宋体" w:cs="Times New Roman"/>
                      <w:color w:val="auto"/>
                      <w:szCs w:val="21"/>
                      <w:highlight w:val="none"/>
                    </w:rPr>
                    <w:t>流量（m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7743</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7367</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7661</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7648</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firstLine="420" w:firstLineChars="20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rPr>
                    <w:t>标干流量（Ndm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6553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6228</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6476</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6473</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甲苯</w:t>
                  </w:r>
                </w:p>
              </w:tc>
              <w:tc>
                <w:tcPr>
                  <w:tcW w:w="887" w:type="pct"/>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0.812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0.764</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0.959</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0.809</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887" w:type="pct"/>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5.32</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4.76</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6.21</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5.24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5.38</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甲醇</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11.5</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12.1</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12.3</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7.54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7.60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7.84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7.96</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7.73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非甲烷总烃</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47.2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46.6</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48.3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51.5</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0.31</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0.29</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0.31</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0.33</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臭气浓度</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w:t>
                  </w:r>
                  <w:r>
                    <w:rPr>
                      <w:rFonts w:hint="default" w:ascii="Times New Roman" w:hAnsi="Times New Roman" w:eastAsia="宋体" w:cs="Times New Roman"/>
                      <w:color w:val="auto"/>
                      <w:szCs w:val="21"/>
                      <w:lang w:eastAsia="zh-CN"/>
                    </w:rPr>
                    <w:t>无量纲</w:t>
                  </w:r>
                  <w:r>
                    <w:rPr>
                      <w:rFonts w:hint="default" w:ascii="Times New Roman" w:hAnsi="Times New Roman" w:eastAsia="宋体" w:cs="Times New Roman"/>
                      <w:color w:val="auto"/>
                      <w:szCs w:val="21"/>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724</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630</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549</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851</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restart"/>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排气筒出口</w:t>
                  </w:r>
                </w:p>
              </w:tc>
              <w:tc>
                <w:tcPr>
                  <w:tcW w:w="1436"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排气筒高度（</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22" w:type="pct"/>
                  <w:gridSpan w:val="5"/>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排气筒直径（</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22" w:type="pct"/>
                  <w:gridSpan w:val="5"/>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流速（m/s）</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17.13</w:t>
                  </w:r>
                </w:p>
              </w:tc>
              <w:tc>
                <w:tcPr>
                  <w:tcW w:w="1250"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16.89</w:t>
                  </w:r>
                </w:p>
              </w:tc>
              <w:tc>
                <w:tcPr>
                  <w:tcW w:w="937"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16.89</w:t>
                  </w:r>
                </w:p>
              </w:tc>
              <w:tc>
                <w:tcPr>
                  <w:tcW w:w="1001"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17.30</w:t>
                  </w:r>
                </w:p>
              </w:tc>
              <w:tc>
                <w:tcPr>
                  <w:tcW w:w="1014"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温度 （</w:t>
                  </w:r>
                  <w:r>
                    <w:rPr>
                      <w:rFonts w:hint="default" w:ascii="Times New Roman" w:hAnsi="Times New Roman" w:eastAsia="宋体" w:cs="Times New Roman"/>
                      <w:color w:val="auto"/>
                      <w:szCs w:val="21"/>
                      <w:vertAlign w:val="superscript"/>
                    </w:rPr>
                    <w:t>o</w:t>
                  </w:r>
                  <w:r>
                    <w:rPr>
                      <w:rFonts w:hint="default" w:ascii="Times New Roman" w:hAnsi="Times New Roman" w:eastAsia="宋体" w:cs="Times New Roman"/>
                      <w:color w:val="auto"/>
                      <w:szCs w:val="21"/>
                    </w:rPr>
                    <w:t>C）</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33.0</w:t>
                  </w:r>
                </w:p>
              </w:tc>
              <w:tc>
                <w:tcPr>
                  <w:tcW w:w="125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33.0</w:t>
                  </w:r>
                </w:p>
              </w:tc>
              <w:tc>
                <w:tcPr>
                  <w:tcW w:w="93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32.7</w:t>
                  </w:r>
                </w:p>
              </w:tc>
              <w:tc>
                <w:tcPr>
                  <w:tcW w:w="1001"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33.0</w:t>
                  </w:r>
                </w:p>
              </w:tc>
              <w:tc>
                <w:tcPr>
                  <w:tcW w:w="1014"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含湿量（</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w:t>
                  </w:r>
                </w:p>
              </w:tc>
              <w:tc>
                <w:tcPr>
                  <w:tcW w:w="125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93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1001"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w:t>
                  </w:r>
                </w:p>
              </w:tc>
              <w:tc>
                <w:tcPr>
                  <w:tcW w:w="1014"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流量（m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rPr>
                    <w:t>h）</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7752</w:t>
                  </w:r>
                </w:p>
              </w:tc>
              <w:tc>
                <w:tcPr>
                  <w:tcW w:w="1250"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7643</w:t>
                  </w:r>
                </w:p>
              </w:tc>
              <w:tc>
                <w:tcPr>
                  <w:tcW w:w="937"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7643</w:t>
                  </w:r>
                </w:p>
              </w:tc>
              <w:tc>
                <w:tcPr>
                  <w:tcW w:w="1001"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7829</w:t>
                  </w:r>
                </w:p>
              </w:tc>
              <w:tc>
                <w:tcPr>
                  <w:tcW w:w="101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eastAsia" w:ascii="Times New Roman" w:hAnsi="Times New Roman" w:cs="Times New Roman"/>
                      <w:color w:val="auto"/>
                      <w:szCs w:val="21"/>
                      <w:lang w:val="en-US" w:eastAsia="zh-CN"/>
                    </w:rPr>
                  </w:pPr>
                  <w:r>
                    <w:rPr>
                      <w:rFonts w:hint="default" w:ascii="Times New Roman" w:hAnsi="Times New Roman" w:eastAsia="宋体" w:cs="Times New Roman"/>
                      <w:color w:val="auto"/>
                      <w:szCs w:val="21"/>
                      <w:highlight w:val="none"/>
                    </w:rPr>
                    <w:t>标干流量（Ndm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048"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6524</w:t>
                  </w:r>
                </w:p>
              </w:tc>
              <w:tc>
                <w:tcPr>
                  <w:tcW w:w="1250"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6439</w:t>
                  </w:r>
                </w:p>
              </w:tc>
              <w:tc>
                <w:tcPr>
                  <w:tcW w:w="937"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6445</w:t>
                  </w:r>
                </w:p>
              </w:tc>
              <w:tc>
                <w:tcPr>
                  <w:tcW w:w="1001"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6602</w:t>
                  </w:r>
                </w:p>
              </w:tc>
              <w:tc>
                <w:tcPr>
                  <w:tcW w:w="1014"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甲苯</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0.345</w:t>
                  </w:r>
                </w:p>
              </w:tc>
              <w:tc>
                <w:tcPr>
                  <w:tcW w:w="125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0.297</w:t>
                  </w:r>
                </w:p>
              </w:tc>
              <w:tc>
                <w:tcPr>
                  <w:tcW w:w="93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0.285</w:t>
                  </w:r>
                </w:p>
              </w:tc>
              <w:tc>
                <w:tcPr>
                  <w:tcW w:w="1001"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0.322</w:t>
                  </w:r>
                </w:p>
              </w:tc>
              <w:tc>
                <w:tcPr>
                  <w:tcW w:w="1014" w:type="dxa"/>
                  <w:noWrap/>
                  <w:vAlign w:val="center"/>
                </w:tcPr>
                <w:p>
                  <w:pPr>
                    <w:spacing w:line="31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2.25</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250"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1.91</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937"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1.84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01"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2.13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14" w:type="dxa"/>
                  <w:noWrap/>
                  <w:vAlign w:val="center"/>
                </w:tcPr>
                <w:p>
                  <w:pPr>
                    <w:spacing w:line="31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2.03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57.7</w:t>
                  </w:r>
                </w:p>
              </w:tc>
              <w:tc>
                <w:tcPr>
                  <w:tcW w:w="125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59.8</w:t>
                  </w:r>
                </w:p>
              </w:tc>
              <w:tc>
                <w:tcPr>
                  <w:tcW w:w="93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70.3</w:t>
                  </w:r>
                </w:p>
              </w:tc>
              <w:tc>
                <w:tcPr>
                  <w:tcW w:w="1001"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59.3</w:t>
                  </w:r>
                </w:p>
              </w:tc>
              <w:tc>
                <w:tcPr>
                  <w:tcW w:w="1014" w:type="dxa"/>
                  <w:noWrap/>
                  <w:vAlign w:val="center"/>
                </w:tcPr>
                <w:p>
                  <w:pPr>
                    <w:spacing w:line="31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甲醇</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4.8</w:t>
                  </w:r>
                </w:p>
              </w:tc>
              <w:tc>
                <w:tcPr>
                  <w:tcW w:w="125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4.4</w:t>
                  </w:r>
                </w:p>
              </w:tc>
              <w:tc>
                <w:tcPr>
                  <w:tcW w:w="93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5.5</w:t>
                  </w:r>
                </w:p>
              </w:tc>
              <w:tc>
                <w:tcPr>
                  <w:tcW w:w="1001"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5.3</w:t>
                  </w:r>
                </w:p>
              </w:tc>
              <w:tc>
                <w:tcPr>
                  <w:tcW w:w="101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3.13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250"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2.83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937"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3.54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01"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3.50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14" w:type="dxa"/>
                  <w:noWrap/>
                  <w:vAlign w:val="center"/>
                </w:tcPr>
                <w:p>
                  <w:pPr>
                    <w:spacing w:line="31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3.25</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048" w:type="dxa"/>
                  <w:noWrap/>
                  <w:vAlign w:val="center"/>
                </w:tcPr>
                <w:p>
                  <w:pPr>
                    <w:spacing w:line="300" w:lineRule="exact"/>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58.4</w:t>
                  </w:r>
                </w:p>
              </w:tc>
              <w:tc>
                <w:tcPr>
                  <w:tcW w:w="1250" w:type="dxa"/>
                  <w:noWrap/>
                  <w:vAlign w:val="center"/>
                </w:tcPr>
                <w:p>
                  <w:pPr>
                    <w:spacing w:line="300" w:lineRule="exact"/>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62.7</w:t>
                  </w:r>
                </w:p>
              </w:tc>
              <w:tc>
                <w:tcPr>
                  <w:tcW w:w="937" w:type="dxa"/>
                  <w:noWrap/>
                  <w:vAlign w:val="center"/>
                </w:tcPr>
                <w:p>
                  <w:pPr>
                    <w:spacing w:line="300" w:lineRule="exact"/>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54.8</w:t>
                  </w:r>
                </w:p>
              </w:tc>
              <w:tc>
                <w:tcPr>
                  <w:tcW w:w="1001" w:type="dxa"/>
                  <w:noWrap/>
                  <w:vAlign w:val="center"/>
                </w:tcPr>
                <w:p>
                  <w:pPr>
                    <w:spacing w:line="300" w:lineRule="exact"/>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56.0</w:t>
                  </w:r>
                </w:p>
              </w:tc>
              <w:tc>
                <w:tcPr>
                  <w:tcW w:w="1014" w:type="dxa"/>
                  <w:noWrap/>
                  <w:vAlign w:val="center"/>
                </w:tcPr>
                <w:p>
                  <w:pPr>
                    <w:spacing w:line="310" w:lineRule="exact"/>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非甲烷总烃</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21.0</w:t>
                  </w:r>
                </w:p>
              </w:tc>
              <w:tc>
                <w:tcPr>
                  <w:tcW w:w="125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20.4</w:t>
                  </w:r>
                </w:p>
              </w:tc>
              <w:tc>
                <w:tcPr>
                  <w:tcW w:w="93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20.4</w:t>
                  </w:r>
                </w:p>
              </w:tc>
              <w:tc>
                <w:tcPr>
                  <w:tcW w:w="1001"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23.7</w:t>
                  </w:r>
                </w:p>
              </w:tc>
              <w:tc>
                <w:tcPr>
                  <w:tcW w:w="1014"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0.14</w:t>
                  </w:r>
                </w:p>
              </w:tc>
              <w:tc>
                <w:tcPr>
                  <w:tcW w:w="125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0.13</w:t>
                  </w:r>
                </w:p>
              </w:tc>
              <w:tc>
                <w:tcPr>
                  <w:tcW w:w="93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0.13</w:t>
                  </w:r>
                </w:p>
              </w:tc>
              <w:tc>
                <w:tcPr>
                  <w:tcW w:w="1001"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0.16</w:t>
                  </w:r>
                </w:p>
              </w:tc>
              <w:tc>
                <w:tcPr>
                  <w:tcW w:w="1014"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54.8</w:t>
                  </w:r>
                </w:p>
              </w:tc>
              <w:tc>
                <w:tcPr>
                  <w:tcW w:w="125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55.1</w:t>
                  </w:r>
                </w:p>
              </w:tc>
              <w:tc>
                <w:tcPr>
                  <w:tcW w:w="93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58.0</w:t>
                  </w:r>
                </w:p>
              </w:tc>
              <w:tc>
                <w:tcPr>
                  <w:tcW w:w="1001"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51.5</w:t>
                  </w:r>
                </w:p>
              </w:tc>
              <w:tc>
                <w:tcPr>
                  <w:tcW w:w="1014"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臭气浓度</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w:t>
                  </w:r>
                  <w:r>
                    <w:rPr>
                      <w:rFonts w:hint="default" w:ascii="Times New Roman" w:hAnsi="Times New Roman" w:eastAsia="宋体" w:cs="Times New Roman"/>
                      <w:color w:val="auto"/>
                      <w:szCs w:val="21"/>
                      <w:lang w:eastAsia="zh-CN"/>
                    </w:rPr>
                    <w:t>无量纲</w:t>
                  </w:r>
                  <w:r>
                    <w:rPr>
                      <w:rFonts w:hint="default" w:ascii="Times New Roman" w:hAnsi="Times New Roman" w:eastAsia="宋体" w:cs="Times New Roman"/>
                      <w:color w:val="auto"/>
                      <w:szCs w:val="21"/>
                    </w:rPr>
                    <w:t>）</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354</w:t>
                  </w:r>
                </w:p>
              </w:tc>
              <w:tc>
                <w:tcPr>
                  <w:tcW w:w="125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highlight w:val="none"/>
                      <w:lang w:val="en-US" w:eastAsia="zh-CN"/>
                    </w:rPr>
                    <w:t>416</w:t>
                  </w:r>
                </w:p>
              </w:tc>
              <w:tc>
                <w:tcPr>
                  <w:tcW w:w="93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309</w:t>
                  </w:r>
                </w:p>
              </w:tc>
              <w:tc>
                <w:tcPr>
                  <w:tcW w:w="1001"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478</w:t>
                  </w:r>
                </w:p>
              </w:tc>
              <w:tc>
                <w:tcPr>
                  <w:tcW w:w="1014" w:type="dxa"/>
                  <w:noWrap/>
                  <w:vAlign w:val="center"/>
                </w:tcPr>
                <w:p>
                  <w:pPr>
                    <w:spacing w:line="31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389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lang w:eastAsia="zh-CN"/>
              </w:rPr>
            </w:pPr>
            <w:r>
              <w:rPr>
                <w:rFonts w:hint="eastAsia"/>
                <w:color w:val="auto"/>
                <w:sz w:val="24"/>
              </w:rPr>
              <w:t>②</w:t>
            </w:r>
            <w:r>
              <w:rPr>
                <w:rFonts w:hint="eastAsia"/>
                <w:color w:val="auto"/>
                <w:sz w:val="24"/>
                <w:lang w:eastAsia="zh-CN"/>
              </w:rPr>
              <w:t>无组废气监测结果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rFonts w:hint="eastAsia" w:eastAsia="宋体"/>
                <w:b/>
                <w:bCs/>
                <w:color w:val="auto"/>
                <w:sz w:val="24"/>
                <w:szCs w:val="24"/>
                <w:lang w:eastAsia="zh-CN"/>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11 无组废气污染物监测结果</w:t>
            </w:r>
            <w:r>
              <w:rPr>
                <w:rFonts w:hint="eastAsia"/>
                <w:b/>
                <w:bCs/>
                <w:color w:val="auto"/>
                <w:sz w:val="24"/>
                <w:szCs w:val="24"/>
              </w:rPr>
              <w:t>一览表</w:t>
            </w:r>
            <w:r>
              <w:rPr>
                <w:rFonts w:hint="eastAsia"/>
                <w:b/>
                <w:bCs/>
                <w:color w:val="auto"/>
                <w:sz w:val="24"/>
                <w:szCs w:val="24"/>
                <w:lang w:eastAsia="zh-CN"/>
              </w:rPr>
              <w:t>（</w:t>
            </w:r>
            <w:r>
              <w:rPr>
                <w:rFonts w:hint="eastAsia"/>
                <w:b/>
                <w:bCs/>
                <w:color w:val="auto"/>
                <w:sz w:val="24"/>
                <w:szCs w:val="24"/>
                <w:lang w:val="en-US" w:eastAsia="zh-CN"/>
              </w:rPr>
              <w:t>2023.3.1</w:t>
            </w:r>
            <w:r>
              <w:rPr>
                <w:rFonts w:hint="eastAsia"/>
                <w:b/>
                <w:bCs/>
                <w:color w:val="auto"/>
                <w:sz w:val="24"/>
                <w:szCs w:val="24"/>
                <w:lang w:eastAsia="zh-CN"/>
              </w:rPr>
              <w:t>）</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2195"/>
              <w:gridCol w:w="2356"/>
              <w:gridCol w:w="2113"/>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3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lang w:val="en-US" w:eastAsia="zh-CN"/>
                    </w:rPr>
                    <w:br w:type="page"/>
                  </w:r>
                  <w:r>
                    <w:rPr>
                      <w:rFonts w:hint="default" w:ascii="Times New Roman" w:hAnsi="Times New Roman" w:eastAsia="宋体" w:cs="Times New Roman"/>
                      <w:b/>
                      <w:bCs/>
                      <w:color w:val="auto"/>
                      <w:szCs w:val="21"/>
                      <w:vertAlign w:val="baseline"/>
                      <w:lang w:val="en-US" w:eastAsia="zh-CN"/>
                    </w:rPr>
                    <w:t>监测点位</w:t>
                  </w:r>
                </w:p>
              </w:tc>
              <w:tc>
                <w:tcPr>
                  <w:tcW w:w="130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监测项目</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监测时段</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w:t>
                  </w:r>
                  <w:r>
                    <w:rPr>
                      <w:rFonts w:hint="default" w:ascii="Times New Roman" w:hAnsi="Times New Roman" w:eastAsia="宋体" w:cs="Times New Roman"/>
                      <w:color w:val="auto"/>
                      <w:szCs w:val="21"/>
                      <w:vertAlign w:val="baseline"/>
                      <w:lang w:val="en-US" w:eastAsia="zh-CN"/>
                    </w:rPr>
                    <w:t>上风向</w:t>
                  </w: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08:33-09:03</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10:44-11:14</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13:21-13:51</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15:52-16:22</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08:31</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:47</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w:t>
                  </w:r>
                  <w:r>
                    <w:rPr>
                      <w:rFonts w:hint="eastAsia" w:ascii="Times New Roman" w:hAnsi="Times New Roman" w:cs="Times New Roman"/>
                      <w:b w:val="0"/>
                      <w:bCs w:val="0"/>
                      <w:color w:val="auto"/>
                      <w:sz w:val="21"/>
                      <w:szCs w:val="21"/>
                      <w:highlight w:val="none"/>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13:43</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16:09</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08:33</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:51</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13:47</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16:14</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pStyle w:val="30"/>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08:29</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:48</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13:45</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16:11</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1" w:type="pct"/>
                  <w:vMerge w:val="restart"/>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w:t>
                  </w:r>
                  <w:r>
                    <w:rPr>
                      <w:rFonts w:hint="default" w:ascii="Times New Roman" w:hAnsi="Times New Roman" w:eastAsia="宋体" w:cs="Times New Roman"/>
                      <w:color w:val="auto"/>
                      <w:szCs w:val="21"/>
                      <w:vertAlign w:val="baseline"/>
                      <w:lang w:val="en-US" w:eastAsia="zh-CN"/>
                    </w:rPr>
                    <w:t>下风向</w:t>
                  </w: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08:36-09:06</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10:47-11:17</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13:24-13:54</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15:55-16:25</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08:34</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:49</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13:48</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16:15</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08:37</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:55</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13:51</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16:17</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08:35</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:53</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13:49</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16:16</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w:t>
                  </w:r>
                  <w:r>
                    <w:rPr>
                      <w:rFonts w:hint="default" w:ascii="Times New Roman" w:hAnsi="Times New Roman" w:eastAsia="宋体" w:cs="Times New Roman"/>
                      <w:color w:val="auto"/>
                      <w:szCs w:val="21"/>
                      <w:vertAlign w:val="baseline"/>
                      <w:lang w:val="en-US" w:eastAsia="zh-CN"/>
                    </w:rPr>
                    <w:t>下风向</w:t>
                  </w: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08:39-09:09</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11:01-11:31</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13:27-13:57</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15:59-16:29</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08:37</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:56</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13:52</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16:18</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90"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08:40</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:59</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7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13:55</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16:21</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08:38</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:57</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13:53</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16:20</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4#</w:t>
                  </w:r>
                  <w:r>
                    <w:rPr>
                      <w:rFonts w:hint="default" w:ascii="Times New Roman" w:hAnsi="Times New Roman" w:eastAsia="宋体" w:cs="Times New Roman"/>
                      <w:color w:val="auto"/>
                      <w:szCs w:val="21"/>
                      <w:vertAlign w:val="baseline"/>
                      <w:lang w:val="en-US" w:eastAsia="zh-CN"/>
                    </w:rPr>
                    <w:t>下风向</w:t>
                  </w: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08:44-09:14</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83"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11:05-11:35</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13:31-14:01</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16:03-16:33</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08:42</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11</w:t>
                  </w:r>
                  <w:r>
                    <w:rPr>
                      <w:rFonts w:hint="default" w:ascii="Times New Roman" w:hAnsi="Times New Roman" w:eastAsia="宋体" w:cs="Times New Roman"/>
                      <w:color w:val="auto"/>
                      <w:szCs w:val="21"/>
                      <w:vertAlign w:val="baseline"/>
                      <w:lang w:val="en-US" w:eastAsia="zh-CN"/>
                    </w:rPr>
                    <w:t>:00</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20"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13:57</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 xml:space="preserve">16:22   </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08:43</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11:02</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13:58</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16:25</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08:41</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11</w:t>
                  </w:r>
                  <w:r>
                    <w:rPr>
                      <w:rFonts w:hint="default" w:ascii="Times New Roman" w:hAnsi="Times New Roman" w:eastAsia="宋体" w:cs="Times New Roman"/>
                      <w:color w:val="auto"/>
                      <w:szCs w:val="21"/>
                      <w:vertAlign w:val="baseline"/>
                      <w:lang w:val="en-US" w:eastAsia="zh-CN"/>
                    </w:rPr>
                    <w:t>:01</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13:56</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16:23</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rFonts w:hint="eastAsia" w:eastAsia="宋体"/>
                <w:b/>
                <w:bCs/>
                <w:color w:val="auto"/>
                <w:sz w:val="24"/>
                <w:szCs w:val="24"/>
                <w:lang w:eastAsia="zh-CN"/>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12 无组废气污染物监测结果</w:t>
            </w:r>
            <w:r>
              <w:rPr>
                <w:rFonts w:hint="eastAsia"/>
                <w:b/>
                <w:bCs/>
                <w:color w:val="auto"/>
                <w:sz w:val="24"/>
                <w:szCs w:val="24"/>
              </w:rPr>
              <w:t>一览表</w:t>
            </w:r>
            <w:r>
              <w:rPr>
                <w:rFonts w:hint="eastAsia"/>
                <w:b/>
                <w:bCs/>
                <w:color w:val="auto"/>
                <w:sz w:val="24"/>
                <w:szCs w:val="24"/>
                <w:lang w:eastAsia="zh-CN"/>
              </w:rPr>
              <w:t>（</w:t>
            </w:r>
            <w:r>
              <w:rPr>
                <w:rFonts w:hint="eastAsia"/>
                <w:b/>
                <w:bCs/>
                <w:color w:val="auto"/>
                <w:sz w:val="24"/>
                <w:szCs w:val="24"/>
                <w:lang w:val="en-US" w:eastAsia="zh-CN"/>
              </w:rPr>
              <w:t>2023.3.2</w:t>
            </w:r>
            <w:r>
              <w:rPr>
                <w:rFonts w:hint="eastAsia"/>
                <w:b/>
                <w:bCs/>
                <w:color w:val="auto"/>
                <w:sz w:val="24"/>
                <w:szCs w:val="24"/>
                <w:lang w:eastAsia="zh-CN"/>
              </w:rPr>
              <w:t>）</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2165"/>
              <w:gridCol w:w="2360"/>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4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lang w:val="en-US" w:eastAsia="zh-CN"/>
                    </w:rPr>
                    <w:br w:type="page"/>
                  </w:r>
                  <w:r>
                    <w:rPr>
                      <w:rFonts w:hint="default" w:ascii="Times New Roman" w:hAnsi="Times New Roman" w:eastAsia="宋体" w:cs="Times New Roman"/>
                      <w:b/>
                      <w:bCs/>
                      <w:color w:val="auto"/>
                      <w:szCs w:val="21"/>
                      <w:vertAlign w:val="baseline"/>
                      <w:lang w:val="en-US" w:eastAsia="zh-CN"/>
                    </w:rPr>
                    <w:t>监测点位</w:t>
                  </w:r>
                </w:p>
              </w:tc>
              <w:tc>
                <w:tcPr>
                  <w:tcW w:w="12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监测项目</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监测时段</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w:t>
                  </w:r>
                  <w:r>
                    <w:rPr>
                      <w:rFonts w:hint="default" w:ascii="Times New Roman" w:hAnsi="Times New Roman" w:eastAsia="宋体" w:cs="Times New Roman"/>
                      <w:color w:val="auto"/>
                      <w:szCs w:val="21"/>
                      <w:vertAlign w:val="baseline"/>
                      <w:lang w:val="en-US" w:eastAsia="zh-CN"/>
                    </w:rPr>
                    <w:t>上风向</w:t>
                  </w: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08:39-09:09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10:42-11:12</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13:21-13:51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16:04-16:34</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08:25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w:t>
                  </w:r>
                  <w:r>
                    <w:rPr>
                      <w:rFonts w:hint="eastAsia" w:ascii="Times New Roman" w:hAnsi="Times New Roman" w:cs="Times New Roman"/>
                      <w:b w:val="0"/>
                      <w:bCs w:val="0"/>
                      <w:color w:val="auto"/>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10:28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14:27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w:t>
                  </w:r>
                  <w:r>
                    <w:rPr>
                      <w:rFonts w:hint="eastAsia" w:ascii="Times New Roman" w:hAnsi="Times New Roman" w:cs="Times New Roman"/>
                      <w:b w:val="0"/>
                      <w:bCs w:val="0"/>
                      <w:color w:val="auto"/>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08:28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10:30</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14:31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pStyle w:val="30"/>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08:27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10:32</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14:33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16:21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restart"/>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w:t>
                  </w:r>
                  <w:r>
                    <w:rPr>
                      <w:rFonts w:hint="default" w:ascii="Times New Roman" w:hAnsi="Times New Roman" w:eastAsia="宋体" w:cs="Times New Roman"/>
                      <w:color w:val="auto"/>
                      <w:szCs w:val="21"/>
                      <w:vertAlign w:val="baseline"/>
                      <w:lang w:val="en-US" w:eastAsia="zh-CN"/>
                    </w:rPr>
                    <w:t>下风向</w:t>
                  </w: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08:43-09:13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10:46-11:16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13:25-13:55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16:08-16:38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08:29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10:35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14:34</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16:24</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10:34</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14:35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16:23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08:32</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10:37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14:38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16:27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w:t>
                  </w:r>
                  <w:r>
                    <w:rPr>
                      <w:rFonts w:hint="default" w:ascii="Times New Roman" w:hAnsi="Times New Roman" w:eastAsia="宋体" w:cs="Times New Roman"/>
                      <w:color w:val="auto"/>
                      <w:szCs w:val="21"/>
                      <w:vertAlign w:val="baseline"/>
                      <w:lang w:val="en-US" w:eastAsia="zh-CN"/>
                    </w:rPr>
                    <w:t>下风向</w:t>
                  </w: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08:47-09:17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10:51-11:21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13:29-13:59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16:13-16:43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10:38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14:39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10:39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14:40</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10:41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14:43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16:32</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4#</w:t>
                  </w:r>
                  <w:r>
                    <w:rPr>
                      <w:rFonts w:hint="default" w:ascii="Times New Roman" w:hAnsi="Times New Roman" w:eastAsia="宋体" w:cs="Times New Roman"/>
                      <w:color w:val="auto"/>
                      <w:szCs w:val="21"/>
                      <w:vertAlign w:val="baseline"/>
                      <w:lang w:val="en-US" w:eastAsia="zh-CN"/>
                    </w:rPr>
                    <w:t>下风向</w:t>
                  </w: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08:51-09:21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10:56-11:26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13:33-14:03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16:17-16:47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10:45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14:46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16:34</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10:43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14:45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16:36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eastAsia" w:ascii="Times New Roman" w:hAnsi="Times New Roman" w:cs="Times New Roman"/>
                      <w:color w:val="auto"/>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10:47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14:49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 xml:space="preserve">16:38 </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13 有组废气污染物排放浓度评价结果</w:t>
            </w:r>
            <w:r>
              <w:rPr>
                <w:rFonts w:hint="eastAsia"/>
                <w:b/>
                <w:bCs/>
                <w:color w:val="auto"/>
                <w:sz w:val="24"/>
                <w:szCs w:val="24"/>
              </w:rPr>
              <w:t>一览表</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24"/>
              <w:gridCol w:w="824"/>
              <w:gridCol w:w="824"/>
              <w:gridCol w:w="824"/>
              <w:gridCol w:w="824"/>
              <w:gridCol w:w="824"/>
              <w:gridCol w:w="824"/>
              <w:gridCol w:w="831"/>
              <w:gridCol w:w="422"/>
              <w:gridCol w:w="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2" w:hRule="atLeast"/>
                <w:jc w:val="center"/>
              </w:trPr>
              <w:tc>
                <w:tcPr>
                  <w:tcW w:w="525"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采样日期</w:t>
                  </w: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甲苯</w:t>
                  </w: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甲醇</w:t>
                  </w: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非甲烷总烃</w:t>
                  </w:r>
                </w:p>
              </w:tc>
              <w:tc>
                <w:tcPr>
                  <w:tcW w:w="984"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臭气浓度</w:t>
                  </w:r>
                </w:p>
              </w:tc>
              <w:tc>
                <w:tcPr>
                  <w:tcW w:w="251"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超标率</w:t>
                  </w:r>
                </w:p>
              </w:tc>
              <w:tc>
                <w:tcPr>
                  <w:tcW w:w="296"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25"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ascii="Times New Roman" w:hAnsi="Times New Roman"/>
                      <w:color w:val="auto"/>
                      <w:szCs w:val="21"/>
                    </w:rPr>
                    <w:t>40mg/m</w:t>
                  </w:r>
                  <w:r>
                    <w:rPr>
                      <w:rFonts w:ascii="Times New Roman" w:hAnsi="Times New Roman"/>
                      <w:color w:val="auto"/>
                      <w:szCs w:val="21"/>
                      <w:vertAlign w:val="superscript"/>
                    </w:rPr>
                    <w:t>3</w:t>
                  </w: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hint="eastAsia" w:ascii="Times New Roman" w:hAnsi="Times New Roman"/>
                      <w:b/>
                      <w:bCs/>
                      <w:color w:val="auto"/>
                      <w:szCs w:val="21"/>
                      <w:lang w:eastAsia="zh-CN"/>
                    </w:rPr>
                    <w:t>：</w:t>
                  </w:r>
                  <w:r>
                    <w:rPr>
                      <w:rFonts w:ascii="Times New Roman" w:hAnsi="Times New Roman"/>
                      <w:color w:val="auto"/>
                      <w:szCs w:val="21"/>
                    </w:rPr>
                    <w:t>60mg/m</w:t>
                  </w:r>
                  <w:r>
                    <w:rPr>
                      <w:rFonts w:ascii="Times New Roman" w:hAnsi="Times New Roman"/>
                      <w:color w:val="auto"/>
                      <w:szCs w:val="21"/>
                      <w:vertAlign w:val="superscript"/>
                    </w:rPr>
                    <w:t>3</w:t>
                  </w: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ascii="Times New Roman" w:hAnsi="Times New Roman"/>
                      <w:color w:val="auto"/>
                      <w:szCs w:val="21"/>
                    </w:rPr>
                    <w:t>：120mg/m</w:t>
                  </w:r>
                  <w:r>
                    <w:rPr>
                      <w:rFonts w:ascii="Times New Roman" w:hAnsi="Times New Roman"/>
                      <w:color w:val="auto"/>
                      <w:szCs w:val="21"/>
                      <w:vertAlign w:val="superscript"/>
                    </w:rPr>
                    <w:t>3</w:t>
                  </w:r>
                </w:p>
              </w:tc>
              <w:tc>
                <w:tcPr>
                  <w:tcW w:w="984"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hint="eastAsia" w:ascii="Times New Roman" w:hAnsi="Times New Roman"/>
                      <w:b/>
                      <w:bCs/>
                      <w:color w:val="auto"/>
                      <w:szCs w:val="21"/>
                      <w:lang w:eastAsia="zh-CN"/>
                    </w:rPr>
                    <w:t>：</w:t>
                  </w:r>
                  <w:r>
                    <w:rPr>
                      <w:rFonts w:ascii="Times New Roman" w:hAnsi="Times New Roman"/>
                      <w:color w:val="auto"/>
                      <w:szCs w:val="21"/>
                    </w:rPr>
                    <w:t>2000无量纲</w:t>
                  </w:r>
                </w:p>
              </w:tc>
              <w:tc>
                <w:tcPr>
                  <w:tcW w:w="251"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c>
                <w:tcPr>
                  <w:tcW w:w="296"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25"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pacing w:val="-20"/>
                      <w:szCs w:val="21"/>
                    </w:rPr>
                    <w:t>标准指数</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pacing w:val="-20"/>
                      <w:szCs w:val="21"/>
                    </w:rPr>
                    <w:t>标准指数</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9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251"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c>
                <w:tcPr>
                  <w:tcW w:w="296"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atLeast"/>
                <w:jc w:val="center"/>
              </w:trPr>
              <w:tc>
                <w:tcPr>
                  <w:tcW w:w="525"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 w:val="21"/>
                      <w:szCs w:val="21"/>
                      <w:highlight w:val="none"/>
                    </w:rPr>
                  </w:pPr>
                  <w:r>
                    <w:rPr>
                      <w:rFonts w:ascii="Times New Roman" w:hAnsi="Times New Roman"/>
                      <w:color w:val="auto"/>
                      <w:sz w:val="21"/>
                      <w:szCs w:val="21"/>
                      <w:highlight w:val="none"/>
                    </w:rPr>
                    <w:t>202</w:t>
                  </w:r>
                  <w:r>
                    <w:rPr>
                      <w:rFonts w:hint="eastAsia" w:ascii="Times New Roman" w:hAnsi="Times New Roman"/>
                      <w:color w:val="auto"/>
                      <w:sz w:val="21"/>
                      <w:szCs w:val="21"/>
                      <w:highlight w:val="none"/>
                      <w:lang w:val="en-US" w:eastAsia="zh-CN"/>
                    </w:rPr>
                    <w:t>3</w:t>
                  </w:r>
                  <w:r>
                    <w:rPr>
                      <w:rFonts w:ascii="Times New Roman" w:hAnsi="Times New Roman"/>
                      <w:color w:val="auto"/>
                      <w:sz w:val="21"/>
                      <w:szCs w:val="21"/>
                      <w:highlight w:val="none"/>
                    </w:rPr>
                    <w:t>.3.</w:t>
                  </w:r>
                  <w:r>
                    <w:rPr>
                      <w:rFonts w:hint="eastAsia" w:ascii="Times New Roman" w:hAnsi="Times New Roman"/>
                      <w:color w:val="auto"/>
                      <w:sz w:val="21"/>
                      <w:szCs w:val="21"/>
                      <w:highlight w:val="none"/>
                    </w:rPr>
                    <w:t>1</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color w:val="auto"/>
                      <w:szCs w:val="21"/>
                      <w:highlight w:val="none"/>
                      <w:lang w:val="en-US" w:eastAsia="zh-CN"/>
                    </w:rPr>
                    <w:t>0.276-0.496</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0.0069-0.0124</w:t>
                  </w:r>
                </w:p>
              </w:tc>
              <w:tc>
                <w:tcPr>
                  <w:tcW w:w="49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5.7-6</w:t>
                  </w:r>
                </w:p>
              </w:tc>
              <w:tc>
                <w:tcPr>
                  <w:tcW w:w="49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0.095-0.1</w:t>
                  </w:r>
                </w:p>
              </w:tc>
              <w:tc>
                <w:tcPr>
                  <w:tcW w:w="49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20-26</w:t>
                  </w:r>
                </w:p>
              </w:tc>
              <w:tc>
                <w:tcPr>
                  <w:tcW w:w="49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0.167-0.217</w:t>
                  </w:r>
                </w:p>
              </w:tc>
              <w:tc>
                <w:tcPr>
                  <w:tcW w:w="49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354-478</w:t>
                  </w:r>
                </w:p>
              </w:tc>
              <w:tc>
                <w:tcPr>
                  <w:tcW w:w="49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0.177-0.239</w:t>
                  </w:r>
                </w:p>
              </w:tc>
              <w:tc>
                <w:tcPr>
                  <w:tcW w:w="251"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highlight w:val="none"/>
                    </w:rPr>
                  </w:pPr>
                  <w:r>
                    <w:rPr>
                      <w:rFonts w:hint="eastAsia"/>
                      <w:color w:val="auto"/>
                      <w:szCs w:val="21"/>
                      <w:highlight w:val="none"/>
                    </w:rPr>
                    <w:t>0</w:t>
                  </w:r>
                </w:p>
              </w:tc>
              <w:tc>
                <w:tcPr>
                  <w:tcW w:w="296"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pacing w:val="-2"/>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25"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 w:val="21"/>
                      <w:szCs w:val="21"/>
                      <w:highlight w:val="none"/>
                    </w:rPr>
                  </w:pPr>
                  <w:r>
                    <w:rPr>
                      <w:color w:val="auto"/>
                      <w:sz w:val="21"/>
                      <w:szCs w:val="21"/>
                      <w:highlight w:val="none"/>
                    </w:rPr>
                    <w:t>202</w:t>
                  </w:r>
                  <w:r>
                    <w:rPr>
                      <w:rFonts w:hint="eastAsia"/>
                      <w:color w:val="auto"/>
                      <w:sz w:val="21"/>
                      <w:szCs w:val="21"/>
                      <w:highlight w:val="none"/>
                      <w:lang w:val="en-US" w:eastAsia="zh-CN"/>
                    </w:rPr>
                    <w:t>3</w:t>
                  </w:r>
                  <w:r>
                    <w:rPr>
                      <w:color w:val="auto"/>
                      <w:sz w:val="21"/>
                      <w:szCs w:val="21"/>
                      <w:highlight w:val="none"/>
                    </w:rPr>
                    <w:t>.3.</w:t>
                  </w:r>
                  <w:r>
                    <w:rPr>
                      <w:rFonts w:hint="eastAsia"/>
                      <w:color w:val="auto"/>
                      <w:sz w:val="21"/>
                      <w:szCs w:val="21"/>
                      <w:highlight w:val="none"/>
                    </w:rPr>
                    <w:t>2</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color w:val="auto"/>
                      <w:sz w:val="21"/>
                      <w:szCs w:val="21"/>
                      <w:highlight w:val="none"/>
                      <w:lang w:val="en-US"/>
                    </w:rPr>
                  </w:pPr>
                  <w:r>
                    <w:rPr>
                      <w:rFonts w:hint="eastAsia" w:ascii="Times New Roman" w:hAnsi="Times New Roman" w:cs="Times New Roman"/>
                      <w:color w:val="auto"/>
                      <w:szCs w:val="21"/>
                      <w:highlight w:val="none"/>
                      <w:lang w:val="en-US" w:eastAsia="zh-CN"/>
                    </w:rPr>
                    <w:t>0.285-0.345</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0.007125-0.008625</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4.4-5.5</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0.0733-0.092</w:t>
                  </w:r>
                </w:p>
              </w:tc>
              <w:tc>
                <w:tcPr>
                  <w:tcW w:w="82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20.4-23.7</w:t>
                  </w:r>
                </w:p>
              </w:tc>
              <w:tc>
                <w:tcPr>
                  <w:tcW w:w="82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0.17-0.1975</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309-478</w:t>
                  </w:r>
                </w:p>
              </w:tc>
              <w:tc>
                <w:tcPr>
                  <w:tcW w:w="49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0.1545-0.239</w:t>
                  </w:r>
                </w:p>
              </w:tc>
              <w:tc>
                <w:tcPr>
                  <w:tcW w:w="251"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highlight w:val="none"/>
                    </w:rPr>
                  </w:pPr>
                  <w:r>
                    <w:rPr>
                      <w:rFonts w:hint="eastAsia"/>
                      <w:color w:val="auto"/>
                      <w:szCs w:val="21"/>
                      <w:highlight w:val="none"/>
                    </w:rPr>
                    <w:t>0</w:t>
                  </w:r>
                </w:p>
              </w:tc>
              <w:tc>
                <w:tcPr>
                  <w:tcW w:w="296"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pacing w:val="-2"/>
                      <w:szCs w:val="21"/>
                    </w:rPr>
                  </w:pPr>
                  <w:r>
                    <w:rPr>
                      <w:rFonts w:hint="eastAsia"/>
                      <w:color w:val="auto"/>
                      <w:szCs w:val="21"/>
                    </w:rPr>
                    <w:t>达标</w:t>
                  </w:r>
                </w:p>
              </w:tc>
            </w:tr>
          </w:tbl>
          <w:p>
            <w:pPr>
              <w:keepNext w:val="0"/>
              <w:keepLines w:val="0"/>
              <w:pageBreakBefore w:val="0"/>
              <w:kinsoku/>
              <w:wordWrap/>
              <w:overflowPunct/>
              <w:topLinePunct w:val="0"/>
              <w:autoSpaceDE/>
              <w:autoSpaceDN/>
              <w:bidi w:val="0"/>
              <w:adjustRightInd/>
              <w:snapToGrid/>
              <w:spacing w:line="280" w:lineRule="exact"/>
              <w:ind w:left="0" w:leftChars="0" w:right="0" w:rightChars="0" w:firstLine="482" w:firstLineChars="200"/>
              <w:contextualSpacing/>
              <w:jc w:val="center"/>
              <w:rPr>
                <w:b/>
                <w:bCs/>
                <w:color w:val="auto"/>
                <w:sz w:val="24"/>
              </w:rPr>
            </w:pPr>
            <w:r>
              <w:rPr>
                <w:b/>
                <w:bCs/>
                <w:color w:val="auto"/>
                <w:sz w:val="24"/>
              </w:rPr>
              <w:t>表</w:t>
            </w:r>
            <w:r>
              <w:rPr>
                <w:rFonts w:hint="eastAsia"/>
                <w:b/>
                <w:bCs/>
                <w:color w:val="auto"/>
                <w:sz w:val="24"/>
              </w:rPr>
              <w:t>2-1</w:t>
            </w:r>
            <w:r>
              <w:rPr>
                <w:rFonts w:hint="eastAsia"/>
                <w:b/>
                <w:bCs/>
                <w:color w:val="auto"/>
                <w:sz w:val="24"/>
                <w:lang w:val="en-US" w:eastAsia="zh-CN"/>
              </w:rPr>
              <w:t>4</w:t>
            </w:r>
            <w:r>
              <w:rPr>
                <w:rFonts w:hint="eastAsia"/>
                <w:b/>
                <w:bCs/>
                <w:color w:val="auto"/>
                <w:sz w:val="24"/>
              </w:rPr>
              <w:t xml:space="preserve"> </w:t>
            </w:r>
            <w:r>
              <w:rPr>
                <w:rFonts w:hint="eastAsia"/>
                <w:b/>
                <w:bCs/>
                <w:color w:val="auto"/>
                <w:sz w:val="24"/>
                <w:lang w:eastAsia="zh-CN"/>
              </w:rPr>
              <w:t>无</w:t>
            </w:r>
            <w:r>
              <w:rPr>
                <w:rFonts w:hint="eastAsia"/>
                <w:b/>
                <w:bCs/>
                <w:color w:val="auto"/>
                <w:sz w:val="24"/>
              </w:rPr>
              <w:t>组废气污染物排放浓度评价结果一览表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444"/>
              <w:gridCol w:w="734"/>
              <w:gridCol w:w="685"/>
              <w:gridCol w:w="789"/>
              <w:gridCol w:w="793"/>
              <w:gridCol w:w="789"/>
              <w:gridCol w:w="798"/>
              <w:gridCol w:w="784"/>
              <w:gridCol w:w="798"/>
              <w:gridCol w:w="544"/>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60"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采样日期</w:t>
                  </w:r>
                </w:p>
              </w:tc>
              <w:tc>
                <w:tcPr>
                  <w:tcW w:w="264"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843"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甲苯</w:t>
                  </w:r>
                </w:p>
              </w:tc>
              <w:tc>
                <w:tcPr>
                  <w:tcW w:w="94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甲醇</w:t>
                  </w:r>
                </w:p>
              </w:tc>
              <w:tc>
                <w:tcPr>
                  <w:tcW w:w="943"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非甲烷总烃</w:t>
                  </w:r>
                </w:p>
              </w:tc>
              <w:tc>
                <w:tcPr>
                  <w:tcW w:w="94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臭气浓度</w:t>
                  </w:r>
                </w:p>
              </w:tc>
              <w:tc>
                <w:tcPr>
                  <w:tcW w:w="323"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超标率</w:t>
                  </w:r>
                </w:p>
              </w:tc>
              <w:tc>
                <w:tcPr>
                  <w:tcW w:w="382"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60"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264"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843"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ascii="Times New Roman" w:hAnsi="Times New Roman"/>
                      <w:color w:val="auto"/>
                      <w:szCs w:val="21"/>
                    </w:rPr>
                    <w:t>2.4mg/m</w:t>
                  </w:r>
                  <w:r>
                    <w:rPr>
                      <w:rFonts w:ascii="Times New Roman" w:hAnsi="Times New Roman"/>
                      <w:color w:val="auto"/>
                      <w:szCs w:val="21"/>
                      <w:vertAlign w:val="superscript"/>
                    </w:rPr>
                    <w:t>3</w:t>
                  </w:r>
                </w:p>
              </w:tc>
              <w:tc>
                <w:tcPr>
                  <w:tcW w:w="94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hint="eastAsia" w:ascii="Times New Roman" w:hAnsi="Times New Roman"/>
                      <w:b/>
                      <w:bCs/>
                      <w:color w:val="auto"/>
                      <w:szCs w:val="21"/>
                      <w:lang w:eastAsia="zh-CN"/>
                    </w:rPr>
                    <w:t>：</w:t>
                  </w:r>
                  <w:r>
                    <w:rPr>
                      <w:rFonts w:ascii="Times New Roman" w:hAnsi="Times New Roman"/>
                      <w:color w:val="auto"/>
                      <w:szCs w:val="21"/>
                    </w:rPr>
                    <w:t>1.0mg/m</w:t>
                  </w:r>
                </w:p>
              </w:tc>
              <w:tc>
                <w:tcPr>
                  <w:tcW w:w="943"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hint="eastAsia" w:ascii="Times New Roman" w:hAnsi="Times New Roman"/>
                      <w:b/>
                      <w:bCs/>
                      <w:color w:val="auto"/>
                      <w:szCs w:val="21"/>
                      <w:lang w:eastAsia="zh-CN"/>
                    </w:rPr>
                    <w:t>：</w:t>
                  </w:r>
                  <w:r>
                    <w:rPr>
                      <w:rFonts w:ascii="Times New Roman" w:hAnsi="Times New Roman"/>
                      <w:color w:val="auto"/>
                      <w:szCs w:val="21"/>
                    </w:rPr>
                    <w:t>3.0mg/m</w:t>
                  </w:r>
                  <w:r>
                    <w:rPr>
                      <w:rFonts w:ascii="Times New Roman" w:hAnsi="Times New Roman"/>
                      <w:color w:val="auto"/>
                      <w:szCs w:val="21"/>
                      <w:vertAlign w:val="superscript"/>
                    </w:rPr>
                    <w:t>3</w:t>
                  </w:r>
                </w:p>
              </w:tc>
              <w:tc>
                <w:tcPr>
                  <w:tcW w:w="94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hint="eastAsia" w:ascii="Times New Roman" w:hAnsi="Times New Roman"/>
                      <w:b/>
                      <w:bCs/>
                      <w:color w:val="auto"/>
                      <w:szCs w:val="21"/>
                      <w:lang w:eastAsia="zh-CN"/>
                    </w:rPr>
                    <w:t>；</w:t>
                  </w:r>
                  <w:r>
                    <w:rPr>
                      <w:rFonts w:ascii="Times New Roman" w:hAnsi="Times New Roman"/>
                      <w:color w:val="auto"/>
                      <w:szCs w:val="21"/>
                    </w:rPr>
                    <w:t>20无量纲</w:t>
                  </w:r>
                </w:p>
              </w:tc>
              <w:tc>
                <w:tcPr>
                  <w:tcW w:w="323"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c>
                <w:tcPr>
                  <w:tcW w:w="382"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0"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264"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pacing w:val="-20"/>
                      <w:szCs w:val="21"/>
                    </w:rPr>
                    <w:t>标准指数</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pacing w:val="-20"/>
                      <w:szCs w:val="21"/>
                    </w:rPr>
                    <w:t>标准指数</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323"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c>
                <w:tcPr>
                  <w:tcW w:w="382"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atLeast"/>
                <w:jc w:val="center"/>
              </w:trPr>
              <w:tc>
                <w:tcPr>
                  <w:tcW w:w="360"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ascii="Times New Roman" w:hAnsi="Times New Roman"/>
                      <w:color w:val="auto"/>
                      <w:szCs w:val="21"/>
                    </w:rPr>
                    <w:t>202</w:t>
                  </w:r>
                  <w:r>
                    <w:rPr>
                      <w:rFonts w:hint="eastAsia" w:ascii="Times New Roman" w:hAnsi="Times New Roman"/>
                      <w:color w:val="auto"/>
                      <w:szCs w:val="21"/>
                      <w:lang w:val="en-US" w:eastAsia="zh-CN"/>
                    </w:rPr>
                    <w:t>3</w:t>
                  </w:r>
                  <w:r>
                    <w:rPr>
                      <w:rFonts w:ascii="Times New Roman" w:hAnsi="Times New Roman"/>
                      <w:color w:val="auto"/>
                      <w:szCs w:val="21"/>
                    </w:rPr>
                    <w:t>.3.</w:t>
                  </w:r>
                  <w:r>
                    <w:rPr>
                      <w:rFonts w:hint="eastAsia" w:ascii="Times New Roman" w:hAnsi="Times New Roman"/>
                      <w:color w:val="auto"/>
                      <w:szCs w:val="21"/>
                    </w:rPr>
                    <w:t>1</w:t>
                  </w: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1#</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上风向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.0146-0.0154</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.0064-0.0060</w:t>
                  </w:r>
                </w:p>
              </w:tc>
              <w:tc>
                <w:tcPr>
                  <w:tcW w:w="469"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.6-0.7</w:t>
                  </w:r>
                </w:p>
              </w:tc>
              <w:tc>
                <w:tcPr>
                  <w:tcW w:w="47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.6-0.7</w:t>
                  </w:r>
                </w:p>
              </w:tc>
              <w:tc>
                <w:tcPr>
                  <w:tcW w:w="469"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.62-0.75</w:t>
                  </w:r>
                </w:p>
              </w:tc>
              <w:tc>
                <w:tcPr>
                  <w:tcW w:w="47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.21-0.25</w:t>
                  </w:r>
                </w:p>
              </w:tc>
              <w:tc>
                <w:tcPr>
                  <w:tcW w:w="466"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1</w:t>
                  </w:r>
                  <w:r>
                    <w:rPr>
                      <w:color w:val="auto"/>
                      <w:szCs w:val="21"/>
                    </w:rPr>
                    <w:t>1-12</w:t>
                  </w:r>
                </w:p>
              </w:tc>
              <w:tc>
                <w:tcPr>
                  <w:tcW w:w="47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.55-0.6</w:t>
                  </w:r>
                </w:p>
              </w:tc>
              <w:tc>
                <w:tcPr>
                  <w:tcW w:w="32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382"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pacing w:val="-2"/>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rPr>
                      <w:color w:val="auto"/>
                      <w:szCs w:val="21"/>
                    </w:rPr>
                  </w:pPr>
                  <w:r>
                    <w:rPr>
                      <w:rFonts w:hint="eastAsia"/>
                      <w:color w:val="auto"/>
                      <w:szCs w:val="21"/>
                    </w:rPr>
                    <w:t>2</w:t>
                  </w:r>
                  <w:r>
                    <w:rPr>
                      <w:color w:val="auto"/>
                      <w:szCs w:val="21"/>
                    </w:rPr>
                    <w:t>#</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.0224-0.0287</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.0093-0.0119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.78-0.85</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.26-0.28</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5-17</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.75-0.85</w:t>
                  </w:r>
                </w:p>
              </w:tc>
              <w:tc>
                <w:tcPr>
                  <w:tcW w:w="323"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rFonts w:hint="eastAsia"/>
                      <w:color w:val="auto"/>
                      <w:szCs w:val="21"/>
                    </w:rPr>
                    <w:t>0</w:t>
                  </w:r>
                </w:p>
              </w:tc>
              <w:tc>
                <w:tcPr>
                  <w:tcW w:w="382"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pacing w:val="-2"/>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3#</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.0173-0.0243</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.0072-0.0101</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.82-1.04</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.27-0.34</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4-19</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.7-0.95</w:t>
                  </w:r>
                </w:p>
              </w:tc>
              <w:tc>
                <w:tcPr>
                  <w:tcW w:w="5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6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rFonts w:hint="eastAsia"/>
                      <w:color w:val="auto"/>
                      <w:szCs w:val="21"/>
                      <w:lang w:val="en-US" w:eastAsia="zh-CN"/>
                    </w:rPr>
                    <w:t>4</w:t>
                  </w:r>
                  <w:r>
                    <w:rPr>
                      <w:color w:val="auto"/>
                      <w:szCs w:val="21"/>
                    </w:rPr>
                    <w:t>#</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.0166-0.0454</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.0069-0.0189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.07-1.14</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.35-0.38</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4-17</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.7-0.85</w:t>
                  </w:r>
                </w:p>
              </w:tc>
              <w:tc>
                <w:tcPr>
                  <w:tcW w:w="5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6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ascii="Times New Roman" w:hAnsi="Times New Roman"/>
                      <w:color w:val="auto"/>
                      <w:szCs w:val="21"/>
                    </w:rPr>
                    <w:t>202</w:t>
                  </w:r>
                  <w:r>
                    <w:rPr>
                      <w:rFonts w:hint="eastAsia" w:ascii="Times New Roman" w:hAnsi="Times New Roman"/>
                      <w:color w:val="auto"/>
                      <w:szCs w:val="21"/>
                      <w:lang w:val="en-US" w:eastAsia="zh-CN"/>
                    </w:rPr>
                    <w:t>3</w:t>
                  </w:r>
                  <w:r>
                    <w:rPr>
                      <w:rFonts w:ascii="Times New Roman" w:hAnsi="Times New Roman"/>
                      <w:color w:val="auto"/>
                      <w:szCs w:val="21"/>
                    </w:rPr>
                    <w:t>.3.</w:t>
                  </w:r>
                  <w:r>
                    <w:rPr>
                      <w:rFonts w:hint="eastAsia" w:ascii="Times New Roman" w:hAnsi="Times New Roman"/>
                      <w:color w:val="auto"/>
                      <w:szCs w:val="21"/>
                    </w:rPr>
                    <w:t>2</w:t>
                  </w: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1#</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上风向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.0157-0.0180</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.0065-0.0075</w:t>
                  </w:r>
                </w:p>
              </w:tc>
              <w:tc>
                <w:tcPr>
                  <w:tcW w:w="469"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.6-0.8</w:t>
                  </w:r>
                </w:p>
              </w:tc>
              <w:tc>
                <w:tcPr>
                  <w:tcW w:w="47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.6-0.8</w:t>
                  </w:r>
                </w:p>
              </w:tc>
              <w:tc>
                <w:tcPr>
                  <w:tcW w:w="469"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.63-0.66</w:t>
                  </w:r>
                </w:p>
              </w:tc>
              <w:tc>
                <w:tcPr>
                  <w:tcW w:w="47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.21-0.22</w:t>
                  </w:r>
                </w:p>
              </w:tc>
              <w:tc>
                <w:tcPr>
                  <w:tcW w:w="466"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1</w:t>
                  </w:r>
                  <w:r>
                    <w:rPr>
                      <w:color w:val="auto"/>
                      <w:szCs w:val="21"/>
                    </w:rPr>
                    <w:t>1-13</w:t>
                  </w:r>
                </w:p>
              </w:tc>
              <w:tc>
                <w:tcPr>
                  <w:tcW w:w="47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.55-0.65</w:t>
                  </w:r>
                </w:p>
              </w:tc>
              <w:tc>
                <w:tcPr>
                  <w:tcW w:w="32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382"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pacing w:val="-2"/>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rPr>
                      <w:color w:val="auto"/>
                      <w:szCs w:val="21"/>
                    </w:rPr>
                  </w:pPr>
                  <w:r>
                    <w:rPr>
                      <w:rFonts w:hint="eastAsia"/>
                      <w:color w:val="auto"/>
                      <w:szCs w:val="21"/>
                    </w:rPr>
                    <w:t>2</w:t>
                  </w:r>
                  <w:r>
                    <w:rPr>
                      <w:color w:val="auto"/>
                      <w:szCs w:val="21"/>
                    </w:rPr>
                    <w:t>#</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.0215-0.0288</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.0089-0.012</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.98-1.12</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.32-0.37</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5-19</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.75-0.95</w:t>
                  </w:r>
                </w:p>
              </w:tc>
              <w:tc>
                <w:tcPr>
                  <w:tcW w:w="323"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rFonts w:hint="eastAsia"/>
                      <w:color w:val="auto"/>
                      <w:szCs w:val="21"/>
                    </w:rPr>
                    <w:t>0</w:t>
                  </w:r>
                </w:p>
              </w:tc>
              <w:tc>
                <w:tcPr>
                  <w:tcW w:w="382"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pacing w:val="-2"/>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3#</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.0237-0.0363</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.0098-0.</w:t>
                  </w:r>
                  <w:r>
                    <w:rPr>
                      <w:rFonts w:hint="eastAsia" w:ascii="Times New Roman" w:hAnsi="Times New Roman"/>
                      <w:color w:val="auto"/>
                      <w:szCs w:val="21"/>
                      <w:lang w:val="en-US" w:eastAsia="zh-CN"/>
                    </w:rPr>
                    <w:t>0</w:t>
                  </w:r>
                  <w:r>
                    <w:rPr>
                      <w:rFonts w:ascii="Times New Roman" w:hAnsi="Times New Roman"/>
                      <w:color w:val="auto"/>
                      <w:szCs w:val="21"/>
                    </w:rPr>
                    <w:t>1512</w:t>
                  </w:r>
                </w:p>
                <w:p>
                  <w:pPr>
                    <w:keepNext w:val="0"/>
                    <w:keepLines w:val="0"/>
                    <w:pageBreakBefore w:val="0"/>
                    <w:kinsoku/>
                    <w:wordWrap/>
                    <w:overflowPunct/>
                    <w:topLinePunct w:val="0"/>
                    <w:autoSpaceDE/>
                    <w:autoSpaceDN/>
                    <w:bidi w:val="0"/>
                    <w:adjustRightInd/>
                    <w:snapToGrid/>
                    <w:spacing w:line="280" w:lineRule="exact"/>
                    <w:ind w:left="0" w:leftChars="0" w:right="0" w:rightChars="0"/>
                    <w:rPr>
                      <w:color w:val="auto"/>
                    </w:rPr>
                  </w:pP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.85-0.99</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.28-0.33</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4-17</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.7-0.85</w:t>
                  </w:r>
                </w:p>
              </w:tc>
              <w:tc>
                <w:tcPr>
                  <w:tcW w:w="5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6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rFonts w:hint="eastAsia"/>
                      <w:color w:val="auto"/>
                      <w:szCs w:val="21"/>
                      <w:lang w:val="en-US" w:eastAsia="zh-CN"/>
                    </w:rPr>
                    <w:t>4</w:t>
                  </w:r>
                  <w:r>
                    <w:rPr>
                      <w:color w:val="auto"/>
                      <w:szCs w:val="21"/>
                    </w:rPr>
                    <w:t>#</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.0274-0.0469</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.0114-0.0195</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.89-1.11</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.29-0.37</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5-19</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.75-0.95</w:t>
                  </w:r>
                </w:p>
              </w:tc>
              <w:tc>
                <w:tcPr>
                  <w:tcW w:w="5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6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达标</w:t>
                  </w:r>
                </w:p>
              </w:tc>
            </w:tr>
          </w:tbl>
          <w:p>
            <w:pPr>
              <w:keepNext w:val="0"/>
              <w:keepLines w:val="0"/>
              <w:pageBreakBefore w:val="0"/>
              <w:widowControl w:val="0"/>
              <w:numPr>
                <w:ilvl w:val="0"/>
                <w:numId w:val="9"/>
              </w:numPr>
              <w:kinsoku/>
              <w:wordWrap/>
              <w:overflowPunct/>
              <w:topLinePunct w:val="0"/>
              <w:autoSpaceDE/>
              <w:autoSpaceDN/>
              <w:bidi w:val="0"/>
              <w:adjustRightInd w:val="0"/>
              <w:snapToGrid w:val="0"/>
              <w:spacing w:before="157" w:beforeLines="50" w:line="360" w:lineRule="auto"/>
              <w:ind w:left="0" w:leftChars="0" w:firstLine="480" w:firstLineChars="200"/>
              <w:textAlignment w:val="auto"/>
              <w:outlineLvl w:val="9"/>
              <w:rPr>
                <w:rFonts w:hint="default"/>
                <w:color w:val="auto"/>
                <w:sz w:val="24"/>
                <w:szCs w:val="24"/>
                <w:lang w:val="en-US" w:eastAsia="zh-CN"/>
              </w:rPr>
            </w:pPr>
            <w:r>
              <w:rPr>
                <w:rFonts w:hint="eastAsia"/>
                <w:color w:val="auto"/>
                <w:sz w:val="24"/>
                <w:szCs w:val="24"/>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color w:val="auto"/>
                <w:sz w:val="24"/>
                <w:szCs w:val="24"/>
                <w:lang w:val="en-US" w:eastAsia="zh-CN"/>
              </w:rPr>
            </w:pPr>
            <w:r>
              <w:rPr>
                <w:rFonts w:hint="eastAsia"/>
                <w:color w:val="auto"/>
                <w:sz w:val="24"/>
                <w:szCs w:val="24"/>
                <w:lang w:val="en-US" w:eastAsia="zh-CN"/>
              </w:rPr>
              <w:t>项目噪声主要</w:t>
            </w:r>
            <w:r>
              <w:rPr>
                <w:rFonts w:hint="default"/>
                <w:color w:val="auto"/>
                <w:sz w:val="24"/>
                <w:szCs w:val="24"/>
                <w:lang w:val="en-US" w:eastAsia="zh-CN"/>
              </w:rPr>
              <w:t>来源于</w:t>
            </w:r>
            <w:r>
              <w:rPr>
                <w:rFonts w:hint="eastAsia"/>
                <w:color w:val="auto"/>
                <w:sz w:val="24"/>
                <w:szCs w:val="24"/>
                <w:lang w:val="en-US" w:eastAsia="zh-CN"/>
              </w:rPr>
              <w:t>风机</w:t>
            </w:r>
            <w:r>
              <w:rPr>
                <w:rFonts w:hint="default"/>
                <w:color w:val="auto"/>
                <w:sz w:val="24"/>
                <w:szCs w:val="24"/>
                <w:lang w:val="en-US" w:eastAsia="zh-CN"/>
              </w:rPr>
              <w:t>噪声。</w:t>
            </w:r>
            <w:r>
              <w:rPr>
                <w:rFonts w:hint="eastAsia"/>
                <w:color w:val="auto"/>
                <w:sz w:val="24"/>
                <w:szCs w:val="24"/>
                <w:lang w:val="en-US" w:eastAsia="zh-CN"/>
              </w:rPr>
              <w:t>为调查危废暂存间运行过程中厂界噪声达标情况，本次环评针对危废间进行了厂界噪声监测。</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left"/>
              <w:textAlignment w:val="auto"/>
              <w:rPr>
                <w:rFonts w:hint="eastAsia"/>
                <w:color w:val="auto"/>
                <w:sz w:val="24"/>
              </w:rPr>
            </w:pPr>
            <w:r>
              <w:rPr>
                <w:rFonts w:hint="eastAsia"/>
                <w:color w:val="auto"/>
                <w:sz w:val="24"/>
              </w:rPr>
              <w:t>①监测点位</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left"/>
              <w:textAlignment w:val="auto"/>
              <w:rPr>
                <w:rFonts w:hint="eastAsia"/>
                <w:color w:val="auto"/>
                <w:sz w:val="24"/>
              </w:rPr>
            </w:pPr>
            <w:r>
              <w:rPr>
                <w:rFonts w:hint="eastAsia"/>
                <w:color w:val="auto"/>
                <w:sz w:val="24"/>
              </w:rPr>
              <w:t>项目</w:t>
            </w:r>
            <w:r>
              <w:rPr>
                <w:rFonts w:hint="eastAsia"/>
                <w:color w:val="auto"/>
                <w:sz w:val="24"/>
                <w:lang w:eastAsia="zh-CN"/>
              </w:rPr>
              <w:t>危废暂存间</w:t>
            </w:r>
            <w:r>
              <w:rPr>
                <w:rFonts w:hint="eastAsia"/>
                <w:color w:val="auto"/>
                <w:sz w:val="24"/>
              </w:rPr>
              <w:t>东、南、西、北厂界各设1个监测点位。</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left"/>
              <w:textAlignment w:val="auto"/>
              <w:rPr>
                <w:rFonts w:hint="eastAsia"/>
                <w:color w:val="auto"/>
                <w:sz w:val="24"/>
              </w:rPr>
            </w:pPr>
            <w:r>
              <w:rPr>
                <w:rFonts w:hint="eastAsia"/>
                <w:color w:val="auto"/>
                <w:sz w:val="24"/>
              </w:rPr>
              <w:t>②监测时间与频次</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left"/>
              <w:textAlignment w:val="auto"/>
              <w:rPr>
                <w:rFonts w:hint="eastAsia"/>
                <w:color w:val="auto"/>
                <w:sz w:val="24"/>
                <w:lang w:eastAsia="zh-CN"/>
              </w:rPr>
            </w:pPr>
            <w:r>
              <w:rPr>
                <w:rFonts w:hint="eastAsia"/>
                <w:color w:val="auto"/>
                <w:sz w:val="24"/>
              </w:rPr>
              <w:t>陕西中润检测有限公</w:t>
            </w:r>
            <w:r>
              <w:rPr>
                <w:rFonts w:hint="eastAsia"/>
                <w:color w:val="auto"/>
                <w:sz w:val="24"/>
                <w:highlight w:val="none"/>
              </w:rPr>
              <w:t>司</w:t>
            </w:r>
            <w:r>
              <w:rPr>
                <w:color w:val="auto"/>
                <w:sz w:val="24"/>
                <w:highlight w:val="none"/>
              </w:rPr>
              <w:t>于202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1</w:t>
            </w:r>
            <w:r>
              <w:rPr>
                <w:color w:val="auto"/>
                <w:sz w:val="24"/>
                <w:highlight w:val="none"/>
              </w:rPr>
              <w:t>日</w:t>
            </w:r>
            <w:r>
              <w:rPr>
                <w:rFonts w:hint="eastAsia"/>
                <w:color w:val="auto"/>
                <w:sz w:val="24"/>
                <w:highlight w:val="none"/>
                <w:lang w:eastAsia="zh-CN"/>
              </w:rPr>
              <w:t>至</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2</w:t>
            </w:r>
            <w:r>
              <w:rPr>
                <w:color w:val="auto"/>
                <w:sz w:val="24"/>
                <w:highlight w:val="none"/>
              </w:rPr>
              <w:t>日对</w:t>
            </w:r>
            <w:r>
              <w:rPr>
                <w:rFonts w:hint="eastAsia"/>
                <w:color w:val="auto"/>
                <w:sz w:val="24"/>
                <w:highlight w:val="none"/>
                <w:lang w:eastAsia="zh-CN"/>
              </w:rPr>
              <w:t>危废暂存间边界噪声</w:t>
            </w:r>
            <w:r>
              <w:rPr>
                <w:color w:val="auto"/>
                <w:sz w:val="24"/>
              </w:rPr>
              <w:t>进行了监测</w:t>
            </w:r>
            <w:r>
              <w:rPr>
                <w:rFonts w:hint="eastAsia"/>
                <w:color w:val="auto"/>
                <w:sz w:val="24"/>
                <w:lang w:eastAsia="zh-CN"/>
              </w:rPr>
              <w:t>。</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left"/>
              <w:textAlignment w:val="auto"/>
              <w:rPr>
                <w:rFonts w:hint="eastAsia"/>
                <w:color w:val="auto"/>
                <w:sz w:val="24"/>
              </w:rPr>
            </w:pPr>
            <w:r>
              <w:rPr>
                <w:rFonts w:hint="eastAsia"/>
                <w:color w:val="auto"/>
                <w:sz w:val="24"/>
              </w:rPr>
              <w:t>③监测结果</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eastAsia"/>
                <w:color w:val="auto"/>
                <w:sz w:val="24"/>
              </w:rPr>
            </w:pPr>
            <w:r>
              <w:rPr>
                <w:rFonts w:hint="eastAsia"/>
                <w:color w:val="auto"/>
                <w:sz w:val="24"/>
              </w:rPr>
              <w:t>监测结果见表</w:t>
            </w:r>
            <w:r>
              <w:rPr>
                <w:rFonts w:hint="eastAsia"/>
                <w:color w:val="auto"/>
                <w:sz w:val="24"/>
                <w:lang w:val="en-US" w:eastAsia="zh-CN"/>
              </w:rPr>
              <w:t>2</w:t>
            </w:r>
            <w:r>
              <w:rPr>
                <w:color w:val="auto"/>
                <w:sz w:val="24"/>
              </w:rPr>
              <w:t>-</w:t>
            </w:r>
            <w:r>
              <w:rPr>
                <w:rFonts w:hint="eastAsia"/>
                <w:color w:val="auto"/>
                <w:sz w:val="24"/>
                <w:lang w:val="en-US" w:eastAsia="zh-CN"/>
              </w:rPr>
              <w:t>15</w:t>
            </w:r>
            <w:r>
              <w:rPr>
                <w:rFonts w:hint="eastAsia"/>
                <w:color w:val="auto"/>
                <w:sz w:val="24"/>
              </w:rPr>
              <w:t>。</w:t>
            </w:r>
          </w:p>
          <w:p>
            <w:pPr>
              <w:snapToGrid w:val="0"/>
              <w:spacing w:line="360" w:lineRule="auto"/>
              <w:ind w:firstLine="14" w:firstLineChars="6"/>
              <w:jc w:val="center"/>
              <w:rPr>
                <w:b/>
                <w:bCs/>
                <w:color w:val="auto"/>
                <w:sz w:val="24"/>
              </w:rPr>
            </w:pPr>
            <w:r>
              <w:rPr>
                <w:b/>
                <w:bCs/>
                <w:color w:val="auto"/>
                <w:sz w:val="24"/>
              </w:rPr>
              <w:t>表</w:t>
            </w:r>
            <w:r>
              <w:rPr>
                <w:rFonts w:hint="eastAsia"/>
                <w:b/>
                <w:bCs/>
                <w:color w:val="auto"/>
                <w:sz w:val="24"/>
                <w:lang w:val="en-US" w:eastAsia="zh-CN"/>
              </w:rPr>
              <w:t>2</w:t>
            </w:r>
            <w:r>
              <w:rPr>
                <w:b/>
                <w:bCs/>
                <w:color w:val="auto"/>
                <w:sz w:val="24"/>
              </w:rPr>
              <w:t>-</w:t>
            </w:r>
            <w:r>
              <w:rPr>
                <w:rFonts w:hint="eastAsia"/>
                <w:b/>
                <w:bCs/>
                <w:color w:val="auto"/>
                <w:sz w:val="24"/>
                <w:lang w:val="en-US" w:eastAsia="zh-CN"/>
              </w:rPr>
              <w:t>15</w:t>
            </w:r>
            <w:r>
              <w:rPr>
                <w:rFonts w:hint="eastAsia"/>
                <w:b/>
                <w:bCs/>
                <w:color w:val="auto"/>
                <w:sz w:val="24"/>
              </w:rPr>
              <w:t xml:space="preserve">  </w:t>
            </w:r>
            <w:r>
              <w:rPr>
                <w:rFonts w:hint="eastAsia"/>
                <w:b/>
                <w:bCs/>
                <w:color w:val="auto"/>
                <w:sz w:val="24"/>
                <w:lang w:eastAsia="zh-CN"/>
              </w:rPr>
              <w:t>项目边界噪声</w:t>
            </w:r>
            <w:r>
              <w:rPr>
                <w:b/>
                <w:bCs/>
                <w:color w:val="auto"/>
                <w:sz w:val="24"/>
              </w:rPr>
              <w:t>监测结果统计表</w:t>
            </w:r>
            <w:r>
              <w:rPr>
                <w:rFonts w:hint="eastAsia"/>
                <w:b/>
                <w:bCs/>
                <w:color w:val="auto"/>
                <w:sz w:val="24"/>
              </w:rPr>
              <w:t xml:space="preserve">   </w:t>
            </w:r>
            <w:r>
              <w:rPr>
                <w:b/>
                <w:bCs/>
                <w:color w:val="auto"/>
                <w:sz w:val="24"/>
              </w:rPr>
              <w:t>单位：dB(A)</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2"/>
              <w:gridCol w:w="1290"/>
              <w:gridCol w:w="1292"/>
              <w:gridCol w:w="1290"/>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928" w:type="pct"/>
                  <w:vMerge w:val="restart"/>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监测点位</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月01日</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928" w:type="pct"/>
                  <w:vMerge w:val="continue"/>
                  <w:noWrap w:val="0"/>
                  <w:vAlign w:val="center"/>
                </w:tcPr>
                <w:p>
                  <w:pPr>
                    <w:spacing w:line="288" w:lineRule="auto"/>
                    <w:jc w:val="center"/>
                    <w:rPr>
                      <w:rFonts w:hint="default" w:ascii="Times New Roman" w:hAnsi="Times New Roman" w:eastAsia="宋体" w:cs="Times New Roman"/>
                      <w:b/>
                      <w:bCs/>
                      <w:color w:val="auto"/>
                      <w:szCs w:val="21"/>
                    </w:rPr>
                  </w:pPr>
                </w:p>
              </w:tc>
              <w:tc>
                <w:tcPr>
                  <w:tcW w:w="767" w:type="pct"/>
                  <w:noWrap w:val="0"/>
                  <w:vAlign w:val="center"/>
                </w:tcPr>
                <w:p>
                  <w:pPr>
                    <w:spacing w:line="288"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（1#）</w:t>
                  </w:r>
                  <w:r>
                    <w:rPr>
                      <w:rFonts w:hint="eastAsia"/>
                      <w:color w:val="auto"/>
                      <w:szCs w:val="21"/>
                      <w:lang w:eastAsia="zh-CN"/>
                    </w:rPr>
                    <w:t>危废间东边界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59</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（2#）</w:t>
                  </w:r>
                  <w:r>
                    <w:rPr>
                      <w:rFonts w:hint="eastAsia"/>
                      <w:color w:val="auto"/>
                      <w:szCs w:val="21"/>
                      <w:lang w:eastAsia="zh-CN"/>
                    </w:rPr>
                    <w:t>危废间南边界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62</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（3#）</w:t>
                  </w:r>
                  <w:r>
                    <w:rPr>
                      <w:rFonts w:hint="eastAsia"/>
                      <w:color w:val="auto"/>
                      <w:szCs w:val="21"/>
                      <w:lang w:eastAsia="zh-CN"/>
                    </w:rPr>
                    <w:t>危废间西边界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52</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（4#）</w:t>
                  </w:r>
                  <w:r>
                    <w:rPr>
                      <w:rFonts w:hint="eastAsia"/>
                      <w:color w:val="auto"/>
                      <w:szCs w:val="21"/>
                      <w:lang w:eastAsia="zh-CN"/>
                    </w:rPr>
                    <w:t>危废间北边界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49</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928" w:type="pct"/>
                  <w:tcBorders>
                    <w:right w:val="single" w:color="000000" w:sz="4" w:space="0"/>
                  </w:tcBorders>
                  <w:noWrap w:val="0"/>
                  <w:vAlign w:val="center"/>
                </w:tcPr>
                <w:p>
                  <w:pPr>
                    <w:tabs>
                      <w:tab w:val="center" w:pos="1206"/>
                      <w:tab w:val="right" w:pos="2293"/>
                    </w:tabs>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排放限值</w:t>
                  </w:r>
                  <w:r>
                    <w:rPr>
                      <w:rFonts w:hint="eastAsia" w:eastAsia="宋体" w:cs="Times New Roman"/>
                      <w:color w:val="auto"/>
                      <w:szCs w:val="21"/>
                      <w:lang w:eastAsia="zh-CN"/>
                    </w:rPr>
                    <w:t>：</w:t>
                  </w:r>
                  <w:r>
                    <w:rPr>
                      <w:rFonts w:hint="default"/>
                      <w:color w:val="auto"/>
                      <w:szCs w:val="21"/>
                      <w:lang w:val="en-US" w:eastAsia="zh-CN"/>
                    </w:rPr>
                    <w:t>《工业企业厂界环境噪声排放标准》（GB12348-2008）中的</w:t>
                  </w:r>
                  <w:r>
                    <w:rPr>
                      <w:rFonts w:hint="eastAsia"/>
                      <w:color w:val="auto"/>
                      <w:szCs w:val="21"/>
                      <w:lang w:val="en-US" w:eastAsia="zh-CN"/>
                    </w:rPr>
                    <w:t>3</w:t>
                  </w:r>
                  <w:r>
                    <w:rPr>
                      <w:rFonts w:hint="default"/>
                      <w:color w:val="auto"/>
                      <w:szCs w:val="21"/>
                      <w:lang w:val="en-US" w:eastAsia="zh-CN"/>
                    </w:rPr>
                    <w:t>类标准</w:t>
                  </w:r>
                </w:p>
              </w:tc>
              <w:tc>
                <w:tcPr>
                  <w:tcW w:w="3071" w:type="pct"/>
                  <w:gridSpan w:val="4"/>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昼间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65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lang w:val="en-US" w:eastAsia="zh-CN"/>
                    </w:rPr>
                    <w:t>夜间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55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lang w:val="en-US" w:eastAsia="zh-CN"/>
              </w:rPr>
            </w:pPr>
            <w:r>
              <w:rPr>
                <w:rFonts w:hint="eastAsia"/>
                <w:color w:val="auto"/>
                <w:sz w:val="24"/>
                <w:szCs w:val="24"/>
                <w:lang w:val="en-US" w:eastAsia="zh-CN"/>
              </w:rPr>
              <w:t>根据厂界噪声监测数据可知，</w:t>
            </w:r>
            <w:r>
              <w:rPr>
                <w:rFonts w:hint="default"/>
                <w:color w:val="auto"/>
                <w:sz w:val="24"/>
                <w:szCs w:val="24"/>
                <w:lang w:val="en-US" w:eastAsia="zh-CN"/>
              </w:rPr>
              <w:t>采用</w:t>
            </w:r>
            <w:r>
              <w:rPr>
                <w:rFonts w:hint="eastAsia"/>
                <w:color w:val="auto"/>
                <w:sz w:val="24"/>
                <w:szCs w:val="24"/>
                <w:lang w:val="en-US" w:eastAsia="zh-CN"/>
              </w:rPr>
              <w:t>基础</w:t>
            </w:r>
            <w:r>
              <w:rPr>
                <w:rFonts w:hint="default"/>
                <w:color w:val="auto"/>
                <w:sz w:val="24"/>
                <w:szCs w:val="24"/>
                <w:lang w:val="en-US" w:eastAsia="zh-CN"/>
              </w:rPr>
              <w:t>减震、</w:t>
            </w:r>
            <w:r>
              <w:rPr>
                <w:rFonts w:hint="eastAsia"/>
                <w:color w:val="auto"/>
                <w:sz w:val="24"/>
                <w:szCs w:val="24"/>
                <w:lang w:val="en-US" w:eastAsia="zh-CN"/>
              </w:rPr>
              <w:t>消声</w:t>
            </w:r>
            <w:r>
              <w:rPr>
                <w:rFonts w:hint="default"/>
                <w:color w:val="auto"/>
                <w:sz w:val="24"/>
                <w:szCs w:val="24"/>
                <w:lang w:val="en-US" w:eastAsia="zh-CN"/>
              </w:rPr>
              <w:t>等措施后可满足《工业企业厂界环境噪声排放标准》（GB12348-2008）中的</w:t>
            </w:r>
            <w:r>
              <w:rPr>
                <w:rFonts w:hint="eastAsia"/>
                <w:color w:val="auto"/>
                <w:sz w:val="24"/>
                <w:szCs w:val="24"/>
                <w:lang w:val="en-US" w:eastAsia="zh-CN"/>
              </w:rPr>
              <w:t>3</w:t>
            </w:r>
            <w:r>
              <w:rPr>
                <w:rFonts w:hint="default"/>
                <w:color w:val="auto"/>
                <w:sz w:val="24"/>
                <w:szCs w:val="24"/>
                <w:lang w:val="en-US" w:eastAsia="zh-CN"/>
              </w:rPr>
              <w:t>类标准要求。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（3）固体废物</w:t>
            </w: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eastAsia"/>
                <w:b/>
                <w:bCs/>
                <w:color w:val="auto"/>
                <w:sz w:val="24"/>
                <w:szCs w:val="24"/>
                <w:lang w:val="en-US" w:eastAsia="zh-CN"/>
              </w:rPr>
            </w:pP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eastAsia"/>
                <w:b/>
                <w:bCs/>
                <w:color w:val="auto"/>
                <w:sz w:val="24"/>
                <w:szCs w:val="24"/>
                <w:lang w:val="en-US" w:eastAsia="zh-CN"/>
              </w:rPr>
            </w:pP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eastAsia"/>
                <w:b/>
                <w:bCs/>
                <w:color w:val="auto"/>
                <w:sz w:val="24"/>
                <w:szCs w:val="24"/>
                <w:lang w:val="en-US" w:eastAsia="zh-CN"/>
              </w:rPr>
            </w:pP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eastAsia"/>
                <w:b/>
                <w:bCs/>
                <w:color w:val="auto"/>
                <w:sz w:val="24"/>
                <w:szCs w:val="24"/>
                <w:lang w:val="en-US" w:eastAsia="zh-CN"/>
              </w:rPr>
            </w:pP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default"/>
                <w:b/>
                <w:bCs/>
                <w:color w:val="auto"/>
                <w:sz w:val="24"/>
                <w:szCs w:val="24"/>
              </w:rPr>
            </w:pPr>
            <w:r>
              <w:rPr>
                <w:rFonts w:hint="eastAsia"/>
                <w:b/>
                <w:bCs/>
                <w:color w:val="auto"/>
                <w:sz w:val="24"/>
                <w:szCs w:val="24"/>
                <w:lang w:val="en-US" w:eastAsia="zh-CN"/>
              </w:rPr>
              <w:t>表</w:t>
            </w:r>
            <w:r>
              <w:rPr>
                <w:rFonts w:hint="default"/>
                <w:b/>
                <w:bCs/>
                <w:color w:val="auto"/>
                <w:sz w:val="24"/>
                <w:szCs w:val="24"/>
                <w:lang w:val="en-US" w:eastAsia="zh-CN"/>
              </w:rPr>
              <w:t>2-</w:t>
            </w:r>
            <w:r>
              <w:rPr>
                <w:rFonts w:hint="eastAsia"/>
                <w:b/>
                <w:bCs/>
                <w:color w:val="auto"/>
                <w:sz w:val="24"/>
                <w:szCs w:val="24"/>
                <w:lang w:val="en-US" w:eastAsia="zh-CN"/>
              </w:rPr>
              <w:t>16</w:t>
            </w:r>
            <w:r>
              <w:rPr>
                <w:rFonts w:hint="default"/>
                <w:b/>
                <w:bCs/>
                <w:color w:val="auto"/>
                <w:sz w:val="24"/>
                <w:szCs w:val="24"/>
                <w:lang w:val="en-US" w:eastAsia="zh-CN"/>
              </w:rPr>
              <w:t xml:space="preserve"> </w:t>
            </w:r>
            <w:r>
              <w:rPr>
                <w:rFonts w:hint="eastAsia"/>
                <w:b/>
                <w:bCs/>
                <w:color w:val="auto"/>
                <w:sz w:val="24"/>
                <w:szCs w:val="24"/>
                <w:lang w:val="en-US" w:eastAsia="zh-CN"/>
              </w:rPr>
              <w:t>现有工程固体废物贮存及处置情况表</w:t>
            </w:r>
          </w:p>
          <w:tbl>
            <w:tblPr>
              <w:tblStyle w:val="31"/>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674"/>
              <w:gridCol w:w="1415"/>
              <w:gridCol w:w="1351"/>
              <w:gridCol w:w="1144"/>
              <w:gridCol w:w="2617"/>
              <w:gridCol w:w="11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40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default"/>
                      <w:b/>
                      <w:bCs/>
                      <w:color w:val="auto"/>
                      <w:lang w:val="en-US" w:eastAsia="zh-CN"/>
                    </w:rPr>
                    <w:t>序号</w:t>
                  </w:r>
                </w:p>
              </w:tc>
              <w:tc>
                <w:tcPr>
                  <w:tcW w:w="842"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default"/>
                      <w:b/>
                      <w:bCs/>
                      <w:color w:val="auto"/>
                      <w:lang w:val="en-US" w:eastAsia="zh-CN"/>
                    </w:rPr>
                    <w:t>固废名称</w:t>
                  </w:r>
                </w:p>
              </w:tc>
              <w:tc>
                <w:tcPr>
                  <w:tcW w:w="804"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default"/>
                      <w:b/>
                      <w:bCs/>
                      <w:color w:val="auto"/>
                      <w:lang w:val="en-US" w:eastAsia="zh-CN"/>
                    </w:rPr>
                    <w:t>产生工序</w:t>
                  </w:r>
                </w:p>
              </w:tc>
              <w:tc>
                <w:tcPr>
                  <w:tcW w:w="68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default"/>
                      <w:b/>
                      <w:bCs/>
                      <w:color w:val="auto"/>
                      <w:lang w:val="en-US" w:eastAsia="zh-CN"/>
                    </w:rPr>
                    <w:t>形态</w:t>
                  </w:r>
                </w:p>
              </w:tc>
              <w:tc>
                <w:tcPr>
                  <w:tcW w:w="1557"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default"/>
                      <w:b/>
                      <w:bCs/>
                      <w:color w:val="auto"/>
                      <w:lang w:val="en-US" w:eastAsia="zh-CN"/>
                    </w:rPr>
                    <w:t>排放/处理方式</w:t>
                  </w:r>
                </w:p>
              </w:tc>
              <w:tc>
                <w:tcPr>
                  <w:tcW w:w="71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eastAsia"/>
                      <w:b/>
                      <w:bCs/>
                      <w:color w:val="auto"/>
                      <w:lang w:val="en-US" w:eastAsia="zh-CN"/>
                    </w:rPr>
                    <w:t>贮存</w:t>
                  </w:r>
                  <w:r>
                    <w:rPr>
                      <w:rFonts w:hint="default"/>
                      <w:b/>
                      <w:bCs/>
                      <w:color w:val="auto"/>
                      <w:lang w:val="en-US" w:eastAsia="zh-CN"/>
                    </w:rPr>
                    <w:t>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0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rPr>
                  </w:pPr>
                  <w:r>
                    <w:rPr>
                      <w:rFonts w:hint="eastAsia"/>
                      <w:color w:val="auto"/>
                      <w:lang w:val="en-US" w:eastAsia="zh-CN"/>
                    </w:rPr>
                    <w:t>1</w:t>
                  </w:r>
                </w:p>
              </w:tc>
              <w:tc>
                <w:tcPr>
                  <w:tcW w:w="842" w:type="pct"/>
                  <w:tcBorders>
                    <w:tl2br w:val="nil"/>
                    <w:tr2bl w:val="nil"/>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color w:val="auto"/>
                      <w:lang w:val="en-US"/>
                    </w:rPr>
                  </w:pPr>
                  <w:r>
                    <w:rPr>
                      <w:rFonts w:hint="eastAsia"/>
                      <w:color w:val="auto"/>
                      <w:lang w:val="en-US" w:eastAsia="zh-CN"/>
                    </w:rPr>
                    <w:t>危险废物</w:t>
                  </w:r>
                </w:p>
              </w:tc>
              <w:tc>
                <w:tcPr>
                  <w:tcW w:w="804"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default"/>
                      <w:color w:val="auto"/>
                      <w:lang w:val="en-US" w:eastAsia="zh-CN"/>
                    </w:rPr>
                    <w:t>渭南高新区海泰新型电子材料有限责任公司</w:t>
                  </w:r>
                </w:p>
              </w:tc>
              <w:tc>
                <w:tcPr>
                  <w:tcW w:w="68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default"/>
                      <w:color w:val="auto"/>
                      <w:lang w:val="en-US" w:eastAsia="zh-CN"/>
                    </w:rPr>
                    <w:t>固态</w:t>
                  </w:r>
                  <w:r>
                    <w:rPr>
                      <w:rFonts w:hint="eastAsia"/>
                      <w:color w:val="auto"/>
                      <w:lang w:val="en-US" w:eastAsia="zh-CN"/>
                    </w:rPr>
                    <w:t>、半固体</w:t>
                  </w:r>
                </w:p>
              </w:tc>
              <w:tc>
                <w:tcPr>
                  <w:tcW w:w="1557"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暂存在危废暂存间，定期交由有资质单位统一拉运处置</w:t>
                  </w:r>
                </w:p>
              </w:tc>
              <w:tc>
                <w:tcPr>
                  <w:tcW w:w="713"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color w:val="auto"/>
                    </w:rPr>
                  </w:pPr>
                  <w:r>
                    <w:rPr>
                      <w:rFonts w:hint="eastAsia"/>
                      <w:color w:val="auto"/>
                      <w:highlight w:val="none"/>
                      <w:lang w:val="en-US" w:eastAsia="zh-CN"/>
                    </w:rPr>
                    <w:t xml:space="preserve">见表2-8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0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rPr>
                  </w:pPr>
                  <w:r>
                    <w:rPr>
                      <w:rFonts w:hint="eastAsia"/>
                      <w:color w:val="auto"/>
                      <w:lang w:val="en-US" w:eastAsia="zh-CN"/>
                    </w:rPr>
                    <w:t>2</w:t>
                  </w:r>
                </w:p>
              </w:tc>
              <w:tc>
                <w:tcPr>
                  <w:tcW w:w="842" w:type="pct"/>
                  <w:tcBorders>
                    <w:tl2br w:val="nil"/>
                    <w:tr2bl w:val="nil"/>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color w:val="auto"/>
                    </w:rPr>
                  </w:pPr>
                  <w:r>
                    <w:rPr>
                      <w:rFonts w:hint="default"/>
                      <w:color w:val="auto"/>
                      <w:lang w:val="en-US" w:eastAsia="zh-CN"/>
                    </w:rPr>
                    <w:t>生活垃圾</w:t>
                  </w:r>
                </w:p>
              </w:tc>
              <w:tc>
                <w:tcPr>
                  <w:tcW w:w="804"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lang w:val="en-US" w:eastAsia="zh-CN"/>
                    </w:rPr>
                    <w:t>办公</w:t>
                  </w:r>
                </w:p>
              </w:tc>
              <w:tc>
                <w:tcPr>
                  <w:tcW w:w="68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lang w:val="en-US" w:eastAsia="zh-CN"/>
                    </w:rPr>
                    <w:t>固态</w:t>
                  </w:r>
                </w:p>
              </w:tc>
              <w:tc>
                <w:tcPr>
                  <w:tcW w:w="1557"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lang w:val="en-US" w:eastAsia="zh-CN"/>
                    </w:rPr>
                    <w:t>环卫部门清运</w:t>
                  </w:r>
                </w:p>
              </w:tc>
              <w:tc>
                <w:tcPr>
                  <w:tcW w:w="713"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color w:val="auto"/>
                    </w:rPr>
                  </w:pPr>
                  <w:r>
                    <w:rPr>
                      <w:rFonts w:hint="eastAsia"/>
                      <w:color w:val="auto"/>
                      <w:lang w:val="en-US" w:eastAsia="zh-CN"/>
                    </w:rPr>
                    <w:t xml:space="preserve">10 </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20" w:firstLineChars="200"/>
              <w:textAlignment w:val="auto"/>
              <w:outlineLvl w:val="9"/>
              <w:rPr>
                <w:rFonts w:hint="eastAsia"/>
                <w:color w:val="auto"/>
                <w:sz w:val="24"/>
                <w:szCs w:val="24"/>
                <w:lang w:val="en-US" w:eastAsia="zh-CN"/>
              </w:rPr>
            </w:pPr>
            <w:r>
              <w:rPr>
                <w:rFonts w:hint="eastAsia"/>
                <w:color w:val="auto"/>
                <w:lang w:val="en-US" w:eastAsia="zh-CN"/>
              </w:rPr>
              <w:t>（</w:t>
            </w:r>
            <w:r>
              <w:rPr>
                <w:rFonts w:hint="eastAsia"/>
                <w:color w:val="auto"/>
                <w:sz w:val="24"/>
                <w:szCs w:val="24"/>
                <w:lang w:val="en-US" w:eastAsia="zh-CN"/>
              </w:rPr>
              <w:t>4）现有危废暂存间污染物排放汇总</w:t>
            </w:r>
          </w:p>
          <w:p>
            <w:pPr>
              <w:pStyle w:val="27"/>
              <w:keepNext w:val="0"/>
              <w:keepLines w:val="0"/>
              <w:widowControl w:val="0"/>
              <w:suppressLineNumbers w:val="0"/>
              <w:spacing w:before="0" w:beforeAutospacing="0" w:after="0" w:afterAutospacing="0" w:line="360" w:lineRule="auto"/>
              <w:ind w:left="0" w:right="0" w:firstLine="480" w:firstLineChars="200"/>
              <w:jc w:val="both"/>
              <w:rPr>
                <w:rFonts w:hint="eastAsia"/>
                <w:color w:val="auto"/>
                <w:sz w:val="24"/>
                <w:szCs w:val="24"/>
              </w:rPr>
            </w:pPr>
            <w:r>
              <w:rPr>
                <w:rFonts w:hint="eastAsia"/>
                <w:color w:val="auto"/>
                <w:sz w:val="24"/>
                <w:szCs w:val="24"/>
                <w:lang w:val="en-US" w:eastAsia="zh-CN"/>
              </w:rPr>
              <w:t>现有危废暂存间主要污染物排放统计见下表。</w:t>
            </w: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default"/>
                <w:b/>
                <w:bCs/>
                <w:color w:val="auto"/>
                <w:sz w:val="24"/>
                <w:szCs w:val="24"/>
                <w:highlight w:val="none"/>
                <w:lang w:val="en-US" w:eastAsia="zh-CN"/>
              </w:rPr>
            </w:pPr>
            <w:r>
              <w:rPr>
                <w:rFonts w:hint="eastAsia"/>
                <w:b/>
                <w:bCs/>
                <w:color w:val="auto"/>
                <w:sz w:val="24"/>
                <w:szCs w:val="24"/>
                <w:highlight w:val="none"/>
                <w:lang w:val="en-US" w:eastAsia="zh-CN"/>
              </w:rPr>
              <w:t>表</w:t>
            </w:r>
            <w:r>
              <w:rPr>
                <w:rFonts w:hint="default"/>
                <w:b/>
                <w:bCs/>
                <w:color w:val="auto"/>
                <w:sz w:val="24"/>
                <w:szCs w:val="24"/>
                <w:highlight w:val="none"/>
                <w:lang w:val="en-US" w:eastAsia="zh-CN"/>
              </w:rPr>
              <w:t>2-</w:t>
            </w:r>
            <w:r>
              <w:rPr>
                <w:rFonts w:hint="eastAsia"/>
                <w:b/>
                <w:bCs/>
                <w:color w:val="auto"/>
                <w:sz w:val="24"/>
                <w:szCs w:val="24"/>
                <w:highlight w:val="none"/>
                <w:lang w:val="en-US" w:eastAsia="zh-CN"/>
              </w:rPr>
              <w:t>17</w:t>
            </w:r>
            <w:r>
              <w:rPr>
                <w:rFonts w:hint="default"/>
                <w:b/>
                <w:bCs/>
                <w:color w:val="auto"/>
                <w:sz w:val="24"/>
                <w:szCs w:val="24"/>
                <w:highlight w:val="none"/>
                <w:lang w:val="en-US" w:eastAsia="zh-CN"/>
              </w:rPr>
              <w:t xml:space="preserve">  </w:t>
            </w:r>
            <w:r>
              <w:rPr>
                <w:rFonts w:hint="eastAsia"/>
                <w:b/>
                <w:bCs/>
                <w:color w:val="auto"/>
                <w:sz w:val="24"/>
                <w:szCs w:val="24"/>
                <w:highlight w:val="none"/>
                <w:lang w:val="en-US" w:eastAsia="zh-CN"/>
              </w:rPr>
              <w:t>现有危废暂存间主要污染物排放统计表</w:t>
            </w:r>
          </w:p>
          <w:tbl>
            <w:tblPr>
              <w:tblStyle w:val="31"/>
              <w:tblW w:w="497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shd w:val="clear" w:color="auto" w:fill="auto"/>
              <w:tblLayout w:type="fixed"/>
              <w:tblCellMar>
                <w:top w:w="15" w:type="dxa"/>
                <w:left w:w="15" w:type="dxa"/>
                <w:bottom w:w="15" w:type="dxa"/>
                <w:right w:w="15" w:type="dxa"/>
              </w:tblCellMar>
            </w:tblPr>
            <w:tblGrid>
              <w:gridCol w:w="726"/>
              <w:gridCol w:w="1366"/>
              <w:gridCol w:w="1058"/>
              <w:gridCol w:w="854"/>
              <w:gridCol w:w="1024"/>
              <w:gridCol w:w="1035"/>
              <w:gridCol w:w="824"/>
              <w:gridCol w:w="14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shd w:val="clear" w:color="auto" w:fill="auto"/>
                <w:tblCellMar>
                  <w:top w:w="15" w:type="dxa"/>
                  <w:left w:w="15" w:type="dxa"/>
                  <w:bottom w:w="15" w:type="dxa"/>
                  <w:right w:w="15" w:type="dxa"/>
                </w:tblCellMar>
              </w:tblPrEx>
              <w:trPr>
                <w:trHeight w:val="454" w:hRule="atLeast"/>
                <w:jc w:val="center"/>
              </w:trPr>
              <w:tc>
                <w:tcPr>
                  <w:tcW w:w="43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污染类型</w:t>
                  </w:r>
                </w:p>
              </w:tc>
              <w:tc>
                <w:tcPr>
                  <w:tcW w:w="816"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排放源及污染物名称</w:t>
                  </w:r>
                </w:p>
              </w:tc>
              <w:tc>
                <w:tcPr>
                  <w:tcW w:w="632" w:type="pct"/>
                  <w:tcBorders>
                    <w:right w:val="single" w:color="auto" w:sz="4" w:space="0"/>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排放量（t/a）</w:t>
                  </w:r>
                </w:p>
              </w:tc>
              <w:tc>
                <w:tcPr>
                  <w:tcW w:w="510" w:type="pct"/>
                  <w:tcBorders>
                    <w:left w:val="single" w:color="auto" w:sz="4" w:space="0"/>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排放速率（kg/h）</w:t>
                  </w:r>
                </w:p>
              </w:tc>
              <w:tc>
                <w:tcPr>
                  <w:tcW w:w="611"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618" w:type="pct"/>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标准限值（mg/m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492" w:type="pct"/>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达标情况</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污染防治措施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废气</w:t>
                  </w:r>
                </w:p>
              </w:tc>
              <w:tc>
                <w:tcPr>
                  <w:tcW w:w="816" w:type="pct"/>
                  <w:vMerge w:val="restar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1.49</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0.17</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bidi="ar-SA"/>
                    </w:rPr>
                    <w:t>26.0</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continue"/>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0.58</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无组织排放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restar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甲苯</w:t>
                  </w: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0.02891</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3.3</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eastAsia="宋体" w:cs="Times New Roman"/>
                      <w:color w:val="auto"/>
                      <w:szCs w:val="21"/>
                      <w:highlight w:val="none"/>
                      <w:vertAlign w:val="superscript"/>
                      <w:lang w:val="en-US" w:eastAsia="zh-CN"/>
                    </w:rPr>
                    <w:t>3</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0.496</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ascii="Times New Roman" w:hAnsi="Times New Roman"/>
                      <w:color w:val="auto"/>
                      <w:szCs w:val="21"/>
                      <w:highlight w:val="none"/>
                    </w:rPr>
                    <w:t>40</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continue"/>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0.003212</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0.0174</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无组织排放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restar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甲醇</w:t>
                  </w: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0.349</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Cs w:val="21"/>
                      <w:highlight w:val="none"/>
                      <w:lang w:val="en-US" w:eastAsia="zh-CN"/>
                    </w:rPr>
                    <w:t>3.98</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cs="Times New Roman"/>
                      <w:color w:val="auto"/>
                      <w:szCs w:val="21"/>
                      <w:highlight w:val="none"/>
                      <w:vertAlign w:val="superscript"/>
                      <w:lang w:val="en-US" w:eastAsia="zh-CN"/>
                    </w:rPr>
                    <w:t>2</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continue"/>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无组织排放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restar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臭气浓度</w:t>
                  </w: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478</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2000无量纲</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continue"/>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20无量纲</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无组织排放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660" w:hRule="atLeast"/>
                <w:jc w:val="center"/>
              </w:trPr>
              <w:tc>
                <w:tcPr>
                  <w:tcW w:w="43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固体废物</w:t>
                  </w:r>
                </w:p>
              </w:tc>
              <w:tc>
                <w:tcPr>
                  <w:tcW w:w="4566" w:type="pct"/>
                  <w:gridSpan w:val="7"/>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详见表</w:t>
                  </w:r>
                  <w:r>
                    <w:rPr>
                      <w:rFonts w:hint="eastAsia" w:cs="Times New Roman"/>
                      <w:color w:val="auto"/>
                      <w:sz w:val="21"/>
                      <w:szCs w:val="21"/>
                      <w:highlight w:val="none"/>
                      <w:lang w:val="en-US" w:eastAsia="zh-CN"/>
                    </w:rPr>
                    <w:t>2-8。</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outlineLvl w:val="9"/>
              <w:rPr>
                <w:rFonts w:hint="default"/>
                <w:b/>
                <w:bCs/>
                <w:color w:val="auto"/>
                <w:sz w:val="24"/>
                <w:szCs w:val="24"/>
                <w:lang w:val="en-US" w:eastAsia="zh-CN"/>
              </w:rPr>
            </w:pPr>
            <w:r>
              <w:rPr>
                <w:rFonts w:hint="default"/>
                <w:b/>
                <w:bCs/>
                <w:color w:val="auto"/>
                <w:sz w:val="24"/>
                <w:szCs w:val="24"/>
              </w:rPr>
              <w:t>二、</w:t>
            </w:r>
            <w:r>
              <w:rPr>
                <w:rFonts w:hint="eastAsia"/>
                <w:b/>
                <w:bCs/>
                <w:color w:val="auto"/>
                <w:sz w:val="24"/>
                <w:szCs w:val="24"/>
                <w:lang w:val="en-US" w:eastAsia="zh-CN"/>
              </w:rPr>
              <w:t>现有工程存在的环境问题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根据现场调查，现有危废暂存间有合法环评手续，运营期间尚未接到周边居民、企事业单位投诉。现有危废暂存间产生的污染物在采取相关处理措施后均可达标排放，对周围环境影响较小。经调查，危险废物收集后暂存在危废暂存间，定期交由有资质单位转运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存在的环境问题及整改措施：</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由于第三方有资质单位降低了危险废物的转运频次，现有的危险废物一定程度上产生贮存积压，造成危废暂存间贮存空间不足。同时，固态危险废物和液态危险废物同时储存于同一贮存空间，给危险废物管理造成一定的难度。</w:t>
            </w:r>
          </w:p>
          <w:p>
            <w:pPr>
              <w:numPr>
                <w:ilvl w:val="0"/>
                <w:numId w:val="0"/>
              </w:numPr>
              <w:spacing w:line="360" w:lineRule="auto"/>
              <w:ind w:leftChars="0" w:firstLine="480" w:firstLineChars="200"/>
              <w:rPr>
                <w:rFonts w:hint="default" w:cs="Times New Roman" w:eastAsiaTheme="minorEastAsia"/>
                <w:color w:val="auto"/>
                <w:kern w:val="0"/>
                <w:sz w:val="24"/>
                <w:szCs w:val="24"/>
                <w:lang w:val="en-US" w:eastAsia="zh-CN"/>
              </w:rPr>
            </w:pPr>
            <w:r>
              <w:rPr>
                <w:rFonts w:hint="eastAsia"/>
                <w:color w:val="auto"/>
                <w:sz w:val="24"/>
                <w:szCs w:val="24"/>
                <w:lang w:val="en-US" w:eastAsia="zh-CN"/>
              </w:rPr>
              <w:t>整改措施：按照</w:t>
            </w:r>
            <w:r>
              <w:rPr>
                <w:rFonts w:hint="eastAsia" w:cs="Times New Roman" w:eastAsiaTheme="minorEastAsia"/>
                <w:color w:val="auto"/>
                <w:kern w:val="0"/>
                <w:sz w:val="24"/>
                <w:szCs w:val="24"/>
                <w:lang w:val="en-US" w:eastAsia="zh-CN"/>
              </w:rPr>
              <w:t>《</w:t>
            </w:r>
            <w:r>
              <w:rPr>
                <w:rFonts w:hint="eastAsia"/>
                <w:color w:val="auto"/>
                <w:sz w:val="24"/>
                <w:szCs w:val="24"/>
                <w:lang w:val="en-US" w:eastAsia="zh-CN"/>
              </w:rPr>
              <w:t>危险废物贮存污染控制标准》（GB 18597-2023）、《危险废物识别标志设置技术规范 》（HJ 1276-2022）等相关要求，利用现有危废暂存间东侧的仓库进行改造建设，</w:t>
            </w:r>
            <w:r>
              <w:rPr>
                <w:rFonts w:hint="eastAsia" w:cs="Times New Roman" w:eastAsiaTheme="minorEastAsia"/>
                <w:color w:val="auto"/>
                <w:kern w:val="0"/>
                <w:sz w:val="24"/>
                <w:szCs w:val="24"/>
                <w:lang w:val="en-US" w:eastAsia="zh-CN"/>
              </w:rPr>
              <w:t>扩建一个危废暂存间，满足“固液分离、分类贮存”的要求，</w:t>
            </w:r>
            <w:r>
              <w:rPr>
                <w:rFonts w:hint="eastAsia"/>
                <w:color w:val="auto"/>
                <w:sz w:val="24"/>
                <w:szCs w:val="24"/>
                <w:lang w:val="en-US" w:eastAsia="zh-CN"/>
              </w:rPr>
              <w:t>按照新的要求规范建设和完善危废暂存间。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2、现有危废暂存间废气污染物例行监测仅检测了非甲烷总烃和臭气浓度，未检测甲苯和甲醇。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整改措施：本次评价对危废暂存间产生的非甲烷总烃、臭气浓度、甲苯和甲醇进行了检测，作为现有工程大气污染物是否达标排放的分判定依据，同时在本次环评提出全面的环境跟踪监测计划，要求企业针对此问题，一并完善后续的排污许可和竣工环保验收相关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3、《危险废物贮存污染控制标准》（GB 18597-2023）和《危险废物识别标志设置技术规范 》（HJ 1276-2022）已颁布，现有危废暂存间应尽快按照新的要求进行规范建设和完善。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整改措施：</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本次环评要求企业按照新标准和规范要求，对现有的危废暂存间进行完善、更新标志和标识；贮存设施地面与裙脚应采取表面防渗措施；表面防渗材料应与所接触的物料或污染物相容，可采用抗渗混凝土、高密度聚乙烯膜、钠基膨润土防水毯或其他防渗性能等效的材料。</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危险废物定期交由有危废资质单位处置。本次扩建危废暂存间在环评手续完成后，按照新标准和规范要求，规范建设危废暂存间，规范建设危废暂存间的标志和标识。</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s="Times New Roman" w:eastAsiaTheme="minorEastAsia"/>
                <w:color w:val="auto"/>
                <w:sz w:val="24"/>
                <w:szCs w:val="24"/>
                <w:lang w:val="en-US" w:eastAsia="zh-CN"/>
              </w:rPr>
              <w:t>根据《危险废物管理计划和管理台账制定技术导则》（HJ1259-2022） ，</w:t>
            </w:r>
            <w:r>
              <w:rPr>
                <w:rFonts w:hint="eastAsia" w:cs="Times New Roman" w:eastAsiaTheme="minorEastAsia"/>
                <w:color w:val="auto"/>
                <w:sz w:val="24"/>
                <w:szCs w:val="24"/>
                <w:highlight w:val="none"/>
                <w:lang w:val="en-US" w:eastAsia="zh-CN"/>
              </w:rPr>
              <w:t>本项目属于危险废物环境重点监管单位，因此，按照《危险废物贮存污染控制标准》（GB18597-2023）相关规定，本项目完成扩建后，现有危废暂存间和扩建危废暂存间均应采用电子地磅、电子标签、电子管理台账等技术手段对危险废物贮存过程进行信息化管理，确保数据完整、真实、准确；采用视频监控，确保监控画面清晰，视频记录保存时间至少为3个月。</w:t>
            </w:r>
            <w:r>
              <w:rPr>
                <w:rFonts w:hint="eastAsia"/>
                <w:color w:val="auto"/>
                <w:sz w:val="24"/>
                <w:szCs w:val="24"/>
                <w:lang w:val="en-US" w:eastAsia="zh-CN"/>
              </w:rPr>
              <w:t>现有危废暂存间和本次扩建危废暂存间贮存的危险废物定期交由有危废资质单位处置。</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color w:val="auto"/>
                <w:sz w:val="24"/>
                <w:szCs w:val="24"/>
                <w:lang w:val="en-US" w:eastAsia="zh-CN"/>
              </w:rPr>
            </w:pPr>
            <w:r>
              <w:rPr>
                <w:rFonts w:hint="eastAsia"/>
                <w:color w:val="auto"/>
                <w:sz w:val="24"/>
                <w:szCs w:val="24"/>
                <w:lang w:val="en-US" w:eastAsia="zh-CN"/>
              </w:rPr>
              <w:t>目前现有危废暂存间的危险废物包括固态危险废物和液态危险废物，储存方式为分区单独贮存。本次环评要求扩建的危废暂存间建设完成后，承担固态危险废物的贮存，现有危废暂存间承担液态危险废物的贮存。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eastAsia="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eastAsia="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eastAsia="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eastAsia="宋体"/>
                <w:color w:val="auto"/>
                <w:sz w:val="24"/>
                <w:szCs w:val="24"/>
                <w:lang w:val="en-US" w:eastAsia="zh-CN"/>
              </w:rPr>
            </w:pPr>
          </w:p>
        </w:tc>
      </w:tr>
    </w:tbl>
    <w:p>
      <w:pPr>
        <w:pStyle w:val="27"/>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7"/>
        <w:adjustRightInd w:val="0"/>
        <w:snapToGrid w:val="0"/>
        <w:spacing w:before="0" w:beforeAutospacing="0" w:after="0" w:afterAutospacing="0" w:line="15" w:lineRule="auto"/>
        <w:jc w:val="center"/>
        <w:rPr>
          <w:rFonts w:ascii="黑体" w:hAnsi="黑体" w:eastAsia="黑体"/>
          <w:snapToGrid w:val="0"/>
          <w:color w:val="auto"/>
          <w:sz w:val="30"/>
          <w:szCs w:val="30"/>
        </w:rPr>
      </w:pPr>
    </w:p>
    <w:p>
      <w:pPr>
        <w:pStyle w:val="27"/>
        <w:jc w:val="center"/>
        <w:outlineLvl w:val="0"/>
        <w:rPr>
          <w:rFonts w:ascii="黑体" w:hAnsi="黑体" w:eastAsia="黑体"/>
          <w:snapToGrid w:val="0"/>
          <w:color w:val="auto"/>
          <w:sz w:val="30"/>
          <w:szCs w:val="30"/>
        </w:rPr>
      </w:pPr>
      <w:bookmarkStart w:id="12" w:name="_Toc7309"/>
      <w:r>
        <w:rPr>
          <w:rFonts w:hint="eastAsia" w:ascii="黑体" w:hAnsi="黑体" w:eastAsia="黑体"/>
          <w:snapToGrid w:val="0"/>
          <w:color w:val="auto"/>
          <w:sz w:val="30"/>
          <w:szCs w:val="30"/>
        </w:rPr>
        <w:t>三、区域环境质量现状、环境保护目标及评价标准</w:t>
      </w:r>
      <w:bookmarkEnd w:id="12"/>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区域</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质量</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637" w:type="dxa"/>
            <w:vAlign w:val="center"/>
          </w:tcPr>
          <w:p>
            <w:pPr>
              <w:spacing w:line="360" w:lineRule="auto"/>
              <w:ind w:firstLine="482" w:firstLineChars="200"/>
              <w:rPr>
                <w:b/>
                <w:bCs/>
                <w:color w:val="auto"/>
                <w:sz w:val="24"/>
                <w:szCs w:val="24"/>
              </w:rPr>
            </w:pPr>
            <w:r>
              <w:rPr>
                <w:b/>
                <w:bCs/>
                <w:color w:val="auto"/>
                <w:sz w:val="24"/>
                <w:szCs w:val="24"/>
              </w:rPr>
              <w:t>一、环境空气质量现状调查与评价</w:t>
            </w:r>
          </w:p>
          <w:p>
            <w:pPr>
              <w:widowControl/>
              <w:spacing w:line="360" w:lineRule="auto"/>
              <w:ind w:firstLine="482" w:firstLineChars="200"/>
              <w:rPr>
                <w:b/>
                <w:bCs/>
                <w:color w:val="auto"/>
                <w:sz w:val="24"/>
                <w:szCs w:val="24"/>
              </w:rPr>
            </w:pPr>
            <w:r>
              <w:rPr>
                <w:b/>
                <w:bCs/>
                <w:color w:val="auto"/>
                <w:sz w:val="24"/>
                <w:szCs w:val="24"/>
              </w:rPr>
              <w:t>1、空气质量达标区判定</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eastAsia"/>
                <w:color w:val="auto"/>
                <w:sz w:val="24"/>
                <w:szCs w:val="24"/>
                <w:lang w:val="en-US" w:eastAsia="zh-CN"/>
              </w:rPr>
            </w:pPr>
            <w:r>
              <w:rPr>
                <w:rFonts w:hint="eastAsia"/>
                <w:color w:val="auto"/>
                <w:sz w:val="24"/>
                <w:szCs w:val="24"/>
                <w:lang w:val="en-US" w:eastAsia="zh-CN"/>
              </w:rPr>
              <w:t>本项目位于渭南市高新区；根据大气功能区划，本项目所在地为二类功能区，环境空气质量标准执行《环境空气质量标准》（GB3095-</w:t>
            </w:r>
            <w:r>
              <w:rPr>
                <w:rFonts w:hint="eastAsia"/>
                <w:color w:val="auto"/>
                <w:sz w:val="24"/>
                <w:szCs w:val="24"/>
                <w:lang w:val="en-US" w:eastAsia="zh-CN"/>
              </w:rPr>
              <w:softHyphen/>
            </w:r>
            <w:r>
              <w:rPr>
                <w:rFonts w:hint="eastAsia"/>
                <w:color w:val="auto"/>
                <w:sz w:val="24"/>
                <w:szCs w:val="24"/>
                <w:lang w:val="en-US" w:eastAsia="zh-CN"/>
              </w:rPr>
              <w:t>2012）二级标准要求。</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eastAsia"/>
                <w:color w:val="auto"/>
                <w:sz w:val="24"/>
                <w:szCs w:val="24"/>
                <w:lang w:val="en-US" w:eastAsia="zh-CN"/>
              </w:rPr>
            </w:pPr>
            <w:r>
              <w:rPr>
                <w:rFonts w:hint="eastAsia"/>
                <w:color w:val="auto"/>
                <w:sz w:val="24"/>
                <w:szCs w:val="24"/>
                <w:lang w:val="en-US" w:eastAsia="zh-CN"/>
              </w:rPr>
              <w:t>根据陕西省生态环境厅办公室2023年1月18日发布的“环保快报（2022年12月及1~12月全省环境空气质量状况）-（2023-9）”，渭南市高新区统计结果如下表</w:t>
            </w:r>
            <w:r>
              <w:rPr>
                <w:rFonts w:hint="eastAsia"/>
                <w:color w:val="auto"/>
                <w:sz w:val="21"/>
                <w:szCs w:val="21"/>
                <w:lang w:val="en-US" w:eastAsia="zh-CN"/>
              </w:rPr>
              <w:t>。</w:t>
            </w:r>
          </w:p>
          <w:p>
            <w:pPr>
              <w:pStyle w:val="67"/>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 xml:space="preserve">3-1  </w:t>
            </w:r>
            <w:r>
              <w:rPr>
                <w:rFonts w:hint="default" w:ascii="Times New Roman" w:hAnsi="Times New Roman" w:eastAsia="宋体" w:cs="Times New Roman"/>
                <w:b/>
                <w:bCs/>
                <w:color w:val="auto"/>
                <w:kern w:val="2"/>
                <w:sz w:val="24"/>
                <w:szCs w:val="24"/>
                <w:lang w:val="en-US" w:eastAsia="zh-CN" w:bidi="ar-SA"/>
              </w:rPr>
              <w:t xml:space="preserve"> 渭南市高新区区域环境质量现状评价表</w:t>
            </w:r>
          </w:p>
          <w:tbl>
            <w:tblPr>
              <w:tblStyle w:val="3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1205"/>
              <w:gridCol w:w="2397"/>
              <w:gridCol w:w="1175"/>
              <w:gridCol w:w="1096"/>
              <w:gridCol w:w="1283"/>
              <w:gridCol w:w="12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污染物</w:t>
                  </w:r>
                </w:p>
              </w:tc>
              <w:tc>
                <w:tcPr>
                  <w:tcW w:w="1426"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年评价指标</w:t>
                  </w:r>
                </w:p>
              </w:tc>
              <w:tc>
                <w:tcPr>
                  <w:tcW w:w="699"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现状浓度μg/m</w:t>
                  </w:r>
                  <w:r>
                    <w:rPr>
                      <w:rFonts w:hint="default" w:ascii="Times New Roman" w:hAnsi="Times New Roman" w:eastAsia="宋体" w:cs="Times New Roman"/>
                      <w:b/>
                      <w:bCs/>
                      <w:color w:val="auto"/>
                      <w:kern w:val="2"/>
                      <w:sz w:val="21"/>
                      <w:szCs w:val="21"/>
                      <w:vertAlign w:val="superscript"/>
                      <w:lang w:val="en-US" w:eastAsia="zh-CN" w:bidi="ar-SA"/>
                    </w:rPr>
                    <w:t>3</w:t>
                  </w:r>
                </w:p>
              </w:tc>
              <w:tc>
                <w:tcPr>
                  <w:tcW w:w="652"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标准值μg/m</w:t>
                  </w:r>
                  <w:r>
                    <w:rPr>
                      <w:rFonts w:hint="default" w:ascii="Times New Roman" w:hAnsi="Times New Roman" w:eastAsia="宋体" w:cs="Times New Roman"/>
                      <w:b/>
                      <w:bCs/>
                      <w:color w:val="auto"/>
                      <w:kern w:val="2"/>
                      <w:sz w:val="21"/>
                      <w:szCs w:val="21"/>
                      <w:vertAlign w:val="superscript"/>
                      <w:lang w:val="en-US" w:eastAsia="zh-CN" w:bidi="ar-SA"/>
                    </w:rPr>
                    <w:t>3</w:t>
                  </w:r>
                </w:p>
              </w:tc>
              <w:tc>
                <w:tcPr>
                  <w:tcW w:w="763"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占标率%</w:t>
                  </w:r>
                </w:p>
              </w:tc>
              <w:tc>
                <w:tcPr>
                  <w:tcW w:w="740"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PM</w:t>
                  </w:r>
                  <w:r>
                    <w:rPr>
                      <w:color w:val="auto"/>
                      <w:szCs w:val="21"/>
                      <w:vertAlign w:val="subscript"/>
                    </w:rPr>
                    <w:t>2.5</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年平均质量浓度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51</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35</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145.7</w:t>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不达标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PM</w:t>
                  </w:r>
                  <w:r>
                    <w:rPr>
                      <w:color w:val="auto"/>
                      <w:szCs w:val="21"/>
                      <w:vertAlign w:val="subscript"/>
                    </w:rPr>
                    <w:t>10</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年平均质量浓度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84</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70</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120</w:t>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不达标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SO</w:t>
                  </w:r>
                  <w:r>
                    <w:rPr>
                      <w:color w:val="auto"/>
                      <w:szCs w:val="21"/>
                      <w:vertAlign w:val="subscript"/>
                    </w:rPr>
                    <w:t>2</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年平均质量浓度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60</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NO</w:t>
                  </w:r>
                  <w:r>
                    <w:rPr>
                      <w:color w:val="auto"/>
                      <w:szCs w:val="21"/>
                      <w:vertAlign w:val="subscript"/>
                    </w:rPr>
                    <w:t>2</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年平均质量浓度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40</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82.5</w:t>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CO</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24小时平均浓度第95百分位数浓度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1400</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4000</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35</w:t>
                  </w:r>
                  <w:r>
                    <w:rPr>
                      <w:color w:val="auto"/>
                      <w:szCs w:val="21"/>
                    </w:rPr>
                    <w:cr/>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O</w:t>
                  </w:r>
                  <w:r>
                    <w:rPr>
                      <w:color w:val="auto"/>
                      <w:szCs w:val="21"/>
                      <w:vertAlign w:val="subscript"/>
                    </w:rPr>
                    <w:t>3</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日最大8小时</w:t>
                  </w:r>
                  <w:r>
                    <w:rPr>
                      <w:rFonts w:hint="eastAsia"/>
                      <w:color w:val="auto"/>
                      <w:szCs w:val="21"/>
                    </w:rPr>
                    <w:t>滑动平均值的第90百分位数浓度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166</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160</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103.75</w:t>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不达标</w:t>
                  </w:r>
                </w:p>
              </w:tc>
            </w:tr>
          </w:tbl>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w:t>
            </w:r>
            <w:r>
              <w:rPr>
                <w:rFonts w:hint="eastAsia"/>
                <w:color w:val="auto"/>
                <w:sz w:val="24"/>
                <w:szCs w:val="24"/>
                <w:lang w:val="en-US" w:eastAsia="zh-CN"/>
              </w:rPr>
              <w:t>“环保快报（2022年12月及1~12月全省环境空气质量状况）-（2023-9）”</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区域</w:t>
            </w:r>
            <w:r>
              <w:rPr>
                <w:rFonts w:hint="default" w:ascii="Times New Roman" w:hAnsi="Times New Roman" w:eastAsia="宋体" w:cs="Times New Roman"/>
                <w:color w:val="auto"/>
                <w:kern w:val="2"/>
                <w:sz w:val="24"/>
                <w:szCs w:val="24"/>
                <w:lang w:val="en-US" w:eastAsia="zh-CN" w:bidi="ar-SA"/>
              </w:rPr>
              <w:t>环境空气6个监测项目中，SO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的年平均值和CO24小时平均值均满足《环境空气质量标准》（GB3095－2012）二级标准，PM</w:t>
            </w:r>
            <w:r>
              <w:rPr>
                <w:rFonts w:hint="default" w:ascii="Times New Roman" w:hAnsi="Times New Roman" w:eastAsia="宋体" w:cs="Times New Roman"/>
                <w:color w:val="auto"/>
                <w:kern w:val="2"/>
                <w:sz w:val="24"/>
                <w:szCs w:val="24"/>
                <w:vertAlign w:val="subscript"/>
                <w:lang w:val="en-US" w:eastAsia="zh-CN" w:bidi="ar-SA"/>
              </w:rPr>
              <w:t>2.5</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PM</w:t>
            </w:r>
            <w:r>
              <w:rPr>
                <w:rFonts w:hint="default" w:ascii="Times New Roman" w:hAnsi="Times New Roman" w:eastAsia="宋体" w:cs="Times New Roman"/>
                <w:color w:val="auto"/>
                <w:kern w:val="2"/>
                <w:sz w:val="24"/>
                <w:szCs w:val="24"/>
                <w:vertAlign w:val="subscript"/>
                <w:lang w:val="en-US" w:eastAsia="zh-CN" w:bidi="ar-SA"/>
              </w:rPr>
              <w:t>10</w:t>
            </w:r>
            <w:r>
              <w:rPr>
                <w:rFonts w:hint="eastAsia" w:cs="Times New Roman"/>
                <w:color w:val="auto"/>
                <w:kern w:val="2"/>
                <w:sz w:val="24"/>
                <w:szCs w:val="24"/>
                <w:lang w:val="en-US" w:eastAsia="zh-CN" w:bidi="ar-SA"/>
              </w:rPr>
              <w:t>的年均值</w:t>
            </w:r>
            <w:r>
              <w:rPr>
                <w:rFonts w:hint="default" w:ascii="Times New Roman" w:hAnsi="Times New Roman" w:eastAsia="宋体" w:cs="Times New Roman"/>
                <w:color w:val="auto"/>
                <w:kern w:val="2"/>
                <w:sz w:val="24"/>
                <w:szCs w:val="24"/>
                <w:lang w:val="en-US" w:eastAsia="zh-CN" w:bidi="ar-SA"/>
              </w:rPr>
              <w:t>和O</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8小时年平均值均超过《环境空气质量标准》（GB3095－2012）中二级标准，说明本项目所在区域环境空气质量不达标。因此本项目处于不达标区。</w:t>
            </w:r>
          </w:p>
          <w:p>
            <w:pPr>
              <w:keepNext w:val="0"/>
              <w:keepLines w:val="0"/>
              <w:pageBreakBefore w:val="0"/>
              <w:widowControl/>
              <w:tabs>
                <w:tab w:val="left" w:pos="3555"/>
              </w:tabs>
              <w:kinsoku/>
              <w:wordWrap/>
              <w:overflowPunct/>
              <w:topLinePunct w:val="0"/>
              <w:autoSpaceDE/>
              <w:autoSpaceDN/>
              <w:bidi w:val="0"/>
              <w:spacing w:line="360" w:lineRule="auto"/>
              <w:ind w:firstLine="482" w:firstLineChars="200"/>
              <w:textAlignment w:val="auto"/>
              <w:rPr>
                <w:b/>
                <w:bCs/>
                <w:color w:val="auto"/>
                <w:sz w:val="24"/>
                <w:szCs w:val="24"/>
                <w:highlight w:val="none"/>
              </w:rPr>
            </w:pPr>
            <w:r>
              <w:rPr>
                <w:b/>
                <w:bCs/>
                <w:color w:val="auto"/>
                <w:sz w:val="24"/>
                <w:szCs w:val="24"/>
                <w:highlight w:val="none"/>
              </w:rPr>
              <w:t>2</w:t>
            </w:r>
            <w:r>
              <w:rPr>
                <w:rFonts w:hint="eastAsia"/>
                <w:b/>
                <w:bCs/>
                <w:color w:val="auto"/>
                <w:sz w:val="24"/>
                <w:szCs w:val="24"/>
                <w:highlight w:val="none"/>
                <w:lang w:eastAsia="zh-CN"/>
              </w:rPr>
              <w:t>、</w:t>
            </w:r>
            <w:r>
              <w:rPr>
                <w:b/>
                <w:bCs/>
                <w:color w:val="auto"/>
                <w:sz w:val="24"/>
                <w:szCs w:val="24"/>
                <w:highlight w:val="none"/>
              </w:rPr>
              <w:t>特征污染物环境质量现状</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lang w:eastAsia="zh-CN"/>
              </w:rPr>
            </w:pPr>
            <w:r>
              <w:rPr>
                <w:color w:val="auto"/>
                <w:sz w:val="24"/>
                <w:szCs w:val="24"/>
                <w:highlight w:val="none"/>
              </w:rPr>
              <w:t>本项目特征污染物环境质量现状情况委托</w:t>
            </w:r>
            <w:r>
              <w:rPr>
                <w:rFonts w:hint="eastAsia"/>
                <w:color w:val="auto"/>
                <w:sz w:val="24"/>
                <w:szCs w:val="24"/>
                <w:highlight w:val="none"/>
                <w:lang w:eastAsia="zh-CN"/>
              </w:rPr>
              <w:t>陕西中润检测有限公司</w:t>
            </w:r>
            <w:r>
              <w:rPr>
                <w:color w:val="auto"/>
                <w:sz w:val="24"/>
                <w:szCs w:val="24"/>
                <w:highlight w:val="none"/>
              </w:rPr>
              <w:t>于</w:t>
            </w:r>
            <w:r>
              <w:rPr>
                <w:rFonts w:hint="default"/>
                <w:color w:val="auto"/>
                <w:sz w:val="24"/>
                <w:szCs w:val="24"/>
                <w:highlight w:val="none"/>
                <w:lang w:val="en-US" w:eastAsia="zh-CN"/>
              </w:rPr>
              <w:t>2023年03月01日-0</w:t>
            </w:r>
            <w:r>
              <w:rPr>
                <w:rFonts w:hint="eastAsia"/>
                <w:color w:val="auto"/>
                <w:sz w:val="24"/>
                <w:szCs w:val="24"/>
                <w:highlight w:val="none"/>
                <w:lang w:val="en-US" w:eastAsia="zh-CN"/>
              </w:rPr>
              <w:t>3</w:t>
            </w:r>
            <w:r>
              <w:rPr>
                <w:color w:val="auto"/>
                <w:sz w:val="24"/>
                <w:szCs w:val="24"/>
                <w:highlight w:val="none"/>
              </w:rPr>
              <w:t>日对项目所在地</w:t>
            </w:r>
            <w:r>
              <w:rPr>
                <w:rFonts w:hint="eastAsia"/>
                <w:color w:val="auto"/>
                <w:sz w:val="24"/>
                <w:szCs w:val="24"/>
                <w:highlight w:val="none"/>
                <w:lang w:eastAsia="zh-CN"/>
              </w:rPr>
              <w:t>的厂址及主导风向</w:t>
            </w:r>
            <w:r>
              <w:rPr>
                <w:rFonts w:hint="eastAsia"/>
                <w:color w:val="auto"/>
                <w:sz w:val="24"/>
                <w:szCs w:val="24"/>
                <w:highlight w:val="none"/>
              </w:rPr>
              <w:t>下风向处</w:t>
            </w:r>
            <w:r>
              <w:rPr>
                <w:rFonts w:hint="eastAsia"/>
                <w:color w:val="auto"/>
                <w:sz w:val="24"/>
                <w:szCs w:val="24"/>
                <w:highlight w:val="none"/>
                <w:lang w:val="en-US" w:eastAsia="zh-CN"/>
              </w:rPr>
              <w:t>2个监测点位进行了监测，</w:t>
            </w:r>
            <w:r>
              <w:rPr>
                <w:rFonts w:hint="eastAsia"/>
                <w:color w:val="auto"/>
                <w:sz w:val="24"/>
                <w:szCs w:val="24"/>
                <w:highlight w:val="none"/>
                <w:lang w:eastAsia="zh-CN"/>
              </w:rPr>
              <w:t>监测报告编号：</w:t>
            </w:r>
            <w:r>
              <w:rPr>
                <w:rFonts w:hint="eastAsia"/>
                <w:color w:val="auto"/>
                <w:sz w:val="24"/>
                <w:szCs w:val="24"/>
                <w:highlight w:val="none"/>
              </w:rPr>
              <w:t>中润检测（</w:t>
            </w:r>
            <w:r>
              <w:rPr>
                <w:rFonts w:hint="eastAsia"/>
                <w:color w:val="auto"/>
                <w:sz w:val="24"/>
                <w:szCs w:val="24"/>
                <w:highlight w:val="none"/>
                <w:lang w:eastAsia="zh-CN"/>
              </w:rPr>
              <w:t>综</w:t>
            </w:r>
            <w:r>
              <w:rPr>
                <w:rFonts w:hint="eastAsia"/>
                <w:color w:val="auto"/>
                <w:sz w:val="24"/>
                <w:szCs w:val="24"/>
                <w:highlight w:val="none"/>
              </w:rPr>
              <w:t>）字［</w:t>
            </w:r>
            <w:r>
              <w:rPr>
                <w:rFonts w:hint="eastAsia"/>
                <w:color w:val="auto"/>
                <w:sz w:val="24"/>
                <w:szCs w:val="24"/>
                <w:highlight w:val="none"/>
                <w:lang w:val="en-US" w:eastAsia="zh-CN"/>
              </w:rPr>
              <w:t>2023</w:t>
            </w:r>
            <w:r>
              <w:rPr>
                <w:rFonts w:hint="eastAsia"/>
                <w:color w:val="auto"/>
                <w:sz w:val="24"/>
                <w:szCs w:val="24"/>
                <w:highlight w:val="none"/>
              </w:rPr>
              <w:t>］</w:t>
            </w:r>
            <w:r>
              <w:rPr>
                <w:rFonts w:hint="eastAsia"/>
                <w:color w:val="auto"/>
                <w:sz w:val="24"/>
                <w:szCs w:val="24"/>
                <w:highlight w:val="none"/>
                <w:lang w:val="en-US" w:eastAsia="zh-CN"/>
              </w:rPr>
              <w:t>W0087</w:t>
            </w:r>
            <w:r>
              <w:rPr>
                <w:rFonts w:hint="eastAsia"/>
                <w:color w:val="auto"/>
                <w:sz w:val="24"/>
                <w:szCs w:val="24"/>
                <w:highlight w:val="none"/>
              </w:rPr>
              <w:t>号</w:t>
            </w:r>
            <w:r>
              <w:rPr>
                <w:rFonts w:hint="eastAsia"/>
                <w:color w:val="auto"/>
                <w:sz w:val="24"/>
                <w:szCs w:val="24"/>
                <w:highlight w:val="none"/>
                <w:lang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ascii="Times New Roman" w:hAnsi="宋体" w:eastAsia="宋体" w:cs="Times New Roman"/>
                <w:color w:val="auto"/>
                <w:sz w:val="24"/>
                <w:szCs w:val="24"/>
              </w:rPr>
              <w:t>监测点</w:t>
            </w:r>
            <w:r>
              <w:rPr>
                <w:rFonts w:hint="eastAsia" w:ascii="Times New Roman" w:hAnsi="宋体" w:eastAsia="宋体" w:cs="Times New Roman"/>
                <w:color w:val="auto"/>
                <w:sz w:val="24"/>
                <w:szCs w:val="24"/>
                <w:lang w:eastAsia="zh-CN"/>
              </w:rPr>
              <w:t>位</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宋体" w:eastAsia="宋体" w:cs="Times New Roman"/>
                <w:color w:val="auto"/>
                <w:sz w:val="24"/>
                <w:szCs w:val="24"/>
                <w:lang w:eastAsia="zh-CN"/>
              </w:rPr>
            </w:pPr>
            <w:r>
              <w:rPr>
                <w:rFonts w:ascii="Times New Roman" w:hAnsi="宋体" w:eastAsia="宋体" w:cs="Times New Roman"/>
                <w:color w:val="auto"/>
                <w:sz w:val="24"/>
                <w:szCs w:val="24"/>
              </w:rPr>
              <w:t>根据《环境影响评价技术导则</w:t>
            </w:r>
            <w:r>
              <w:rPr>
                <w:rFonts w:ascii="Times New Roman" w:hAnsi="Times New Roman" w:eastAsia="宋体" w:cs="Times New Roman"/>
                <w:color w:val="auto"/>
                <w:sz w:val="24"/>
                <w:szCs w:val="24"/>
              </w:rPr>
              <w:t xml:space="preserve"> </w:t>
            </w:r>
            <w:r>
              <w:rPr>
                <w:rFonts w:ascii="Times New Roman" w:hAnsi="宋体" w:eastAsia="宋体" w:cs="Times New Roman"/>
                <w:color w:val="auto"/>
                <w:sz w:val="24"/>
                <w:szCs w:val="24"/>
              </w:rPr>
              <w:t>大气环境》（</w:t>
            </w:r>
            <w:r>
              <w:rPr>
                <w:rFonts w:ascii="Times New Roman" w:hAnsi="Times New Roman" w:eastAsia="宋体" w:cs="Times New Roman"/>
                <w:color w:val="auto"/>
                <w:sz w:val="24"/>
                <w:szCs w:val="24"/>
              </w:rPr>
              <w:t>HJ/T2.2-20</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8</w:t>
            </w:r>
            <w:r>
              <w:rPr>
                <w:rFonts w:ascii="Times New Roman" w:hAnsi="宋体"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ascii="Times New Roman" w:hAnsi="宋体" w:eastAsia="宋体" w:cs="Times New Roman"/>
                <w:color w:val="auto"/>
                <w:sz w:val="24"/>
                <w:szCs w:val="24"/>
              </w:rPr>
              <w:t>《</w:t>
            </w:r>
            <w:r>
              <w:rPr>
                <w:rFonts w:hint="eastAsia" w:ascii="Times New Roman" w:hAnsi="Times New Roman" w:eastAsia="宋体" w:cs="Times New Roman"/>
                <w:color w:val="auto"/>
                <w:sz w:val="24"/>
                <w:szCs w:val="24"/>
              </w:rPr>
              <w:t>建设项目环境影响报告表编制技术指南 （污染影响类）（试行）</w:t>
            </w:r>
            <w:r>
              <w:rPr>
                <w:rFonts w:ascii="Times New Roman" w:hAnsi="宋体" w:eastAsia="宋体" w:cs="Times New Roman"/>
                <w:color w:val="auto"/>
                <w:sz w:val="24"/>
                <w:szCs w:val="24"/>
              </w:rPr>
              <w:t>》结合</w:t>
            </w:r>
            <w:r>
              <w:rPr>
                <w:rFonts w:hint="eastAsia" w:ascii="Times New Roman" w:hAnsi="宋体" w:eastAsia="宋体" w:cs="Times New Roman"/>
                <w:color w:val="auto"/>
                <w:sz w:val="24"/>
                <w:szCs w:val="24"/>
              </w:rPr>
              <w:t>全年</w:t>
            </w:r>
            <w:r>
              <w:rPr>
                <w:rFonts w:ascii="Times New Roman" w:hAnsi="宋体" w:eastAsia="宋体" w:cs="Times New Roman"/>
                <w:color w:val="auto"/>
                <w:sz w:val="24"/>
                <w:szCs w:val="24"/>
              </w:rPr>
              <w:t>的主导风向及污染源分布特点，并考虑环境敏感分布情况，布设</w:t>
            </w:r>
            <w:r>
              <w:rPr>
                <w:rFonts w:hint="eastAsia" w:ascii="Times New Roman" w:hAnsi="宋体" w:eastAsia="宋体" w:cs="Times New Roman"/>
                <w:color w:val="auto"/>
                <w:sz w:val="24"/>
                <w:szCs w:val="24"/>
                <w:lang w:val="en-US" w:eastAsia="zh-CN"/>
              </w:rPr>
              <w:t>2</w:t>
            </w:r>
            <w:r>
              <w:rPr>
                <w:rFonts w:hint="eastAsia" w:ascii="Times New Roman" w:hAnsi="宋体" w:eastAsia="宋体" w:cs="Times New Roman"/>
                <w:color w:val="auto"/>
                <w:sz w:val="24"/>
                <w:szCs w:val="24"/>
              </w:rPr>
              <w:t>个</w:t>
            </w:r>
            <w:r>
              <w:rPr>
                <w:rFonts w:ascii="Times New Roman" w:hAnsi="宋体" w:eastAsia="宋体" w:cs="Times New Roman"/>
                <w:color w:val="auto"/>
                <w:sz w:val="24"/>
                <w:szCs w:val="24"/>
              </w:rPr>
              <w:t>监测点</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1#</w:t>
            </w:r>
            <w:r>
              <w:rPr>
                <w:rFonts w:hint="eastAsia" w:ascii="Times New Roman" w:hAnsi="宋体" w:eastAsia="宋体" w:cs="Times New Roman"/>
                <w:color w:val="auto"/>
                <w:sz w:val="24"/>
                <w:szCs w:val="24"/>
              </w:rPr>
              <w:t>项目地</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2#</w:t>
            </w:r>
            <w:r>
              <w:rPr>
                <w:rFonts w:hint="eastAsia" w:ascii="Times New Roman" w:hAnsi="宋体" w:eastAsia="宋体" w:cs="Times New Roman"/>
                <w:color w:val="auto"/>
                <w:sz w:val="24"/>
                <w:szCs w:val="24"/>
                <w:lang w:eastAsia="zh-CN"/>
              </w:rPr>
              <w:t>当季主导风向下风向</w:t>
            </w:r>
            <w:r>
              <w:rPr>
                <w:rFonts w:hint="eastAsia" w:ascii="Times New Roman" w:hAnsi="宋体" w:eastAsia="宋体" w:cs="Times New Roman"/>
                <w:color w:val="auto"/>
                <w:sz w:val="24"/>
                <w:szCs w:val="24"/>
                <w:lang w:val="en-US" w:eastAsia="zh-CN"/>
              </w:rPr>
              <w:t>处</w:t>
            </w:r>
            <w:r>
              <w:rPr>
                <w:rFonts w:hint="eastAsia" w:ascii="Times New Roman" w:hAnsi="宋体" w:eastAsia="宋体" w:cs="Times New Roman"/>
                <w:color w:val="auto"/>
                <w:sz w:val="24"/>
                <w:szCs w:val="24"/>
                <w:lang w:eastAsia="zh-CN"/>
              </w:rPr>
              <w:t>。本项目所处区域全年主导风向为东北风。</w:t>
            </w:r>
          </w:p>
          <w:p>
            <w:pPr>
              <w:keepNext w:val="0"/>
              <w:keepLines w:val="0"/>
              <w:pageBreakBefore w:val="0"/>
              <w:kinsoku/>
              <w:wordWrap/>
              <w:overflowPunct/>
              <w:topLinePunct w:val="0"/>
              <w:autoSpaceDE/>
              <w:autoSpaceDN/>
              <w:bidi w:val="0"/>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ascii="Times New Roman" w:hAnsi="宋体" w:eastAsia="宋体" w:cs="Times New Roman"/>
                <w:color w:val="auto"/>
                <w:sz w:val="24"/>
                <w:szCs w:val="24"/>
              </w:rPr>
              <w:t>监测因子</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非甲烷总烃、甲醇、甲苯、臭气浓度。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ascii="Times New Roman" w:hAnsi="宋体" w:eastAsia="宋体" w:cs="Times New Roman"/>
                <w:color w:val="auto"/>
                <w:sz w:val="24"/>
                <w:szCs w:val="24"/>
              </w:rPr>
            </w:pPr>
            <w:r>
              <w:rPr>
                <w:rFonts w:hint="eastAsia" w:ascii="Times New Roman" w:hAnsi="宋体" w:eastAsia="宋体" w:cs="Times New Roman"/>
                <w:color w:val="auto"/>
                <w:sz w:val="24"/>
                <w:szCs w:val="24"/>
                <w:lang w:val="en-US" w:eastAsia="zh-CN"/>
              </w:rPr>
              <w:t>（3）</w:t>
            </w:r>
            <w:r>
              <w:rPr>
                <w:rFonts w:ascii="Times New Roman" w:hAnsi="宋体" w:eastAsia="宋体" w:cs="Times New Roman"/>
                <w:color w:val="auto"/>
                <w:sz w:val="24"/>
                <w:szCs w:val="24"/>
              </w:rPr>
              <w:t>监测时段及频率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lang w:eastAsia="zh-CN"/>
              </w:rPr>
              <w:t>24小时平均浓度：甲醇。</w:t>
            </w:r>
            <w:r>
              <w:rPr>
                <w:rFonts w:hint="eastAsia" w:ascii="Times New Roman" w:hAnsi="Times New Roman" w:eastAsia="宋体" w:cs="Times New Roman"/>
                <w:color w:val="auto"/>
                <w:sz w:val="24"/>
                <w:szCs w:val="24"/>
              </w:rPr>
              <w:t>监测24小时平均浓度，每日至少应有24小时的采样时间。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1小时平均浓度：非甲烷总烃、甲醇、甲苯。每天采样4次，采样时间为 02:00、08:00、14:00、20:00，每小时至少有45分钟的采样时间。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臭气浓度：一次值（无量纲）。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监测期间同时记录风向、风速、气温、气压等常规气象要素。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连续</w:t>
            </w:r>
            <w:r>
              <w:rPr>
                <w:rFonts w:hint="eastAsia" w:ascii="Times New Roman" w:hAnsi="Times New Roman" w:eastAsia="宋体" w:cs="Times New Roman"/>
                <w:color w:val="auto"/>
                <w:sz w:val="24"/>
                <w:szCs w:val="24"/>
                <w:highlight w:val="none"/>
              </w:rPr>
              <w:t>监测</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rPr>
              <w:t>天。采样时同时观测记录风向、风速、气温、气压等气象参数。</w:t>
            </w:r>
          </w:p>
          <w:p>
            <w:pPr>
              <w:keepNext w:val="0"/>
              <w:keepLines w:val="0"/>
              <w:pageBreakBefore w:val="0"/>
              <w:widowControl w:val="0"/>
              <w:tabs>
                <w:tab w:val="left" w:pos="2422"/>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宋体" w:eastAsia="宋体" w:cs="Times New Roman"/>
                <w:color w:val="auto"/>
                <w:sz w:val="24"/>
                <w:szCs w:val="24"/>
                <w:highlight w:val="none"/>
                <w:lang w:val="en-US" w:eastAsia="zh-CN"/>
              </w:rPr>
              <w:t>（4）</w:t>
            </w:r>
            <w:r>
              <w:rPr>
                <w:rFonts w:ascii="Times New Roman" w:hAnsi="宋体" w:eastAsia="宋体" w:cs="Times New Roman"/>
                <w:color w:val="auto"/>
                <w:sz w:val="24"/>
                <w:szCs w:val="24"/>
                <w:highlight w:val="none"/>
              </w:rPr>
              <w:t>监测方法</w:t>
            </w:r>
            <w:r>
              <w:rPr>
                <w:rFonts w:hint="eastAsia" w:ascii="Times New Roman" w:hAnsi="宋体" w:eastAsia="宋体" w:cs="Times New Roman"/>
                <w:color w:val="auto"/>
                <w:sz w:val="24"/>
                <w:szCs w:val="24"/>
                <w:highlight w:val="none"/>
                <w:lang w:eastAsia="zh-CN"/>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宋体" w:eastAsia="宋体" w:cs="Times New Roman"/>
                <w:color w:val="auto"/>
                <w:sz w:val="24"/>
                <w:szCs w:val="24"/>
                <w:highlight w:val="none"/>
              </w:rPr>
            </w:pPr>
            <w:r>
              <w:rPr>
                <w:rFonts w:ascii="Times New Roman" w:hAnsi="宋体" w:eastAsia="宋体" w:cs="Times New Roman"/>
                <w:color w:val="auto"/>
                <w:sz w:val="24"/>
                <w:szCs w:val="24"/>
                <w:highlight w:val="none"/>
              </w:rPr>
              <w:t>按照《环境空气质量标准》（</w:t>
            </w:r>
            <w:r>
              <w:rPr>
                <w:rFonts w:ascii="Times New Roman" w:hAnsi="Times New Roman" w:eastAsia="宋体" w:cs="Times New Roman"/>
                <w:color w:val="auto"/>
                <w:sz w:val="24"/>
                <w:szCs w:val="24"/>
                <w:highlight w:val="none"/>
              </w:rPr>
              <w:t>GB3095</w:t>
            </w:r>
            <w:r>
              <w:rPr>
                <w:rFonts w:ascii="Times New Roman" w:hAnsi="宋体"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2012</w:t>
            </w:r>
            <w:r>
              <w:rPr>
                <w:rFonts w:ascii="Times New Roman" w:hAnsi="宋体" w:eastAsia="宋体" w:cs="Times New Roman"/>
                <w:color w:val="auto"/>
                <w:sz w:val="24"/>
                <w:szCs w:val="24"/>
                <w:highlight w:val="none"/>
              </w:rPr>
              <w:t>）及相应的方法要求进行；采样及分析方法按照《环境监测技术规范》、《空气和废气监测分析方法》进行，</w:t>
            </w:r>
            <w:r>
              <w:rPr>
                <w:rFonts w:ascii="Times New Roman" w:hAnsi="Times New Roman" w:eastAsia="宋体" w:cs="Times New Roman"/>
                <w:color w:val="auto"/>
                <w:sz w:val="24"/>
                <w:szCs w:val="24"/>
                <w:highlight w:val="none"/>
              </w:rPr>
              <w:t>并在监测报告中给出各监</w:t>
            </w:r>
            <w:r>
              <w:rPr>
                <w:rFonts w:ascii="Times New Roman" w:hAnsi="宋体" w:eastAsia="宋体" w:cs="Times New Roman"/>
                <w:color w:val="auto"/>
                <w:sz w:val="24"/>
                <w:szCs w:val="24"/>
                <w:highlight w:val="none"/>
              </w:rPr>
              <w:t>测因子分析方法和检出限。</w:t>
            </w:r>
          </w:p>
          <w:p>
            <w:pPr>
              <w:ind w:firstLine="482" w:firstLineChars="200"/>
              <w:jc w:val="center"/>
              <w:rPr>
                <w:b/>
                <w:color w:val="auto"/>
                <w:sz w:val="24"/>
                <w:szCs w:val="24"/>
                <w:highlight w:val="none"/>
              </w:rPr>
            </w:pPr>
            <w:r>
              <w:rPr>
                <w:b/>
                <w:color w:val="auto"/>
                <w:sz w:val="24"/>
                <w:szCs w:val="24"/>
                <w:highlight w:val="none"/>
              </w:rPr>
              <w:t>表</w:t>
            </w:r>
            <w:r>
              <w:rPr>
                <w:rFonts w:hint="eastAsia"/>
                <w:b/>
                <w:color w:val="auto"/>
                <w:sz w:val="24"/>
                <w:szCs w:val="24"/>
                <w:highlight w:val="none"/>
                <w:lang w:val="en-US" w:eastAsia="zh-CN"/>
              </w:rPr>
              <w:t>3</w:t>
            </w:r>
            <w:r>
              <w:rPr>
                <w:b/>
                <w:color w:val="auto"/>
                <w:sz w:val="24"/>
                <w:szCs w:val="24"/>
                <w:highlight w:val="none"/>
              </w:rPr>
              <w:t xml:space="preserve">-2  </w:t>
            </w:r>
            <w:r>
              <w:rPr>
                <w:b/>
                <w:color w:val="auto"/>
                <w:sz w:val="24"/>
                <w:szCs w:val="24"/>
                <w:highlight w:val="none"/>
                <w:lang w:val="en-US" w:eastAsia="zh-CN"/>
              </w:rPr>
              <w:t>特征污染物监测点位基本信息</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685"/>
              <w:gridCol w:w="1615"/>
              <w:gridCol w:w="1096"/>
              <w:gridCol w:w="923"/>
              <w:gridCol w:w="773"/>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36" w:type="pct"/>
                  <w:vMerge w:val="restar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 xml:space="preserve">监测点名称 </w:t>
                  </w:r>
                </w:p>
              </w:tc>
              <w:tc>
                <w:tcPr>
                  <w:tcW w:w="1962" w:type="pct"/>
                  <w:gridSpan w:val="2"/>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监测点坐标</w:t>
                  </w:r>
                  <w:r>
                    <w:rPr>
                      <w:rFonts w:hint="default" w:ascii="Times New Roman" w:hAnsi="Times New Roman"/>
                      <w:b/>
                      <w:bCs/>
                      <w:color w:val="auto"/>
                      <w:sz w:val="21"/>
                      <w:szCs w:val="21"/>
                      <w:highlight w:val="none"/>
                      <w:lang w:val="en-US" w:eastAsia="zh-CN"/>
                    </w:rPr>
                    <w:t xml:space="preserve"> </w:t>
                  </w:r>
                </w:p>
              </w:tc>
              <w:tc>
                <w:tcPr>
                  <w:tcW w:w="651" w:type="pct"/>
                  <w:vMerge w:val="restar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pacing w:val="-20"/>
                      <w:sz w:val="21"/>
                      <w:szCs w:val="21"/>
                      <w:highlight w:val="none"/>
                    </w:rPr>
                  </w:pPr>
                  <w:r>
                    <w:rPr>
                      <w:rFonts w:hint="eastAsia" w:ascii="Times New Roman" w:hAnsi="Times New Roman"/>
                      <w:b/>
                      <w:bCs/>
                      <w:color w:val="auto"/>
                      <w:spacing w:val="-20"/>
                      <w:sz w:val="21"/>
                      <w:szCs w:val="21"/>
                      <w:highlight w:val="none"/>
                      <w:lang w:val="en-US" w:eastAsia="zh-CN"/>
                    </w:rPr>
                    <w:t xml:space="preserve">监测因子 </w:t>
                  </w:r>
                </w:p>
              </w:tc>
              <w:tc>
                <w:tcPr>
                  <w:tcW w:w="549" w:type="pct"/>
                  <w:vMerge w:val="restar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 xml:space="preserve">监测时段 </w:t>
                  </w:r>
                </w:p>
              </w:tc>
              <w:tc>
                <w:tcPr>
                  <w:tcW w:w="459" w:type="pct"/>
                  <w:vMerge w:val="restar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相对厂址方位</w:t>
                  </w:r>
                </w:p>
              </w:tc>
              <w:tc>
                <w:tcPr>
                  <w:tcW w:w="539" w:type="pct"/>
                  <w:vMerge w:val="restar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相对厂界距离</w:t>
                  </w:r>
                  <w:r>
                    <w:rPr>
                      <w:rFonts w:hint="default" w:ascii="Times New Roman" w:hAnsi="Times New Roman"/>
                      <w:b/>
                      <w:bCs/>
                      <w:color w:val="auto"/>
                      <w:sz w:val="21"/>
                      <w:szCs w:val="21"/>
                      <w:highlight w:val="none"/>
                      <w:lang w:val="en-US" w:eastAsia="zh-CN"/>
                    </w:rPr>
                    <w:t xml:space="preserv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6" w:type="pct"/>
                  <w:vMerge w:val="continue"/>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b/>
                      <w:bCs/>
                      <w:color w:val="auto"/>
                      <w:sz w:val="21"/>
                      <w:szCs w:val="21"/>
                      <w:highlight w:val="none"/>
                      <w:lang w:val="en-US" w:eastAsia="zh-CN"/>
                    </w:rPr>
                  </w:pPr>
                </w:p>
              </w:tc>
              <w:tc>
                <w:tcPr>
                  <w:tcW w:w="1002" w:type="pc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经度</w:t>
                  </w:r>
                </w:p>
              </w:tc>
              <w:tc>
                <w:tcPr>
                  <w:tcW w:w="960" w:type="pc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b/>
                      <w:bCs/>
                      <w:color w:val="auto"/>
                      <w:spacing w:val="-20"/>
                      <w:sz w:val="21"/>
                      <w:szCs w:val="21"/>
                      <w:highlight w:val="none"/>
                      <w:lang w:val="en-US" w:eastAsia="zh-CN"/>
                    </w:rPr>
                  </w:pPr>
                  <w:r>
                    <w:rPr>
                      <w:rFonts w:hint="eastAsia" w:ascii="Times New Roman" w:hAnsi="Times New Roman"/>
                      <w:b/>
                      <w:bCs/>
                      <w:color w:val="auto"/>
                      <w:spacing w:val="-20"/>
                      <w:sz w:val="21"/>
                      <w:szCs w:val="21"/>
                      <w:highlight w:val="none"/>
                      <w:lang w:val="en-US" w:eastAsia="zh-CN"/>
                    </w:rPr>
                    <w:t>纬度</w:t>
                  </w:r>
                </w:p>
              </w:tc>
              <w:tc>
                <w:tcPr>
                  <w:tcW w:w="651" w:type="pct"/>
                  <w:vMerge w:val="continue"/>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pacing w:val="-20"/>
                      <w:sz w:val="21"/>
                      <w:szCs w:val="21"/>
                      <w:highlight w:val="none"/>
                    </w:rPr>
                  </w:pPr>
                </w:p>
              </w:tc>
              <w:tc>
                <w:tcPr>
                  <w:tcW w:w="549" w:type="pct"/>
                  <w:vMerge w:val="continue"/>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p>
              </w:tc>
              <w:tc>
                <w:tcPr>
                  <w:tcW w:w="459" w:type="pct"/>
                  <w:vMerge w:val="continue"/>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p>
              </w:tc>
              <w:tc>
                <w:tcPr>
                  <w:tcW w:w="539" w:type="pct"/>
                  <w:vMerge w:val="continue"/>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pct"/>
                  <w:noWrap w:val="0"/>
                  <w:vAlign w:val="center"/>
                </w:tcPr>
                <w:p>
                  <w:pPr>
                    <w:pStyle w:val="94"/>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left"/>
                    <w:textAlignment w:val="auto"/>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危废暂存间（1#项目地厂区）</w:t>
                  </w:r>
                </w:p>
              </w:tc>
              <w:tc>
                <w:tcPr>
                  <w:tcW w:w="1002" w:type="pct"/>
                  <w:noWrap w:val="0"/>
                  <w:vAlign w:val="center"/>
                </w:tcPr>
                <w:p>
                  <w:pPr>
                    <w:keepNext w:val="0"/>
                    <w:keepLines w:val="0"/>
                    <w:widowControl/>
                    <w:suppressLineNumbers w:val="0"/>
                    <w:jc w:val="left"/>
                    <w:textAlignment w:val="center"/>
                    <w:rPr>
                      <w:rFonts w:ascii="Times New Roman" w:hAnsi="Times New Roman"/>
                      <w:color w:val="auto"/>
                      <w:sz w:val="21"/>
                      <w:szCs w:val="21"/>
                      <w:highlight w:val="none"/>
                    </w:rPr>
                  </w:pPr>
                  <w:r>
                    <w:rPr>
                      <w:rFonts w:hint="default" w:ascii="Times New Roman" w:hAnsi="Times New Roman"/>
                      <w:color w:val="auto"/>
                      <w:sz w:val="21"/>
                      <w:szCs w:val="21"/>
                      <w:highlight w:val="none"/>
                      <w:lang w:val="en-US" w:eastAsia="zh-CN"/>
                    </w:rPr>
                    <w:t>109</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25</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16.871</w:t>
                  </w:r>
                  <w:r>
                    <w:rPr>
                      <w:rFonts w:hint="eastAsia" w:ascii="Times New Roman" w:hAnsi="Times New Roman"/>
                      <w:color w:val="auto"/>
                      <w:sz w:val="21"/>
                      <w:szCs w:val="21"/>
                      <w:highlight w:val="none"/>
                    </w:rPr>
                    <w:t>"</w:t>
                  </w:r>
                </w:p>
              </w:tc>
              <w:tc>
                <w:tcPr>
                  <w:tcW w:w="960" w:type="pct"/>
                  <w:noWrap w:val="0"/>
                  <w:vAlign w:val="center"/>
                </w:tcPr>
                <w:p>
                  <w:pPr>
                    <w:keepNext w:val="0"/>
                    <w:keepLines w:val="0"/>
                    <w:widowControl/>
                    <w:suppressLineNumbers w:val="0"/>
                    <w:jc w:val="left"/>
                    <w:textAlignment w:val="center"/>
                    <w:rPr>
                      <w:color w:val="auto"/>
                      <w:sz w:val="21"/>
                      <w:szCs w:val="21"/>
                      <w:highlight w:val="none"/>
                    </w:rPr>
                  </w:pPr>
                  <w:r>
                    <w:rPr>
                      <w:rFonts w:hint="eastAsia"/>
                      <w:color w:val="auto"/>
                      <w:sz w:val="21"/>
                      <w:szCs w:val="21"/>
                      <w:highlight w:val="none"/>
                      <w:lang w:val="en-US" w:eastAsia="zh-CN"/>
                    </w:rPr>
                    <w:t>3</w:t>
                  </w:r>
                  <w:r>
                    <w:rPr>
                      <w:rFonts w:hint="default" w:ascii="Times New Roman" w:hAnsi="Times New Roman"/>
                      <w:color w:val="auto"/>
                      <w:sz w:val="21"/>
                      <w:szCs w:val="21"/>
                      <w:highlight w:val="none"/>
                      <w:lang w:val="en-US" w:eastAsia="zh-CN"/>
                    </w:rPr>
                    <w:t>4</w:t>
                  </w:r>
                  <w:r>
                    <w:rPr>
                      <w:rFonts w:hint="eastAsia"/>
                      <w:color w:val="auto"/>
                      <w:sz w:val="21"/>
                      <w:szCs w:val="21"/>
                      <w:highlight w:val="none"/>
                    </w:rPr>
                    <w:t>°</w:t>
                  </w:r>
                  <w:r>
                    <w:rPr>
                      <w:rFonts w:hint="default" w:ascii="Times New Roman" w:hAnsi="Times New Roman"/>
                      <w:color w:val="auto"/>
                      <w:sz w:val="21"/>
                      <w:szCs w:val="21"/>
                      <w:highlight w:val="none"/>
                      <w:lang w:val="en-US" w:eastAsia="zh-CN"/>
                    </w:rPr>
                    <w:t>29</w:t>
                  </w:r>
                  <w:r>
                    <w:rPr>
                      <w:rFonts w:hint="default" w:ascii="Times New Roman" w:hAnsi="Times New Roman"/>
                      <w:color w:val="auto"/>
                      <w:sz w:val="21"/>
                      <w:szCs w:val="21"/>
                      <w:highlight w:val="none"/>
                    </w:rPr>
                    <w:t xml:space="preserve"> </w:t>
                  </w:r>
                  <w:r>
                    <w:rPr>
                      <w:rFonts w:hint="eastAsia"/>
                      <w:color w:val="auto"/>
                      <w:sz w:val="21"/>
                      <w:szCs w:val="21"/>
                      <w:highlight w:val="none"/>
                    </w:rPr>
                    <w:t>'</w:t>
                  </w:r>
                  <w:r>
                    <w:rPr>
                      <w:rFonts w:hint="eastAsia" w:ascii="Times New Roman" w:hAnsi="Times New Roman"/>
                      <w:color w:val="auto"/>
                      <w:sz w:val="21"/>
                      <w:szCs w:val="21"/>
                      <w:highlight w:val="none"/>
                      <w:lang w:val="en-US" w:eastAsia="zh-CN"/>
                    </w:rPr>
                    <w:t>37.870</w:t>
                  </w:r>
                  <w:r>
                    <w:rPr>
                      <w:rFonts w:hint="eastAsia"/>
                      <w:color w:val="auto"/>
                      <w:sz w:val="21"/>
                      <w:szCs w:val="21"/>
                      <w:highlight w:val="none"/>
                    </w:rPr>
                    <w:t>"</w:t>
                  </w:r>
                </w:p>
              </w:tc>
              <w:tc>
                <w:tcPr>
                  <w:tcW w:w="651" w:type="pct"/>
                  <w:vMerge w:val="restart"/>
                  <w:noWrap w:val="0"/>
                  <w:vAlign w:val="center"/>
                </w:tcPr>
                <w:p>
                  <w:pPr>
                    <w:widowControl/>
                    <w:jc w:val="center"/>
                    <w:textAlignment w:val="bottom"/>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非甲烷总烃、甲醇、甲苯、臭气浓度</w:t>
                  </w:r>
                </w:p>
              </w:tc>
              <w:tc>
                <w:tcPr>
                  <w:tcW w:w="549" w:type="pct"/>
                  <w:vMerge w:val="restart"/>
                  <w:noWrap w:val="0"/>
                  <w:vAlign w:val="center"/>
                </w:tcPr>
                <w:p>
                  <w:pPr>
                    <w:widowControl/>
                    <w:jc w:val="center"/>
                    <w:textAlignment w:val="bottom"/>
                    <w:rPr>
                      <w:color w:val="auto"/>
                      <w:sz w:val="21"/>
                      <w:szCs w:val="21"/>
                      <w:highlight w:val="none"/>
                    </w:rPr>
                  </w:pPr>
                  <w:r>
                    <w:rPr>
                      <w:rFonts w:hint="eastAsia"/>
                      <w:color w:val="auto"/>
                      <w:sz w:val="21"/>
                      <w:szCs w:val="21"/>
                      <w:highlight w:val="none"/>
                      <w:lang w:val="en-US" w:eastAsia="zh-CN"/>
                    </w:rPr>
                    <w:t>2023年3月1日至2023年3月3日</w:t>
                  </w:r>
                </w:p>
              </w:tc>
              <w:tc>
                <w:tcPr>
                  <w:tcW w:w="459" w:type="pct"/>
                  <w:noWrap w:val="0"/>
                  <w:vAlign w:val="center"/>
                </w:tcPr>
                <w:p>
                  <w:pPr>
                    <w:widowControl/>
                    <w:jc w:val="center"/>
                    <w:textAlignment w:val="bottom"/>
                    <w:rPr>
                      <w:rFonts w:hint="eastAsia" w:eastAsia="宋体"/>
                      <w:color w:val="auto"/>
                      <w:sz w:val="21"/>
                      <w:szCs w:val="21"/>
                      <w:highlight w:val="none"/>
                      <w:lang w:val="en-US" w:eastAsia="zh-CN"/>
                    </w:rPr>
                  </w:pPr>
                  <w:r>
                    <w:rPr>
                      <w:rFonts w:hint="eastAsia"/>
                      <w:color w:val="auto"/>
                      <w:sz w:val="21"/>
                      <w:szCs w:val="21"/>
                      <w:highlight w:val="none"/>
                      <w:lang w:val="en-US" w:eastAsia="zh-CN"/>
                    </w:rPr>
                    <w:t>厂区</w:t>
                  </w:r>
                </w:p>
              </w:tc>
              <w:tc>
                <w:tcPr>
                  <w:tcW w:w="539" w:type="pct"/>
                  <w:noWrap w:val="0"/>
                  <w:vAlign w:val="center"/>
                </w:tcPr>
                <w:p>
                  <w:pPr>
                    <w:widowControl/>
                    <w:jc w:val="center"/>
                    <w:textAlignment w:val="bottom"/>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6"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Cs w:val="21"/>
                      <w:highlight w:val="none"/>
                      <w:vertAlign w:val="baseline"/>
                      <w:lang w:val="en-US" w:eastAsia="zh-CN"/>
                    </w:rPr>
                  </w:pPr>
                  <w:r>
                    <w:rPr>
                      <w:rFonts w:hint="eastAsia"/>
                      <w:b w:val="0"/>
                      <w:bCs w:val="0"/>
                      <w:color w:val="auto"/>
                      <w:sz w:val="21"/>
                      <w:szCs w:val="21"/>
                      <w:highlight w:val="none"/>
                      <w:lang w:val="en-US" w:eastAsia="zh-CN"/>
                    </w:rPr>
                    <w:t>小闵村（</w:t>
                  </w:r>
                  <w:r>
                    <w:rPr>
                      <w:rFonts w:hint="default" w:ascii="Times New Roman" w:hAnsi="Times New Roman" w:eastAsia="宋体" w:cs="Times New Roman"/>
                      <w:color w:val="auto"/>
                      <w:szCs w:val="21"/>
                      <w:highlight w:val="none"/>
                      <w:vertAlign w:val="baseline"/>
                      <w:lang w:val="en-US" w:eastAsia="zh-CN"/>
                    </w:rPr>
                    <w:t>2#</w:t>
                  </w:r>
                </w:p>
                <w:p>
                  <w:pPr>
                    <w:spacing w:line="340" w:lineRule="exact"/>
                    <w:ind w:left="-120" w:leftChars="-57" w:right="-48" w:rightChars="-23"/>
                    <w:jc w:val="left"/>
                    <w:rPr>
                      <w:b w:val="0"/>
                      <w:bCs w:val="0"/>
                      <w:color w:val="auto"/>
                      <w:sz w:val="21"/>
                      <w:szCs w:val="21"/>
                      <w:highlight w:val="none"/>
                    </w:rPr>
                  </w:pPr>
                  <w:r>
                    <w:rPr>
                      <w:rFonts w:hint="default" w:ascii="Times New Roman" w:hAnsi="Times New Roman" w:eastAsia="宋体" w:cs="Times New Roman"/>
                      <w:color w:val="auto"/>
                      <w:szCs w:val="21"/>
                      <w:highlight w:val="none"/>
                      <w:vertAlign w:val="baseline"/>
                      <w:lang w:val="en-US" w:eastAsia="zh-CN"/>
                    </w:rPr>
                    <w:t>主导风向下风向</w:t>
                  </w:r>
                  <w:r>
                    <w:rPr>
                      <w:rFonts w:hint="eastAsia"/>
                      <w:b w:val="0"/>
                      <w:bCs w:val="0"/>
                      <w:color w:val="auto"/>
                      <w:sz w:val="21"/>
                      <w:szCs w:val="21"/>
                      <w:highlight w:val="none"/>
                      <w:lang w:val="en-US" w:eastAsia="zh-CN"/>
                    </w:rPr>
                    <w:t>）</w:t>
                  </w:r>
                </w:p>
              </w:tc>
              <w:tc>
                <w:tcPr>
                  <w:tcW w:w="1002" w:type="pct"/>
                  <w:noWrap w:val="0"/>
                  <w:vAlign w:val="center"/>
                </w:tcPr>
                <w:p>
                  <w:pPr>
                    <w:keepNext w:val="0"/>
                    <w:keepLines w:val="0"/>
                    <w:widowControl/>
                    <w:suppressLineNumbers w:val="0"/>
                    <w:jc w:val="left"/>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109°24'33.81</w:t>
                  </w:r>
                  <w:r>
                    <w:rPr>
                      <w:rFonts w:hint="eastAsia" w:ascii="Times New Roman" w:hAnsi="Times New Roman"/>
                      <w:color w:val="auto"/>
                      <w:sz w:val="21"/>
                      <w:szCs w:val="21"/>
                      <w:highlight w:val="none"/>
                      <w:lang w:val="en-US" w:eastAsia="zh-CN"/>
                    </w:rPr>
                    <w:t>2</w:t>
                  </w:r>
                  <w:r>
                    <w:rPr>
                      <w:rFonts w:hint="eastAsia" w:ascii="Times New Roman" w:hAnsi="Times New Roman"/>
                      <w:color w:val="auto"/>
                      <w:sz w:val="21"/>
                      <w:szCs w:val="21"/>
                      <w:highlight w:val="none"/>
                    </w:rPr>
                    <w:t>"</w:t>
                  </w:r>
                </w:p>
              </w:tc>
              <w:tc>
                <w:tcPr>
                  <w:tcW w:w="960" w:type="pct"/>
                  <w:noWrap w:val="0"/>
                  <w:vAlign w:val="center"/>
                </w:tcPr>
                <w:p>
                  <w:pPr>
                    <w:keepNext w:val="0"/>
                    <w:keepLines w:val="0"/>
                    <w:widowControl/>
                    <w:suppressLineNumbers w:val="0"/>
                    <w:jc w:val="left"/>
                    <w:textAlignment w:val="center"/>
                    <w:rPr>
                      <w:rFonts w:ascii="Times New Roman" w:hAnsi="Times New Roman"/>
                      <w:color w:val="auto"/>
                      <w:sz w:val="21"/>
                      <w:szCs w:val="21"/>
                      <w:highlight w:val="none"/>
                    </w:rPr>
                  </w:pPr>
                  <w:r>
                    <w:rPr>
                      <w:rFonts w:hint="eastAsia"/>
                      <w:color w:val="auto"/>
                      <w:sz w:val="21"/>
                      <w:szCs w:val="21"/>
                      <w:highlight w:val="none"/>
                    </w:rPr>
                    <w:t>34°29'28.16</w:t>
                  </w:r>
                  <w:r>
                    <w:rPr>
                      <w:rFonts w:hint="eastAsia"/>
                      <w:color w:val="auto"/>
                      <w:sz w:val="21"/>
                      <w:szCs w:val="21"/>
                      <w:highlight w:val="none"/>
                      <w:lang w:val="en-US" w:eastAsia="zh-CN"/>
                    </w:rPr>
                    <w:t>0</w:t>
                  </w:r>
                  <w:r>
                    <w:rPr>
                      <w:rFonts w:hint="eastAsia"/>
                      <w:color w:val="auto"/>
                      <w:sz w:val="21"/>
                      <w:szCs w:val="21"/>
                      <w:highlight w:val="none"/>
                    </w:rPr>
                    <w:t>"</w:t>
                  </w:r>
                </w:p>
              </w:tc>
              <w:tc>
                <w:tcPr>
                  <w:tcW w:w="651" w:type="pct"/>
                  <w:vMerge w:val="continue"/>
                  <w:noWrap w:val="0"/>
                  <w:vAlign w:val="center"/>
                </w:tcPr>
                <w:p>
                  <w:pPr>
                    <w:pStyle w:val="94"/>
                    <w:spacing w:line="340" w:lineRule="exact"/>
                    <w:jc w:val="center"/>
                    <w:rPr>
                      <w:rFonts w:hint="eastAsia" w:ascii="Times New Roman" w:hAnsi="Times New Roman"/>
                      <w:color w:val="auto"/>
                      <w:sz w:val="21"/>
                      <w:szCs w:val="21"/>
                      <w:highlight w:val="none"/>
                    </w:rPr>
                  </w:pPr>
                </w:p>
              </w:tc>
              <w:tc>
                <w:tcPr>
                  <w:tcW w:w="549" w:type="pct"/>
                  <w:vMerge w:val="continue"/>
                  <w:noWrap w:val="0"/>
                  <w:vAlign w:val="center"/>
                </w:tcPr>
                <w:p>
                  <w:pPr>
                    <w:pStyle w:val="94"/>
                    <w:spacing w:line="340" w:lineRule="exact"/>
                    <w:jc w:val="center"/>
                    <w:rPr>
                      <w:rFonts w:ascii="Times New Roman" w:hAnsi="Times New Roman"/>
                      <w:color w:val="auto"/>
                      <w:sz w:val="21"/>
                      <w:szCs w:val="21"/>
                      <w:highlight w:val="none"/>
                    </w:rPr>
                  </w:pPr>
                </w:p>
              </w:tc>
              <w:tc>
                <w:tcPr>
                  <w:tcW w:w="459" w:type="pct"/>
                  <w:noWrap w:val="0"/>
                  <w:vAlign w:val="center"/>
                </w:tcPr>
                <w:p>
                  <w:pPr>
                    <w:pStyle w:val="94"/>
                    <w:spacing w:line="3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SW</w:t>
                  </w:r>
                </w:p>
              </w:tc>
              <w:tc>
                <w:tcPr>
                  <w:tcW w:w="539" w:type="pct"/>
                  <w:noWrap w:val="0"/>
                  <w:vAlign w:val="center"/>
                </w:tcPr>
                <w:p>
                  <w:pPr>
                    <w:pStyle w:val="94"/>
                    <w:spacing w:line="3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970</w:t>
                  </w:r>
                </w:p>
              </w:tc>
            </w:tr>
          </w:tbl>
          <w:p>
            <w:pPr>
              <w:autoSpaceDN w:val="0"/>
              <w:spacing w:line="360" w:lineRule="auto"/>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5</w:t>
            </w:r>
            <w:r>
              <w:rPr>
                <w:rFonts w:hint="eastAsia"/>
                <w:color w:val="auto"/>
                <w:sz w:val="24"/>
                <w:szCs w:val="24"/>
                <w:highlight w:val="none"/>
                <w:lang w:eastAsia="zh-CN"/>
              </w:rPr>
              <w:t>）</w:t>
            </w:r>
            <w:r>
              <w:rPr>
                <w:color w:val="auto"/>
                <w:sz w:val="24"/>
                <w:szCs w:val="24"/>
                <w:highlight w:val="none"/>
              </w:rPr>
              <w:t>监测结果</w:t>
            </w:r>
          </w:p>
          <w:p>
            <w:pPr>
              <w:pStyle w:val="30"/>
              <w:jc w:val="center"/>
              <w:rPr>
                <w:b/>
                <w:bCs/>
                <w:color w:val="auto"/>
                <w:sz w:val="24"/>
                <w:szCs w:val="24"/>
                <w:highlight w:val="none"/>
              </w:rPr>
            </w:pPr>
          </w:p>
          <w:p>
            <w:pPr>
              <w:pStyle w:val="30"/>
              <w:jc w:val="center"/>
              <w:rPr>
                <w:b/>
                <w:bCs/>
                <w:color w:val="auto"/>
                <w:sz w:val="24"/>
                <w:szCs w:val="24"/>
                <w:highlight w:val="none"/>
              </w:rPr>
            </w:pPr>
          </w:p>
          <w:p>
            <w:pPr>
              <w:pStyle w:val="30"/>
              <w:jc w:val="center"/>
              <w:rPr>
                <w:b/>
                <w:bCs/>
                <w:color w:val="auto"/>
                <w:sz w:val="24"/>
                <w:szCs w:val="24"/>
                <w:highlight w:val="none"/>
              </w:rPr>
            </w:pPr>
          </w:p>
          <w:p>
            <w:pPr>
              <w:pStyle w:val="30"/>
              <w:jc w:val="center"/>
              <w:rPr>
                <w:b/>
                <w:bCs/>
                <w:color w:val="auto"/>
                <w:sz w:val="24"/>
                <w:szCs w:val="24"/>
                <w:highlight w:val="none"/>
              </w:rPr>
            </w:pPr>
          </w:p>
          <w:p>
            <w:pPr>
              <w:pStyle w:val="30"/>
              <w:jc w:val="center"/>
              <w:rPr>
                <w:rFonts w:hint="eastAsia" w:eastAsia="宋体"/>
                <w:color w:val="auto"/>
                <w:highlight w:val="none"/>
                <w:lang w:val="en-US" w:eastAsia="zh-CN"/>
              </w:rPr>
            </w:pPr>
            <w:r>
              <w:rPr>
                <w:b/>
                <w:bCs/>
                <w:color w:val="auto"/>
                <w:sz w:val="24"/>
                <w:szCs w:val="24"/>
                <w:highlight w:val="none"/>
              </w:rPr>
              <w:t xml:space="preserve">表3-3 </w:t>
            </w:r>
            <w:r>
              <w:rPr>
                <w:rFonts w:hint="eastAsia"/>
                <w:b/>
                <w:bCs/>
                <w:color w:val="auto"/>
                <w:sz w:val="24"/>
                <w:szCs w:val="24"/>
                <w:highlight w:val="none"/>
                <w:lang w:val="en-US" w:eastAsia="zh-CN"/>
              </w:rPr>
              <w:t xml:space="preserve"> </w:t>
            </w:r>
            <w:r>
              <w:rPr>
                <w:rFonts w:hint="eastAsia" w:ascii="Times New Roman" w:hAnsi="Times New Roman" w:cs="Times New Roman"/>
                <w:b/>
                <w:bCs/>
                <w:color w:val="auto"/>
                <w:sz w:val="24"/>
                <w:szCs w:val="24"/>
                <w:highlight w:val="none"/>
                <w:lang w:val="en-US" w:eastAsia="zh-CN"/>
              </w:rPr>
              <w:t>环境空气</w:t>
            </w:r>
            <w:r>
              <w:rPr>
                <w:rFonts w:hint="default" w:ascii="Times New Roman" w:hAnsi="Times New Roman" w:eastAsia="宋体" w:cs="Times New Roman"/>
                <w:b/>
                <w:bCs/>
                <w:color w:val="auto"/>
                <w:sz w:val="24"/>
                <w:szCs w:val="24"/>
                <w:highlight w:val="none"/>
              </w:rPr>
              <w:t>监测结果</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2023.3.1</w:t>
            </w:r>
            <w:r>
              <w:rPr>
                <w:rFonts w:hint="eastAsia" w:ascii="Times New Roman" w:hAnsi="Times New Roman" w:cs="Times New Roman"/>
                <w:b/>
                <w:bCs/>
                <w:color w:val="auto"/>
                <w:sz w:val="24"/>
                <w:szCs w:val="24"/>
                <w:highlight w:val="none"/>
                <w:lang w:eastAsia="zh-CN"/>
              </w:rPr>
              <w:t>）</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359"/>
              <w:gridCol w:w="1248"/>
              <w:gridCol w:w="950"/>
              <w:gridCol w:w="886"/>
              <w:gridCol w:w="1031"/>
              <w:gridCol w:w="1029"/>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highlight w:val="none"/>
                      <w:lang w:val="en-US" w:eastAsia="zh-CN"/>
                    </w:rPr>
                    <w:br w:type="page"/>
                  </w:r>
                  <w:r>
                    <w:rPr>
                      <w:rFonts w:hint="default" w:ascii="Times New Roman" w:hAnsi="Times New Roman" w:eastAsia="宋体" w:cs="Times New Roman"/>
                      <w:b/>
                      <w:bCs/>
                      <w:color w:val="auto"/>
                      <w:szCs w:val="21"/>
                      <w:highlight w:val="none"/>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点位</w:t>
                  </w:r>
                </w:p>
              </w:tc>
              <w:tc>
                <w:tcPr>
                  <w:tcW w:w="80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项目</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监测时段</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监测结果</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气温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vertAlign w:val="superscript"/>
                      <w:lang w:val="en-US" w:eastAsia="zh-CN"/>
                    </w:rPr>
                    <w:t>o</w:t>
                  </w:r>
                  <w:r>
                    <w:rPr>
                      <w:rFonts w:hint="default" w:ascii="Times New Roman" w:hAnsi="Times New Roman" w:eastAsia="宋体" w:cs="Times New Roman"/>
                      <w:b/>
                      <w:bCs/>
                      <w:color w:val="auto"/>
                      <w:sz w:val="21"/>
                      <w:szCs w:val="21"/>
                      <w:highlight w:val="none"/>
                      <w:vertAlign w:val="baseline"/>
                      <w:lang w:val="en-US" w:eastAsia="zh-CN"/>
                    </w:rPr>
                    <w:t>C）</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气压</w:t>
                  </w:r>
                  <w:r>
                    <w:rPr>
                      <w:rFonts w:hint="default" w:ascii="Times New Roman" w:hAnsi="Times New Roman" w:eastAsia="宋体" w:cs="Times New Roman"/>
                      <w:b/>
                      <w:bCs/>
                      <w:color w:val="auto"/>
                      <w:sz w:val="21"/>
                      <w:szCs w:val="21"/>
                      <w:highlight w:val="none"/>
                      <w:lang w:val="en-US" w:eastAsia="zh-CN"/>
                    </w:rPr>
                    <w:t>（kPa）</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风速</w:t>
                  </w:r>
                  <w:r>
                    <w:rPr>
                      <w:rFonts w:hint="default" w:ascii="Times New Roman" w:hAnsi="Times New Roman" w:eastAsia="宋体" w:cs="Times New Roman"/>
                      <w:b/>
                      <w:bCs/>
                      <w:color w:val="auto"/>
                      <w:sz w:val="21"/>
                      <w:szCs w:val="21"/>
                      <w:highlight w:val="none"/>
                      <w:lang w:val="en-US" w:eastAsia="zh-CN"/>
                    </w:rPr>
                    <w:t>（m/s）</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项目地</w:t>
                  </w:r>
                </w:p>
              </w:tc>
              <w:tc>
                <w:tcPr>
                  <w:tcW w:w="80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02:06-02:36</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0.0141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08:12-08:42</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0.0168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14:03-14:33</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0.0160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20:08-20:38</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0.0108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甲醇</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02:38</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08:56</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w:t>
                  </w:r>
                  <w:r>
                    <w:rPr>
                      <w:rFonts w:hint="eastAsia" w:ascii="Times New Roman" w:hAnsi="Times New Roman" w:cs="Times New Roman"/>
                      <w:color w:val="auto"/>
                      <w:szCs w:val="21"/>
                      <w:highlight w:val="none"/>
                      <w:vertAlign w:val="baseline"/>
                      <w:lang w:val="en-US" w:eastAsia="zh-CN"/>
                    </w:rPr>
                    <w:t>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14:42</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20:34</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甲醇日均值</w:t>
                  </w:r>
                </w:p>
              </w:tc>
              <w:tc>
                <w:tcPr>
                  <w:tcW w:w="3627"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02:01</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08:03</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14:08</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20:05</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0.49</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臭气浓度</w:t>
                  </w:r>
                  <w:r>
                    <w:rPr>
                      <w:rFonts w:hint="eastAsia" w:ascii="Times New Roman" w:hAnsi="Times New Roman" w:cs="Times New Roman"/>
                      <w:b w:val="0"/>
                      <w:bCs w:val="0"/>
                      <w:color w:val="auto"/>
                      <w:sz w:val="21"/>
                      <w:szCs w:val="21"/>
                      <w:highlight w:val="none"/>
                      <w:vertAlign w:val="baseline"/>
                      <w:lang w:val="en-US" w:eastAsia="zh-CN"/>
                    </w:rPr>
                    <w:t>（无量纲）</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14:02</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主导风向下风向</w:t>
                  </w:r>
                </w:p>
              </w:tc>
              <w:tc>
                <w:tcPr>
                  <w:tcW w:w="80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02:18-02:48</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0.0069</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08:21-08:51</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0.0092</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14:12-14:42</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0.0084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20:16-20:46</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0.0051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甲醇</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02:45</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09:07</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14:58</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20:42</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甲醇日均值</w:t>
                  </w:r>
                </w:p>
              </w:tc>
              <w:tc>
                <w:tcPr>
                  <w:tcW w:w="3627"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02:09</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0.46</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08:11</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14:17</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20:14</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臭气浓度</w:t>
                  </w:r>
                  <w:r>
                    <w:rPr>
                      <w:rFonts w:hint="eastAsia" w:ascii="Times New Roman" w:hAnsi="Times New Roman" w:cs="Times New Roman"/>
                      <w:b w:val="0"/>
                      <w:bCs w:val="0"/>
                      <w:color w:val="auto"/>
                      <w:sz w:val="21"/>
                      <w:szCs w:val="21"/>
                      <w:highlight w:val="none"/>
                      <w:vertAlign w:val="baseline"/>
                      <w:lang w:val="en-US" w:eastAsia="zh-CN"/>
                    </w:rPr>
                    <w:t>（无量纲）</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14:19</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bl>
          <w:p>
            <w:pPr>
              <w:pStyle w:val="30"/>
              <w:jc w:val="center"/>
              <w:rPr>
                <w:rFonts w:hint="eastAsia" w:eastAsia="宋体"/>
                <w:color w:val="auto"/>
                <w:highlight w:val="none"/>
                <w:lang w:val="en-US" w:eastAsia="zh-CN"/>
              </w:rPr>
            </w:pPr>
            <w:r>
              <w:rPr>
                <w:b/>
                <w:bCs/>
                <w:color w:val="auto"/>
                <w:sz w:val="24"/>
                <w:szCs w:val="24"/>
                <w:highlight w:val="none"/>
              </w:rPr>
              <w:t>表3-</w:t>
            </w:r>
            <w:r>
              <w:rPr>
                <w:rFonts w:hint="eastAsia"/>
                <w:b/>
                <w:bCs/>
                <w:color w:val="auto"/>
                <w:sz w:val="24"/>
                <w:szCs w:val="24"/>
                <w:highlight w:val="none"/>
                <w:lang w:val="en-US" w:eastAsia="zh-CN"/>
              </w:rPr>
              <w:t>4</w:t>
            </w:r>
            <w:r>
              <w:rPr>
                <w:b/>
                <w:bCs/>
                <w:color w:val="auto"/>
                <w:sz w:val="24"/>
                <w:szCs w:val="24"/>
                <w:highlight w:val="none"/>
              </w:rPr>
              <w:t xml:space="preserve"> </w:t>
            </w:r>
            <w:r>
              <w:rPr>
                <w:rFonts w:hint="eastAsia"/>
                <w:b/>
                <w:bCs/>
                <w:color w:val="auto"/>
                <w:sz w:val="24"/>
                <w:szCs w:val="24"/>
                <w:highlight w:val="none"/>
                <w:lang w:val="en-US" w:eastAsia="zh-CN"/>
              </w:rPr>
              <w:t xml:space="preserve"> </w:t>
            </w:r>
            <w:r>
              <w:rPr>
                <w:rFonts w:hint="eastAsia" w:ascii="Times New Roman" w:hAnsi="Times New Roman" w:cs="Times New Roman"/>
                <w:b/>
                <w:bCs/>
                <w:color w:val="auto"/>
                <w:sz w:val="24"/>
                <w:szCs w:val="24"/>
                <w:highlight w:val="none"/>
                <w:lang w:val="en-US" w:eastAsia="zh-CN"/>
              </w:rPr>
              <w:t>环境空气</w:t>
            </w:r>
            <w:r>
              <w:rPr>
                <w:rFonts w:hint="default" w:ascii="Times New Roman" w:hAnsi="Times New Roman" w:eastAsia="宋体" w:cs="Times New Roman"/>
                <w:b/>
                <w:bCs/>
                <w:color w:val="auto"/>
                <w:sz w:val="24"/>
                <w:szCs w:val="24"/>
                <w:highlight w:val="none"/>
              </w:rPr>
              <w:t>监测结果</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2023.3.2</w:t>
            </w:r>
            <w:r>
              <w:rPr>
                <w:rFonts w:hint="eastAsia" w:ascii="Times New Roman" w:hAnsi="Times New Roman" w:cs="Times New Roman"/>
                <w:b/>
                <w:bCs/>
                <w:color w:val="auto"/>
                <w:sz w:val="24"/>
                <w:szCs w:val="24"/>
                <w:highlight w:val="none"/>
                <w:lang w:eastAsia="zh-CN"/>
              </w:rPr>
              <w:t>）</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327"/>
              <w:gridCol w:w="1293"/>
              <w:gridCol w:w="960"/>
              <w:gridCol w:w="886"/>
              <w:gridCol w:w="1031"/>
              <w:gridCol w:w="1031"/>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highlight w:val="none"/>
                      <w:lang w:val="en-US" w:eastAsia="zh-CN"/>
                    </w:rPr>
                    <w:br w:type="page"/>
                  </w:r>
                  <w:r>
                    <w:rPr>
                      <w:rFonts w:hint="default" w:ascii="Times New Roman" w:hAnsi="Times New Roman" w:eastAsia="宋体" w:cs="Times New Roman"/>
                      <w:b/>
                      <w:bCs/>
                      <w:color w:val="auto"/>
                      <w:szCs w:val="21"/>
                      <w:highlight w:val="none"/>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点位</w:t>
                  </w:r>
                </w:p>
              </w:tc>
              <w:tc>
                <w:tcPr>
                  <w:tcW w:w="78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项目</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监测时段</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监测结果</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气温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vertAlign w:val="superscript"/>
                      <w:lang w:val="en-US" w:eastAsia="zh-CN"/>
                    </w:rPr>
                    <w:t>o</w:t>
                  </w:r>
                  <w:r>
                    <w:rPr>
                      <w:rFonts w:hint="default" w:ascii="Times New Roman" w:hAnsi="Times New Roman" w:eastAsia="宋体" w:cs="Times New Roman"/>
                      <w:b/>
                      <w:bCs/>
                      <w:color w:val="auto"/>
                      <w:sz w:val="21"/>
                      <w:szCs w:val="21"/>
                      <w:highlight w:val="none"/>
                      <w:vertAlign w:val="baseline"/>
                      <w:lang w:val="en-US" w:eastAsia="zh-CN"/>
                    </w:rPr>
                    <w:t>C）</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气压</w:t>
                  </w:r>
                  <w:r>
                    <w:rPr>
                      <w:rFonts w:hint="default" w:ascii="Times New Roman" w:hAnsi="Times New Roman" w:eastAsia="宋体" w:cs="Times New Roman"/>
                      <w:b/>
                      <w:bCs/>
                      <w:color w:val="auto"/>
                      <w:sz w:val="21"/>
                      <w:szCs w:val="21"/>
                      <w:highlight w:val="none"/>
                      <w:lang w:val="en-US" w:eastAsia="zh-CN"/>
                    </w:rPr>
                    <w:t>（kPa）</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风速</w:t>
                  </w:r>
                  <w:r>
                    <w:rPr>
                      <w:rFonts w:hint="default" w:ascii="Times New Roman" w:hAnsi="Times New Roman" w:eastAsia="宋体" w:cs="Times New Roman"/>
                      <w:b/>
                      <w:bCs/>
                      <w:color w:val="auto"/>
                      <w:sz w:val="21"/>
                      <w:szCs w:val="21"/>
                      <w:highlight w:val="none"/>
                      <w:lang w:val="en-US" w:eastAsia="zh-CN"/>
                    </w:rPr>
                    <w:t>（m/s）</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项目地</w:t>
                  </w:r>
                </w:p>
              </w:tc>
              <w:tc>
                <w:tcPr>
                  <w:tcW w:w="78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02:02-02:32</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0.0148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08:06-08:36</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0.0143</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14:08-14:38</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0.0162</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20:04-20:34</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0.0131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甲醇</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02:21</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08:25</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w:t>
                  </w:r>
                  <w:r>
                    <w:rPr>
                      <w:rFonts w:hint="eastAsia" w:ascii="Times New Roman" w:hAnsi="Times New Roman" w:cs="Times New Roman"/>
                      <w:color w:val="auto"/>
                      <w:szCs w:val="21"/>
                      <w:highlight w:val="none"/>
                      <w:vertAlign w:val="baseline"/>
                      <w:lang w:val="en-US" w:eastAsia="zh-CN"/>
                    </w:rPr>
                    <w:t>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14:26</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20:27</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w:t>
                  </w:r>
                  <w:r>
                    <w:rPr>
                      <w:rFonts w:hint="eastAsia" w:ascii="Times New Roman" w:hAnsi="Times New Roman" w:cs="Times New Roman"/>
                      <w:color w:val="auto"/>
                      <w:szCs w:val="21"/>
                      <w:highlight w:val="none"/>
                      <w:vertAlign w:val="baseline"/>
                      <w:lang w:val="en-US" w:eastAsia="zh-CN"/>
                    </w:rPr>
                    <w:t>9</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甲醇日均值</w:t>
                  </w:r>
                </w:p>
              </w:tc>
              <w:tc>
                <w:tcPr>
                  <w:tcW w:w="3661"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02:04</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08:02</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14:03</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20:06</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臭气浓度</w:t>
                  </w:r>
                  <w:r>
                    <w:rPr>
                      <w:rFonts w:hint="eastAsia" w:ascii="Times New Roman" w:hAnsi="Times New Roman" w:cs="Times New Roman"/>
                      <w:b w:val="0"/>
                      <w:bCs w:val="0"/>
                      <w:color w:val="auto"/>
                      <w:sz w:val="21"/>
                      <w:szCs w:val="21"/>
                      <w:highlight w:val="none"/>
                      <w:vertAlign w:val="baseline"/>
                      <w:lang w:val="en-US" w:eastAsia="zh-CN"/>
                    </w:rPr>
                    <w:t>|（无量纲）</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14:12</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主导风向下风向</w:t>
                  </w:r>
                </w:p>
              </w:tc>
              <w:tc>
                <w:tcPr>
                  <w:tcW w:w="78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02:14-02:44</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0.0104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08:15-08:15</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0.0095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14:17-14:47</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0.0137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20:12-20:42</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0.0065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甲醇</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02:38</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08:47</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14:49</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20:48</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甲醇日均值</w:t>
                  </w:r>
                </w:p>
              </w:tc>
              <w:tc>
                <w:tcPr>
                  <w:tcW w:w="3661"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02:15</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08:11</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14:12</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20:17</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0.53</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臭气浓度</w:t>
                  </w:r>
                  <w:r>
                    <w:rPr>
                      <w:rFonts w:hint="eastAsia" w:ascii="Times New Roman" w:hAnsi="Times New Roman" w:cs="Times New Roman"/>
                      <w:b w:val="0"/>
                      <w:bCs w:val="0"/>
                      <w:color w:val="auto"/>
                      <w:sz w:val="21"/>
                      <w:szCs w:val="21"/>
                      <w:highlight w:val="none"/>
                      <w:vertAlign w:val="baseline"/>
                      <w:lang w:val="en-US" w:eastAsia="zh-CN"/>
                    </w:rPr>
                    <w:t>（无量纲）</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14:17</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bl>
          <w:p>
            <w:pPr>
              <w:pStyle w:val="30"/>
              <w:jc w:val="center"/>
              <w:rPr>
                <w:rFonts w:hint="eastAsia" w:eastAsia="宋体"/>
                <w:color w:val="auto"/>
                <w:lang w:val="en-US" w:eastAsia="zh-CN"/>
              </w:rPr>
            </w:pPr>
            <w:r>
              <w:rPr>
                <w:b/>
                <w:bCs/>
                <w:color w:val="auto"/>
                <w:sz w:val="24"/>
                <w:szCs w:val="24"/>
                <w:highlight w:val="none"/>
              </w:rPr>
              <w:t>表3-</w:t>
            </w:r>
            <w:r>
              <w:rPr>
                <w:rFonts w:hint="eastAsia"/>
                <w:b/>
                <w:bCs/>
                <w:color w:val="auto"/>
                <w:sz w:val="24"/>
                <w:szCs w:val="24"/>
                <w:highlight w:val="none"/>
                <w:lang w:val="en-US" w:eastAsia="zh-CN"/>
              </w:rPr>
              <w:t>4</w:t>
            </w:r>
            <w:r>
              <w:rPr>
                <w:b/>
                <w:bCs/>
                <w:color w:val="auto"/>
                <w:sz w:val="24"/>
                <w:szCs w:val="24"/>
                <w:highlight w:val="none"/>
              </w:rPr>
              <w:t xml:space="preserve"> </w:t>
            </w:r>
            <w:r>
              <w:rPr>
                <w:rFonts w:hint="eastAsia"/>
                <w:b/>
                <w:bCs/>
                <w:color w:val="auto"/>
                <w:sz w:val="24"/>
                <w:szCs w:val="24"/>
                <w:highlight w:val="none"/>
                <w:lang w:val="en-US" w:eastAsia="zh-CN"/>
              </w:rPr>
              <w:t xml:space="preserve"> </w:t>
            </w:r>
            <w:r>
              <w:rPr>
                <w:rFonts w:hint="eastAsia" w:ascii="Times New Roman" w:hAnsi="Times New Roman" w:cs="Times New Roman"/>
                <w:b/>
                <w:bCs/>
                <w:color w:val="auto"/>
                <w:sz w:val="24"/>
                <w:szCs w:val="24"/>
                <w:highlight w:val="none"/>
                <w:lang w:val="en-US" w:eastAsia="zh-CN"/>
              </w:rPr>
              <w:t>环境空气</w:t>
            </w:r>
            <w:r>
              <w:rPr>
                <w:rFonts w:hint="default" w:ascii="Times New Roman" w:hAnsi="Times New Roman" w:eastAsia="宋体" w:cs="Times New Roman"/>
                <w:b/>
                <w:bCs/>
                <w:color w:val="auto"/>
                <w:sz w:val="24"/>
                <w:szCs w:val="24"/>
                <w:highlight w:val="none"/>
              </w:rPr>
              <w:t>监测结果</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2023.3.3</w:t>
            </w:r>
            <w:r>
              <w:rPr>
                <w:rFonts w:hint="eastAsia" w:ascii="Times New Roman" w:hAnsi="Times New Roman" w:cs="Times New Roman"/>
                <w:b/>
                <w:bCs/>
                <w:color w:val="auto"/>
                <w:sz w:val="24"/>
                <w:szCs w:val="24"/>
                <w:lang w:eastAsia="zh-CN"/>
              </w:rPr>
              <w:t>）</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342"/>
              <w:gridCol w:w="1265"/>
              <w:gridCol w:w="987"/>
              <w:gridCol w:w="886"/>
              <w:gridCol w:w="1031"/>
              <w:gridCol w:w="1031"/>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vertAlign w:val="baseline"/>
                      <w:lang w:val="en-US" w:eastAsia="zh-CN"/>
                    </w:rPr>
                  </w:pPr>
                  <w:r>
                    <w:rPr>
                      <w:rFonts w:hint="default" w:ascii="Times New Roman" w:hAnsi="Times New Roman" w:eastAsia="宋体" w:cs="Times New Roman"/>
                      <w:b/>
                      <w:bCs/>
                      <w:color w:val="auto"/>
                      <w:lang w:val="en-US" w:eastAsia="zh-CN"/>
                    </w:rPr>
                    <w:br w:type="page"/>
                  </w:r>
                  <w:r>
                    <w:rPr>
                      <w:rFonts w:hint="default" w:ascii="Times New Roman" w:hAnsi="Times New Roman" w:eastAsia="宋体" w:cs="Times New Roman"/>
                      <w:b/>
                      <w:bCs/>
                      <w:color w:val="auto"/>
                      <w:szCs w:val="21"/>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点位</w:t>
                  </w:r>
                </w:p>
              </w:tc>
              <w:tc>
                <w:tcPr>
                  <w:tcW w:w="79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项目</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监测时段</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监测结果</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气温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vertAlign w:val="superscript"/>
                      <w:lang w:val="en-US" w:eastAsia="zh-CN"/>
                    </w:rPr>
                    <w:t>o</w:t>
                  </w:r>
                  <w:r>
                    <w:rPr>
                      <w:rFonts w:hint="default" w:ascii="Times New Roman" w:hAnsi="Times New Roman" w:eastAsia="宋体" w:cs="Times New Roman"/>
                      <w:b/>
                      <w:bCs/>
                      <w:color w:val="auto"/>
                      <w:sz w:val="21"/>
                      <w:szCs w:val="21"/>
                      <w:vertAlign w:val="baseline"/>
                      <w:lang w:val="en-US" w:eastAsia="zh-CN"/>
                    </w:rPr>
                    <w:t>C）</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气压</w:t>
                  </w:r>
                  <w:r>
                    <w:rPr>
                      <w:rFonts w:hint="default" w:ascii="Times New Roman" w:hAnsi="Times New Roman" w:eastAsia="宋体" w:cs="Times New Roman"/>
                      <w:b/>
                      <w:bCs/>
                      <w:color w:val="auto"/>
                      <w:sz w:val="21"/>
                      <w:szCs w:val="21"/>
                      <w:lang w:val="en-US" w:eastAsia="zh-CN"/>
                    </w:rPr>
                    <w:t>（kPa）</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风速</w:t>
                  </w:r>
                  <w:r>
                    <w:rPr>
                      <w:rFonts w:hint="default" w:ascii="Times New Roman" w:hAnsi="Times New Roman" w:eastAsia="宋体" w:cs="Times New Roman"/>
                      <w:b/>
                      <w:bCs/>
                      <w:color w:val="auto"/>
                      <w:sz w:val="21"/>
                      <w:szCs w:val="21"/>
                      <w:lang w:val="en-US" w:eastAsia="zh-CN"/>
                    </w:rPr>
                    <w:t>（m/s）</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项目地</w:t>
                  </w:r>
                </w:p>
              </w:tc>
              <w:tc>
                <w:tcPr>
                  <w:tcW w:w="79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02:04-02:34</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0.0135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08:07-08:37</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0.0117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14:03-14:33</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0.0160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20:06-20:36</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0.0174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02:29</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9</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08:23</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14:18</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20:24</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甲醇日均值</w:t>
                  </w:r>
                </w:p>
              </w:tc>
              <w:tc>
                <w:tcPr>
                  <w:tcW w:w="3659"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02:07</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0.56</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08:02</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0.59</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14:04</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20:02</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Align w:val="top"/>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14:12</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主导风向下风向</w:t>
                  </w:r>
                </w:p>
              </w:tc>
              <w:tc>
                <w:tcPr>
                  <w:tcW w:w="79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02:11-02:41</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0.0087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08:15-08:45</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0.0102</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14:09-14:39</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0.0088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20:18-20:48</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0.0088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02:46</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08:49</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14:37</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20:52</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甲醇日均值</w:t>
                  </w:r>
                </w:p>
              </w:tc>
              <w:tc>
                <w:tcPr>
                  <w:tcW w:w="3659"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02:16</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08:09</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0.46</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14:13</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20:11</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0.44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14:19</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eastAsia"/>
                <w:color w:val="auto"/>
                <w:sz w:val="24"/>
                <w:szCs w:val="24"/>
                <w:highlight w:val="yellow"/>
                <w:lang w:eastAsia="zh-CN"/>
              </w:rPr>
            </w:pPr>
            <w:r>
              <w:rPr>
                <w:b/>
                <w:bCs/>
                <w:color w:val="auto"/>
                <w:sz w:val="24"/>
                <w:szCs w:val="24"/>
                <w:highlight w:val="none"/>
              </w:rPr>
              <w:t>表3-</w:t>
            </w:r>
            <w:r>
              <w:rPr>
                <w:rFonts w:hint="eastAsia"/>
                <w:b/>
                <w:bCs/>
                <w:color w:val="auto"/>
                <w:sz w:val="24"/>
                <w:szCs w:val="24"/>
                <w:highlight w:val="none"/>
                <w:lang w:val="en-US" w:eastAsia="zh-CN"/>
              </w:rPr>
              <w:t>5</w:t>
            </w:r>
            <w:r>
              <w:rPr>
                <w:b/>
                <w:bCs/>
                <w:color w:val="auto"/>
                <w:sz w:val="24"/>
                <w:szCs w:val="24"/>
                <w:highlight w:val="none"/>
              </w:rPr>
              <w:t xml:space="preserve"> </w:t>
            </w:r>
            <w:r>
              <w:rPr>
                <w:rFonts w:hint="eastAsia"/>
                <w:b/>
                <w:bCs/>
                <w:color w:val="auto"/>
                <w:sz w:val="24"/>
                <w:szCs w:val="24"/>
                <w:highlight w:val="none"/>
                <w:lang w:val="en-US" w:eastAsia="zh-CN"/>
              </w:rPr>
              <w:t xml:space="preserve"> </w:t>
            </w:r>
            <w:r>
              <w:rPr>
                <w:rFonts w:hint="eastAsia" w:ascii="Times New Roman" w:hAnsi="Times New Roman" w:cs="Times New Roman"/>
                <w:b/>
                <w:bCs/>
                <w:color w:val="auto"/>
                <w:sz w:val="24"/>
                <w:szCs w:val="24"/>
                <w:highlight w:val="none"/>
                <w:lang w:val="en-US" w:eastAsia="zh-CN"/>
              </w:rPr>
              <w:t>环境空气</w:t>
            </w:r>
            <w:r>
              <w:rPr>
                <w:rFonts w:hint="eastAsia" w:ascii="Times New Roman" w:hAnsi="Times New Roman" w:eastAsia="宋体" w:cs="Times New Roman"/>
                <w:b/>
                <w:bCs/>
                <w:color w:val="auto"/>
                <w:sz w:val="24"/>
                <w:szCs w:val="24"/>
                <w:highlight w:val="none"/>
                <w:lang w:eastAsia="zh-CN"/>
              </w:rPr>
              <w:t>质量现状监测评价</w:t>
            </w:r>
            <w:r>
              <w:rPr>
                <w:rFonts w:hint="default" w:ascii="Times New Roman" w:hAnsi="Times New Roman" w:eastAsia="宋体" w:cs="Times New Roman"/>
                <w:b/>
                <w:bCs/>
                <w:color w:val="auto"/>
                <w:sz w:val="24"/>
                <w:szCs w:val="24"/>
                <w:highlight w:val="none"/>
              </w:rPr>
              <w:t>结果</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849"/>
              <w:gridCol w:w="1248"/>
              <w:gridCol w:w="1219"/>
              <w:gridCol w:w="1060"/>
              <w:gridCol w:w="1187"/>
              <w:gridCol w:w="1147"/>
              <w:gridCol w:w="508"/>
              <w:gridCol w:w="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46" w:type="pct"/>
                  <w:vMerge w:val="restart"/>
                  <w:noWrap w:val="0"/>
                  <w:vAlign w:val="center"/>
                </w:tcPr>
                <w:p>
                  <w:pPr>
                    <w:pStyle w:val="94"/>
                    <w:spacing w:line="280" w:lineRule="exact"/>
                    <w:jc w:val="center"/>
                    <w:rPr>
                      <w:rFonts w:hint="eastAsia" w:ascii="Times New Roman" w:hAnsi="Times New Roman"/>
                      <w:b/>
                      <w:bCs/>
                      <w:color w:val="auto"/>
                      <w:szCs w:val="21"/>
                    </w:rPr>
                  </w:pPr>
                  <w:r>
                    <w:rPr>
                      <w:rFonts w:hint="eastAsia" w:ascii="Times New Roman" w:hAnsi="Times New Roman"/>
                      <w:b/>
                      <w:bCs/>
                      <w:color w:val="auto"/>
                      <w:szCs w:val="21"/>
                    </w:rPr>
                    <w:t>监测因子</w:t>
                  </w:r>
                </w:p>
              </w:tc>
              <w:tc>
                <w:tcPr>
                  <w:tcW w:w="505" w:type="pct"/>
                  <w:vMerge w:val="restart"/>
                  <w:noWrap w:val="0"/>
                  <w:vAlign w:val="center"/>
                </w:tcPr>
                <w:p>
                  <w:pPr>
                    <w:pStyle w:val="94"/>
                    <w:spacing w:line="280" w:lineRule="exact"/>
                    <w:jc w:val="center"/>
                    <w:rPr>
                      <w:rFonts w:ascii="Times New Roman" w:hAnsi="Times New Roman"/>
                      <w:b/>
                      <w:bCs/>
                      <w:color w:val="auto"/>
                      <w:szCs w:val="21"/>
                    </w:rPr>
                  </w:pPr>
                  <w:r>
                    <w:rPr>
                      <w:rFonts w:ascii="Times New Roman" w:hAnsi="Times New Roman"/>
                      <w:b/>
                      <w:bCs/>
                      <w:color w:val="auto"/>
                      <w:szCs w:val="21"/>
                    </w:rPr>
                    <w:t>采样时间</w:t>
                  </w:r>
                </w:p>
              </w:tc>
              <w:tc>
                <w:tcPr>
                  <w:tcW w:w="742" w:type="pct"/>
                  <w:vMerge w:val="restart"/>
                  <w:noWrap w:val="0"/>
                  <w:vAlign w:val="center"/>
                </w:tcPr>
                <w:p>
                  <w:pPr>
                    <w:pStyle w:val="94"/>
                    <w:spacing w:line="280" w:lineRule="exact"/>
                    <w:jc w:val="center"/>
                    <w:rPr>
                      <w:rFonts w:hint="eastAsia" w:ascii="Times New Roman" w:hAnsi="Times New Roman"/>
                      <w:b/>
                      <w:bCs/>
                      <w:color w:val="auto"/>
                      <w:szCs w:val="21"/>
                    </w:rPr>
                  </w:pPr>
                  <w:r>
                    <w:rPr>
                      <w:rFonts w:hint="eastAsia" w:ascii="Times New Roman" w:hAnsi="Times New Roman"/>
                      <w:b/>
                      <w:bCs/>
                      <w:color w:val="auto"/>
                      <w:szCs w:val="21"/>
                    </w:rPr>
                    <w:t>标准值</w:t>
                  </w:r>
                </w:p>
              </w:tc>
              <w:tc>
                <w:tcPr>
                  <w:tcW w:w="1355" w:type="pct"/>
                  <w:gridSpan w:val="2"/>
                  <w:noWrap w:val="0"/>
                  <w:vAlign w:val="center"/>
                </w:tcPr>
                <w:p>
                  <w:pPr>
                    <w:pStyle w:val="94"/>
                    <w:spacing w:line="280" w:lineRule="exact"/>
                    <w:jc w:val="center"/>
                    <w:rPr>
                      <w:rFonts w:ascii="Times New Roman" w:hAnsi="Times New Roman"/>
                      <w:b/>
                      <w:bCs/>
                      <w:color w:val="auto"/>
                      <w:szCs w:val="21"/>
                    </w:rPr>
                  </w:pPr>
                  <w:r>
                    <w:rPr>
                      <w:rFonts w:hint="eastAsia" w:ascii="Times New Roman" w:hAnsi="Times New Roman"/>
                      <w:b/>
                      <w:bCs/>
                      <w:color w:val="auto"/>
                      <w:spacing w:val="-20"/>
                      <w:szCs w:val="21"/>
                      <w:lang w:eastAsia="zh-CN"/>
                    </w:rPr>
                    <w:t>危废暂存间（</w:t>
                  </w:r>
                  <w:r>
                    <w:rPr>
                      <w:rFonts w:ascii="Times New Roman" w:hAnsi="Times New Roman"/>
                      <w:b/>
                      <w:bCs/>
                      <w:color w:val="auto"/>
                      <w:spacing w:val="-20"/>
                      <w:szCs w:val="21"/>
                    </w:rPr>
                    <w:t>厂区</w:t>
                  </w:r>
                  <w:r>
                    <w:rPr>
                      <w:rFonts w:hint="eastAsia" w:ascii="Times New Roman" w:hAnsi="Times New Roman"/>
                      <w:b/>
                      <w:bCs/>
                      <w:color w:val="auto"/>
                      <w:spacing w:val="-20"/>
                      <w:szCs w:val="21"/>
                      <w:lang w:eastAsia="zh-CN"/>
                    </w:rPr>
                    <w:t>）</w:t>
                  </w:r>
                </w:p>
              </w:tc>
              <w:tc>
                <w:tcPr>
                  <w:tcW w:w="1388" w:type="pct"/>
                  <w:gridSpan w:val="2"/>
                  <w:noWrap w:val="0"/>
                  <w:vAlign w:val="center"/>
                </w:tcPr>
                <w:p>
                  <w:pPr>
                    <w:pStyle w:val="94"/>
                    <w:spacing w:line="280" w:lineRule="exact"/>
                    <w:jc w:val="center"/>
                    <w:rPr>
                      <w:rFonts w:ascii="Times New Roman" w:hAnsi="Times New Roman"/>
                      <w:b/>
                      <w:bCs/>
                      <w:color w:val="auto"/>
                      <w:szCs w:val="21"/>
                    </w:rPr>
                  </w:pPr>
                  <w:r>
                    <w:rPr>
                      <w:rFonts w:hint="eastAsia"/>
                      <w:b/>
                      <w:bCs/>
                      <w:color w:val="auto"/>
                    </w:rPr>
                    <w:t>小闵</w:t>
                  </w:r>
                  <w:r>
                    <w:rPr>
                      <w:rFonts w:ascii="Times New Roman" w:hAnsi="Times New Roman"/>
                      <w:b/>
                      <w:bCs/>
                      <w:color w:val="auto"/>
                      <w:spacing w:val="-20"/>
                      <w:szCs w:val="21"/>
                    </w:rPr>
                    <w:t>村</w:t>
                  </w:r>
                </w:p>
              </w:tc>
              <w:tc>
                <w:tcPr>
                  <w:tcW w:w="302" w:type="pct"/>
                  <w:vMerge w:val="restar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超标率</w:t>
                  </w:r>
                </w:p>
              </w:tc>
              <w:tc>
                <w:tcPr>
                  <w:tcW w:w="358" w:type="pct"/>
                  <w:vMerge w:val="restar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46" w:type="pct"/>
                  <w:vMerge w:val="continue"/>
                  <w:noWrap w:val="0"/>
                  <w:vAlign w:val="center"/>
                </w:tcPr>
                <w:p>
                  <w:pPr>
                    <w:pStyle w:val="94"/>
                    <w:spacing w:line="280" w:lineRule="exact"/>
                    <w:jc w:val="center"/>
                    <w:rPr>
                      <w:rFonts w:ascii="Times New Roman" w:hAnsi="Times New Roman"/>
                      <w:b/>
                      <w:bCs/>
                      <w:color w:val="auto"/>
                      <w:szCs w:val="21"/>
                    </w:rPr>
                  </w:pPr>
                </w:p>
              </w:tc>
              <w:tc>
                <w:tcPr>
                  <w:tcW w:w="505" w:type="pct"/>
                  <w:vMerge w:val="continue"/>
                  <w:noWrap w:val="0"/>
                  <w:vAlign w:val="center"/>
                </w:tcPr>
                <w:p>
                  <w:pPr>
                    <w:pStyle w:val="94"/>
                    <w:spacing w:line="280" w:lineRule="exact"/>
                    <w:jc w:val="center"/>
                    <w:rPr>
                      <w:rFonts w:ascii="Times New Roman" w:hAnsi="Times New Roman"/>
                      <w:b/>
                      <w:bCs/>
                      <w:color w:val="auto"/>
                      <w:szCs w:val="21"/>
                    </w:rPr>
                  </w:pPr>
                </w:p>
              </w:tc>
              <w:tc>
                <w:tcPr>
                  <w:tcW w:w="742" w:type="pct"/>
                  <w:vMerge w:val="continue"/>
                  <w:noWrap w:val="0"/>
                  <w:vAlign w:val="center"/>
                </w:tcPr>
                <w:p>
                  <w:pPr>
                    <w:pStyle w:val="94"/>
                    <w:spacing w:line="280" w:lineRule="exact"/>
                    <w:jc w:val="center"/>
                    <w:rPr>
                      <w:rFonts w:hint="eastAsia" w:ascii="Times New Roman" w:hAnsi="Times New Roman"/>
                      <w:b/>
                      <w:bCs/>
                      <w:color w:val="auto"/>
                      <w:szCs w:val="21"/>
                    </w:rPr>
                  </w:pPr>
                </w:p>
              </w:tc>
              <w:tc>
                <w:tcPr>
                  <w:tcW w:w="1355" w:type="pct"/>
                  <w:gridSpan w:val="2"/>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监测点坐标</w:t>
                  </w:r>
                </w:p>
              </w:tc>
              <w:tc>
                <w:tcPr>
                  <w:tcW w:w="1388" w:type="pct"/>
                  <w:gridSpan w:val="2"/>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监测点坐标</w:t>
                  </w:r>
                </w:p>
              </w:tc>
              <w:tc>
                <w:tcPr>
                  <w:tcW w:w="302"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c>
                <w:tcPr>
                  <w:tcW w:w="358"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46" w:type="pct"/>
                  <w:vMerge w:val="continue"/>
                  <w:noWrap w:val="0"/>
                  <w:vAlign w:val="center"/>
                </w:tcPr>
                <w:p>
                  <w:pPr>
                    <w:pStyle w:val="94"/>
                    <w:spacing w:line="280" w:lineRule="exact"/>
                    <w:jc w:val="center"/>
                    <w:rPr>
                      <w:rFonts w:ascii="Times New Roman" w:hAnsi="Times New Roman"/>
                      <w:b/>
                      <w:bCs/>
                      <w:color w:val="auto"/>
                      <w:szCs w:val="21"/>
                    </w:rPr>
                  </w:pPr>
                </w:p>
              </w:tc>
              <w:tc>
                <w:tcPr>
                  <w:tcW w:w="505" w:type="pct"/>
                  <w:vMerge w:val="continue"/>
                  <w:noWrap w:val="0"/>
                  <w:vAlign w:val="center"/>
                </w:tcPr>
                <w:p>
                  <w:pPr>
                    <w:pStyle w:val="94"/>
                    <w:spacing w:line="280" w:lineRule="exact"/>
                    <w:jc w:val="center"/>
                    <w:rPr>
                      <w:rFonts w:ascii="Times New Roman" w:hAnsi="Times New Roman"/>
                      <w:b/>
                      <w:bCs/>
                      <w:color w:val="auto"/>
                      <w:szCs w:val="21"/>
                    </w:rPr>
                  </w:pPr>
                </w:p>
              </w:tc>
              <w:tc>
                <w:tcPr>
                  <w:tcW w:w="742" w:type="pct"/>
                  <w:vMerge w:val="continue"/>
                  <w:noWrap w:val="0"/>
                  <w:vAlign w:val="center"/>
                </w:tcPr>
                <w:p>
                  <w:pPr>
                    <w:pStyle w:val="94"/>
                    <w:spacing w:line="280" w:lineRule="exact"/>
                    <w:jc w:val="center"/>
                    <w:rPr>
                      <w:rFonts w:hint="eastAsia" w:ascii="Times New Roman" w:hAnsi="Times New Roman"/>
                      <w:b/>
                      <w:bCs/>
                      <w:color w:val="auto"/>
                      <w:szCs w:val="21"/>
                    </w:rPr>
                  </w:pPr>
                </w:p>
              </w:tc>
              <w:tc>
                <w:tcPr>
                  <w:tcW w:w="725" w:type="pc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经度</w:t>
                  </w:r>
                </w:p>
              </w:tc>
              <w:tc>
                <w:tcPr>
                  <w:tcW w:w="630" w:type="pc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纬度</w:t>
                  </w:r>
                </w:p>
              </w:tc>
              <w:tc>
                <w:tcPr>
                  <w:tcW w:w="706" w:type="pc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经度</w:t>
                  </w:r>
                </w:p>
              </w:tc>
              <w:tc>
                <w:tcPr>
                  <w:tcW w:w="682" w:type="pc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纬度</w:t>
                  </w:r>
                </w:p>
              </w:tc>
              <w:tc>
                <w:tcPr>
                  <w:tcW w:w="302"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c>
                <w:tcPr>
                  <w:tcW w:w="358"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46" w:type="pct"/>
                  <w:vMerge w:val="continue"/>
                  <w:noWrap w:val="0"/>
                  <w:vAlign w:val="center"/>
                </w:tcPr>
                <w:p>
                  <w:pPr>
                    <w:pStyle w:val="94"/>
                    <w:spacing w:line="280" w:lineRule="exact"/>
                    <w:jc w:val="center"/>
                    <w:rPr>
                      <w:rFonts w:ascii="Times New Roman" w:hAnsi="Times New Roman"/>
                      <w:b/>
                      <w:bCs/>
                      <w:color w:val="auto"/>
                      <w:szCs w:val="21"/>
                    </w:rPr>
                  </w:pPr>
                </w:p>
              </w:tc>
              <w:tc>
                <w:tcPr>
                  <w:tcW w:w="505" w:type="pct"/>
                  <w:vMerge w:val="continue"/>
                  <w:noWrap w:val="0"/>
                  <w:vAlign w:val="center"/>
                </w:tcPr>
                <w:p>
                  <w:pPr>
                    <w:pStyle w:val="94"/>
                    <w:spacing w:line="280" w:lineRule="exact"/>
                    <w:jc w:val="center"/>
                    <w:rPr>
                      <w:rFonts w:ascii="Times New Roman" w:hAnsi="Times New Roman"/>
                      <w:b/>
                      <w:bCs/>
                      <w:color w:val="auto"/>
                      <w:szCs w:val="21"/>
                    </w:rPr>
                  </w:pPr>
                </w:p>
              </w:tc>
              <w:tc>
                <w:tcPr>
                  <w:tcW w:w="742" w:type="pct"/>
                  <w:vMerge w:val="continue"/>
                  <w:noWrap w:val="0"/>
                  <w:vAlign w:val="center"/>
                </w:tcPr>
                <w:p>
                  <w:pPr>
                    <w:pStyle w:val="94"/>
                    <w:spacing w:line="280" w:lineRule="exact"/>
                    <w:jc w:val="center"/>
                    <w:rPr>
                      <w:rFonts w:hint="eastAsia" w:ascii="Times New Roman" w:hAnsi="Times New Roman"/>
                      <w:b/>
                      <w:bCs/>
                      <w:color w:val="auto"/>
                      <w:szCs w:val="21"/>
                    </w:rPr>
                  </w:pPr>
                </w:p>
              </w:tc>
              <w:tc>
                <w:tcPr>
                  <w:tcW w:w="725" w:type="pct"/>
                  <w:noWrap w:val="0"/>
                  <w:vAlign w:val="center"/>
                </w:tcPr>
                <w:p>
                  <w:pPr>
                    <w:keepNext w:val="0"/>
                    <w:keepLines w:val="0"/>
                    <w:widowControl/>
                    <w:suppressLineNumbers w:val="0"/>
                    <w:jc w:val="left"/>
                    <w:textAlignment w:val="center"/>
                    <w:rPr>
                      <w:b/>
                      <w:bCs/>
                      <w:color w:val="auto"/>
                      <w:spacing w:val="-20"/>
                      <w:sz w:val="21"/>
                      <w:szCs w:val="21"/>
                    </w:rPr>
                  </w:pPr>
                  <w:r>
                    <w:rPr>
                      <w:rFonts w:hint="default" w:ascii="Times New Roman" w:hAnsi="Times New Roman"/>
                      <w:color w:val="auto"/>
                      <w:sz w:val="21"/>
                      <w:szCs w:val="21"/>
                      <w:highlight w:val="none"/>
                      <w:lang w:val="en-US" w:eastAsia="zh-CN"/>
                    </w:rPr>
                    <w:t>109</w:t>
                  </w:r>
                  <w:r>
                    <w:rPr>
                      <w:rFonts w:hint="default" w:ascii="Times New Roman" w:hAnsi="Times New Roman"/>
                      <w:color w:val="auto"/>
                      <w:sz w:val="21"/>
                      <w:szCs w:val="21"/>
                      <w:highlight w:val="none"/>
                    </w:rPr>
                    <w:t xml:space="preserve"> </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25</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16.871</w:t>
                  </w:r>
                  <w:r>
                    <w:rPr>
                      <w:rFonts w:hint="eastAsia" w:ascii="Times New Roman" w:hAnsi="Times New Roman"/>
                      <w:color w:val="auto"/>
                      <w:sz w:val="21"/>
                      <w:szCs w:val="21"/>
                      <w:highlight w:val="none"/>
                    </w:rPr>
                    <w:t>"</w:t>
                  </w:r>
                </w:p>
              </w:tc>
              <w:tc>
                <w:tcPr>
                  <w:tcW w:w="630" w:type="pct"/>
                  <w:noWrap w:val="0"/>
                  <w:vAlign w:val="center"/>
                </w:tcPr>
                <w:p>
                  <w:pPr>
                    <w:keepNext w:val="0"/>
                    <w:keepLines w:val="0"/>
                    <w:widowControl/>
                    <w:suppressLineNumbers w:val="0"/>
                    <w:jc w:val="left"/>
                    <w:textAlignment w:val="center"/>
                    <w:rPr>
                      <w:b/>
                      <w:bCs/>
                      <w:color w:val="auto"/>
                      <w:spacing w:val="-20"/>
                      <w:sz w:val="21"/>
                      <w:szCs w:val="21"/>
                    </w:rPr>
                  </w:pPr>
                  <w:r>
                    <w:rPr>
                      <w:rFonts w:hint="eastAsia"/>
                      <w:color w:val="auto"/>
                      <w:sz w:val="21"/>
                      <w:szCs w:val="21"/>
                      <w:highlight w:val="none"/>
                    </w:rPr>
                    <w:t xml:space="preserve"> </w:t>
                  </w:r>
                  <w:r>
                    <w:rPr>
                      <w:rFonts w:hint="eastAsia"/>
                      <w:color w:val="auto"/>
                      <w:sz w:val="21"/>
                      <w:szCs w:val="21"/>
                      <w:highlight w:val="none"/>
                      <w:lang w:val="en-US" w:eastAsia="zh-CN"/>
                    </w:rPr>
                    <w:t>3</w:t>
                  </w:r>
                  <w:r>
                    <w:rPr>
                      <w:rFonts w:hint="default" w:ascii="Times New Roman" w:hAnsi="Times New Roman"/>
                      <w:color w:val="auto"/>
                      <w:sz w:val="21"/>
                      <w:szCs w:val="21"/>
                      <w:highlight w:val="none"/>
                      <w:lang w:val="en-US" w:eastAsia="zh-CN"/>
                    </w:rPr>
                    <w:t>4</w:t>
                  </w:r>
                  <w:r>
                    <w:rPr>
                      <w:rFonts w:hint="eastAsia"/>
                      <w:color w:val="auto"/>
                      <w:sz w:val="21"/>
                      <w:szCs w:val="21"/>
                      <w:highlight w:val="none"/>
                    </w:rPr>
                    <w:t>°</w:t>
                  </w:r>
                  <w:r>
                    <w:rPr>
                      <w:rFonts w:hint="default" w:ascii="Times New Roman" w:hAnsi="Times New Roman"/>
                      <w:color w:val="auto"/>
                      <w:sz w:val="21"/>
                      <w:szCs w:val="21"/>
                      <w:highlight w:val="none"/>
                      <w:lang w:val="en-US" w:eastAsia="zh-CN"/>
                    </w:rPr>
                    <w:t>29</w:t>
                  </w:r>
                  <w:r>
                    <w:rPr>
                      <w:rFonts w:hint="default" w:ascii="Times New Roman" w:hAnsi="Times New Roman"/>
                      <w:color w:val="auto"/>
                      <w:sz w:val="21"/>
                      <w:szCs w:val="21"/>
                      <w:highlight w:val="none"/>
                    </w:rPr>
                    <w:t xml:space="preserve"> </w:t>
                  </w:r>
                  <w:r>
                    <w:rPr>
                      <w:rFonts w:hint="eastAsia"/>
                      <w:color w:val="auto"/>
                      <w:sz w:val="21"/>
                      <w:szCs w:val="21"/>
                      <w:highlight w:val="none"/>
                    </w:rPr>
                    <w:t>'</w:t>
                  </w:r>
                  <w:r>
                    <w:rPr>
                      <w:rFonts w:hint="eastAsia" w:ascii="Times New Roman" w:hAnsi="Times New Roman"/>
                      <w:color w:val="auto"/>
                      <w:sz w:val="21"/>
                      <w:szCs w:val="21"/>
                      <w:highlight w:val="none"/>
                      <w:lang w:val="en-US" w:eastAsia="zh-CN"/>
                    </w:rPr>
                    <w:t>37.870</w:t>
                  </w:r>
                  <w:r>
                    <w:rPr>
                      <w:rFonts w:hint="eastAsia"/>
                      <w:color w:val="auto"/>
                      <w:sz w:val="21"/>
                      <w:szCs w:val="21"/>
                      <w:highlight w:val="none"/>
                    </w:rPr>
                    <w:t>"</w:t>
                  </w:r>
                </w:p>
              </w:tc>
              <w:tc>
                <w:tcPr>
                  <w:tcW w:w="706" w:type="pct"/>
                  <w:noWrap w:val="0"/>
                  <w:vAlign w:val="center"/>
                </w:tcPr>
                <w:p>
                  <w:pPr>
                    <w:keepNext w:val="0"/>
                    <w:keepLines w:val="0"/>
                    <w:widowControl/>
                    <w:suppressLineNumbers w:val="0"/>
                    <w:jc w:val="left"/>
                    <w:textAlignment w:val="center"/>
                    <w:rPr>
                      <w:b/>
                      <w:bCs/>
                      <w:color w:val="auto"/>
                      <w:spacing w:val="-20"/>
                      <w:sz w:val="21"/>
                      <w:szCs w:val="21"/>
                    </w:rPr>
                  </w:pPr>
                  <w:r>
                    <w:rPr>
                      <w:rFonts w:hint="eastAsia" w:ascii="Times New Roman" w:hAnsi="Times New Roman"/>
                      <w:color w:val="auto"/>
                      <w:sz w:val="21"/>
                      <w:szCs w:val="21"/>
                      <w:highlight w:val="none"/>
                    </w:rPr>
                    <w:t>109°24'33.81</w:t>
                  </w:r>
                  <w:r>
                    <w:rPr>
                      <w:rFonts w:hint="eastAsia" w:ascii="Times New Roman" w:hAnsi="Times New Roman"/>
                      <w:color w:val="auto"/>
                      <w:sz w:val="21"/>
                      <w:szCs w:val="21"/>
                      <w:highlight w:val="none"/>
                      <w:lang w:val="en-US" w:eastAsia="zh-CN"/>
                    </w:rPr>
                    <w:t>2</w:t>
                  </w:r>
                  <w:r>
                    <w:rPr>
                      <w:rFonts w:hint="eastAsia" w:ascii="Times New Roman" w:hAnsi="Times New Roman"/>
                      <w:color w:val="auto"/>
                      <w:sz w:val="21"/>
                      <w:szCs w:val="21"/>
                      <w:highlight w:val="none"/>
                    </w:rPr>
                    <w:t>"</w:t>
                  </w:r>
                </w:p>
              </w:tc>
              <w:tc>
                <w:tcPr>
                  <w:tcW w:w="682" w:type="pct"/>
                  <w:noWrap w:val="0"/>
                  <w:vAlign w:val="center"/>
                </w:tcPr>
                <w:p>
                  <w:pPr>
                    <w:keepNext w:val="0"/>
                    <w:keepLines w:val="0"/>
                    <w:widowControl/>
                    <w:suppressLineNumbers w:val="0"/>
                    <w:jc w:val="left"/>
                    <w:textAlignment w:val="center"/>
                    <w:rPr>
                      <w:b/>
                      <w:bCs/>
                      <w:color w:val="auto"/>
                      <w:spacing w:val="-20"/>
                      <w:sz w:val="21"/>
                      <w:szCs w:val="21"/>
                    </w:rPr>
                  </w:pPr>
                  <w:r>
                    <w:rPr>
                      <w:rFonts w:hint="eastAsia"/>
                      <w:color w:val="auto"/>
                      <w:sz w:val="21"/>
                      <w:szCs w:val="21"/>
                      <w:highlight w:val="none"/>
                    </w:rPr>
                    <w:t>34°29'28.16</w:t>
                  </w:r>
                  <w:r>
                    <w:rPr>
                      <w:rFonts w:hint="eastAsia"/>
                      <w:color w:val="auto"/>
                      <w:sz w:val="21"/>
                      <w:szCs w:val="21"/>
                      <w:highlight w:val="none"/>
                      <w:lang w:val="en-US" w:eastAsia="zh-CN"/>
                    </w:rPr>
                    <w:t>0</w:t>
                  </w:r>
                  <w:r>
                    <w:rPr>
                      <w:rFonts w:hint="eastAsia"/>
                      <w:color w:val="auto"/>
                      <w:sz w:val="21"/>
                      <w:szCs w:val="21"/>
                      <w:highlight w:val="none"/>
                    </w:rPr>
                    <w:t>"</w:t>
                  </w:r>
                </w:p>
              </w:tc>
              <w:tc>
                <w:tcPr>
                  <w:tcW w:w="302"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c>
                <w:tcPr>
                  <w:tcW w:w="358"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46" w:type="pct"/>
                  <w:vMerge w:val="continue"/>
                  <w:noWrap w:val="0"/>
                  <w:vAlign w:val="center"/>
                </w:tcPr>
                <w:p>
                  <w:pPr>
                    <w:pStyle w:val="94"/>
                    <w:spacing w:line="280" w:lineRule="exact"/>
                    <w:jc w:val="center"/>
                    <w:rPr>
                      <w:rFonts w:ascii="Times New Roman" w:hAnsi="Times New Roman"/>
                      <w:b/>
                      <w:bCs/>
                      <w:color w:val="auto"/>
                      <w:szCs w:val="21"/>
                    </w:rPr>
                  </w:pPr>
                </w:p>
              </w:tc>
              <w:tc>
                <w:tcPr>
                  <w:tcW w:w="505" w:type="pct"/>
                  <w:vMerge w:val="continue"/>
                  <w:noWrap w:val="0"/>
                  <w:vAlign w:val="center"/>
                </w:tcPr>
                <w:p>
                  <w:pPr>
                    <w:pStyle w:val="94"/>
                    <w:spacing w:line="280" w:lineRule="exact"/>
                    <w:jc w:val="center"/>
                    <w:rPr>
                      <w:rFonts w:ascii="Times New Roman" w:hAnsi="Times New Roman"/>
                      <w:b/>
                      <w:bCs/>
                      <w:color w:val="auto"/>
                      <w:szCs w:val="21"/>
                    </w:rPr>
                  </w:pPr>
                </w:p>
              </w:tc>
              <w:tc>
                <w:tcPr>
                  <w:tcW w:w="742" w:type="pct"/>
                  <w:vMerge w:val="continue"/>
                  <w:noWrap w:val="0"/>
                  <w:vAlign w:val="center"/>
                </w:tcPr>
                <w:p>
                  <w:pPr>
                    <w:pStyle w:val="94"/>
                    <w:spacing w:line="280" w:lineRule="exact"/>
                    <w:jc w:val="center"/>
                    <w:rPr>
                      <w:rFonts w:ascii="Times New Roman" w:hAnsi="Times New Roman"/>
                      <w:b/>
                      <w:bCs/>
                      <w:color w:val="auto"/>
                      <w:szCs w:val="21"/>
                    </w:rPr>
                  </w:pPr>
                </w:p>
              </w:tc>
              <w:tc>
                <w:tcPr>
                  <w:tcW w:w="725" w:type="pct"/>
                  <w:noWrap w:val="0"/>
                  <w:vAlign w:val="center"/>
                </w:tcPr>
                <w:p>
                  <w:pPr>
                    <w:pStyle w:val="94"/>
                    <w:spacing w:line="280" w:lineRule="exact"/>
                    <w:jc w:val="center"/>
                    <w:rPr>
                      <w:rFonts w:hint="eastAsia" w:ascii="Times New Roman" w:hAnsi="Times New Roman"/>
                      <w:b/>
                      <w:bCs/>
                      <w:color w:val="auto"/>
                      <w:szCs w:val="21"/>
                    </w:rPr>
                  </w:pPr>
                  <w:r>
                    <w:rPr>
                      <w:rFonts w:hint="eastAsia" w:ascii="Times New Roman" w:hAnsi="Times New Roman"/>
                      <w:b/>
                      <w:bCs/>
                      <w:color w:val="auto"/>
                      <w:szCs w:val="21"/>
                    </w:rPr>
                    <w:t>检测结果</w:t>
                  </w:r>
                </w:p>
              </w:tc>
              <w:tc>
                <w:tcPr>
                  <w:tcW w:w="630" w:type="pc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706" w:type="pct"/>
                  <w:noWrap w:val="0"/>
                  <w:vAlign w:val="center"/>
                </w:tcPr>
                <w:p>
                  <w:pPr>
                    <w:pStyle w:val="94"/>
                    <w:spacing w:line="280" w:lineRule="exact"/>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682" w:type="pct"/>
                  <w:noWrap w:val="0"/>
                  <w:vAlign w:val="center"/>
                </w:tcPr>
                <w:p>
                  <w:pPr>
                    <w:pStyle w:val="94"/>
                    <w:spacing w:line="280" w:lineRule="exact"/>
                    <w:jc w:val="center"/>
                    <w:rPr>
                      <w:rFonts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302"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c>
                <w:tcPr>
                  <w:tcW w:w="358"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6" w:type="pct"/>
                  <w:vMerge w:val="restart"/>
                  <w:noWrap w:val="0"/>
                  <w:vAlign w:val="center"/>
                </w:tcPr>
                <w:p>
                  <w:pPr>
                    <w:pStyle w:val="94"/>
                    <w:spacing w:line="280" w:lineRule="exact"/>
                    <w:jc w:val="center"/>
                    <w:rPr>
                      <w:rFonts w:hint="eastAsia" w:ascii="Times New Roman" w:hAnsi="Times New Roman"/>
                      <w:color w:val="auto"/>
                      <w:szCs w:val="21"/>
                    </w:rPr>
                  </w:pPr>
                  <w:r>
                    <w:rPr>
                      <w:rFonts w:ascii="Times New Roman" w:hAnsi="Times New Roman"/>
                      <w:color w:val="auto"/>
                      <w:szCs w:val="21"/>
                    </w:rPr>
                    <w:t>甲醇</w:t>
                  </w:r>
                </w:p>
              </w:tc>
              <w:tc>
                <w:tcPr>
                  <w:tcW w:w="505" w:type="pct"/>
                  <w:noWrap w:val="0"/>
                  <w:vAlign w:val="center"/>
                </w:tcPr>
                <w:p>
                  <w:pPr>
                    <w:pStyle w:val="94"/>
                    <w:spacing w:line="280" w:lineRule="exact"/>
                    <w:jc w:val="center"/>
                    <w:rPr>
                      <w:rFonts w:ascii="Times New Roman" w:hAnsi="Times New Roman"/>
                      <w:color w:val="auto"/>
                      <w:szCs w:val="21"/>
                    </w:rPr>
                  </w:pPr>
                  <w:r>
                    <w:rPr>
                      <w:rFonts w:ascii="Times New Roman" w:hAnsi="Times New Roman"/>
                      <w:color w:val="auto"/>
                      <w:szCs w:val="21"/>
                    </w:rPr>
                    <w:t>24小时平均</w:t>
                  </w:r>
                </w:p>
              </w:tc>
              <w:tc>
                <w:tcPr>
                  <w:tcW w:w="742"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1000</w:t>
                  </w:r>
                  <w:r>
                    <w:rPr>
                      <w:rFonts w:ascii="Times New Roman" w:hAnsi="Times New Roman"/>
                      <w:color w:val="auto"/>
                      <w:szCs w:val="21"/>
                    </w:rPr>
                    <w:t>μg/m</w:t>
                  </w:r>
                  <w:r>
                    <w:rPr>
                      <w:rFonts w:ascii="Times New Roman" w:hAnsi="Times New Roman"/>
                      <w:color w:val="auto"/>
                      <w:szCs w:val="21"/>
                      <w:vertAlign w:val="superscript"/>
                    </w:rPr>
                    <w:t>3</w:t>
                  </w:r>
                </w:p>
              </w:tc>
              <w:tc>
                <w:tcPr>
                  <w:tcW w:w="725" w:type="pct"/>
                  <w:noWrap w:val="0"/>
                  <w:vAlign w:val="center"/>
                </w:tcPr>
                <w:p>
                  <w:pPr>
                    <w:widowControl/>
                    <w:spacing w:line="280" w:lineRule="exact"/>
                    <w:jc w:val="center"/>
                    <w:textAlignment w:val="bottom"/>
                    <w:rPr>
                      <w:color w:val="auto"/>
                      <w:sz w:val="21"/>
                      <w:szCs w:val="21"/>
                    </w:rPr>
                  </w:pPr>
                  <w:r>
                    <w:rPr>
                      <w:rFonts w:hint="eastAsia"/>
                      <w:color w:val="auto"/>
                      <w:sz w:val="21"/>
                      <w:szCs w:val="21"/>
                    </w:rPr>
                    <w:t>0</w:t>
                  </w:r>
                  <w:r>
                    <w:rPr>
                      <w:color w:val="auto"/>
                      <w:sz w:val="21"/>
                      <w:szCs w:val="21"/>
                    </w:rPr>
                    <w:t>.9</w:t>
                  </w:r>
                </w:p>
              </w:tc>
              <w:tc>
                <w:tcPr>
                  <w:tcW w:w="630" w:type="pct"/>
                  <w:noWrap w:val="0"/>
                  <w:vAlign w:val="center"/>
                </w:tcPr>
                <w:p>
                  <w:pPr>
                    <w:widowControl/>
                    <w:spacing w:line="280" w:lineRule="exact"/>
                    <w:jc w:val="center"/>
                    <w:textAlignment w:val="bottom"/>
                    <w:rPr>
                      <w:rFonts w:hint="eastAsia"/>
                      <w:color w:val="auto"/>
                      <w:sz w:val="21"/>
                      <w:szCs w:val="21"/>
                    </w:rPr>
                  </w:pPr>
                  <w:r>
                    <w:rPr>
                      <w:rFonts w:hint="eastAsia"/>
                      <w:color w:val="auto"/>
                      <w:sz w:val="21"/>
                      <w:szCs w:val="21"/>
                    </w:rPr>
                    <w:t>0</w:t>
                  </w:r>
                  <w:r>
                    <w:rPr>
                      <w:color w:val="auto"/>
                      <w:sz w:val="21"/>
                      <w:szCs w:val="21"/>
                    </w:rPr>
                    <w:t>.009</w:t>
                  </w:r>
                </w:p>
              </w:tc>
              <w:tc>
                <w:tcPr>
                  <w:tcW w:w="706" w:type="pct"/>
                  <w:noWrap w:val="0"/>
                  <w:vAlign w:val="center"/>
                </w:tcPr>
                <w:p>
                  <w:pPr>
                    <w:widowControl/>
                    <w:spacing w:line="280" w:lineRule="exact"/>
                    <w:jc w:val="center"/>
                    <w:textAlignment w:val="bottom"/>
                    <w:rPr>
                      <w:rFonts w:hint="default" w:eastAsia="宋体"/>
                      <w:color w:val="auto"/>
                      <w:sz w:val="21"/>
                      <w:szCs w:val="21"/>
                      <w:lang w:val="en-US" w:eastAsia="zh-CN"/>
                    </w:rPr>
                  </w:pPr>
                  <w:r>
                    <w:rPr>
                      <w:rFonts w:hint="eastAsia"/>
                      <w:color w:val="auto"/>
                      <w:sz w:val="21"/>
                      <w:szCs w:val="21"/>
                      <w:lang w:val="en-US" w:eastAsia="zh-CN"/>
                    </w:rPr>
                    <w:t>ND</w:t>
                  </w:r>
                </w:p>
              </w:tc>
              <w:tc>
                <w:tcPr>
                  <w:tcW w:w="682" w:type="pct"/>
                  <w:noWrap w:val="0"/>
                  <w:vAlign w:val="center"/>
                </w:tcPr>
                <w:p>
                  <w:pPr>
                    <w:widowControl/>
                    <w:spacing w:line="280" w:lineRule="exact"/>
                    <w:jc w:val="center"/>
                    <w:textAlignment w:val="bottom"/>
                    <w:rPr>
                      <w:rFonts w:hint="default" w:eastAsia="宋体"/>
                      <w:color w:val="auto"/>
                      <w:sz w:val="21"/>
                      <w:szCs w:val="21"/>
                      <w:lang w:val="en-US" w:eastAsia="zh-CN"/>
                    </w:rPr>
                  </w:pPr>
                  <w:r>
                    <w:rPr>
                      <w:rFonts w:hint="eastAsia"/>
                      <w:color w:val="auto"/>
                      <w:sz w:val="21"/>
                      <w:szCs w:val="21"/>
                      <w:lang w:val="en-US" w:eastAsia="zh-CN"/>
                    </w:rPr>
                    <w:t>0.25</w:t>
                  </w:r>
                </w:p>
              </w:tc>
              <w:tc>
                <w:tcPr>
                  <w:tcW w:w="302" w:type="pct"/>
                  <w:noWrap w:val="0"/>
                  <w:vAlign w:val="center"/>
                </w:tcPr>
                <w:p>
                  <w:pPr>
                    <w:widowControl/>
                    <w:spacing w:line="280" w:lineRule="exact"/>
                    <w:jc w:val="center"/>
                    <w:textAlignment w:val="bottom"/>
                    <w:rPr>
                      <w:rFonts w:hint="eastAsia" w:eastAsia="宋体"/>
                      <w:color w:val="auto"/>
                      <w:sz w:val="21"/>
                      <w:szCs w:val="21"/>
                      <w:lang w:val="en-US" w:eastAsia="zh-CN"/>
                    </w:rPr>
                  </w:pPr>
                  <w:r>
                    <w:rPr>
                      <w:rFonts w:hint="eastAsia"/>
                      <w:color w:val="auto"/>
                      <w:sz w:val="21"/>
                      <w:szCs w:val="21"/>
                      <w:lang w:val="en-US" w:eastAsia="zh-CN"/>
                    </w:rPr>
                    <w:t>0</w:t>
                  </w:r>
                </w:p>
              </w:tc>
              <w:tc>
                <w:tcPr>
                  <w:tcW w:w="358" w:type="pct"/>
                  <w:noWrap w:val="0"/>
                  <w:vAlign w:val="center"/>
                </w:tcPr>
                <w:p>
                  <w:pPr>
                    <w:widowControl/>
                    <w:spacing w:line="280" w:lineRule="exact"/>
                    <w:jc w:val="center"/>
                    <w:textAlignment w:val="bottom"/>
                    <w:rPr>
                      <w:rFonts w:hint="eastAsia"/>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6" w:type="pct"/>
                  <w:vMerge w:val="continue"/>
                  <w:noWrap w:val="0"/>
                  <w:vAlign w:val="center"/>
                </w:tcPr>
                <w:p>
                  <w:pPr>
                    <w:spacing w:line="280" w:lineRule="exact"/>
                    <w:jc w:val="center"/>
                    <w:rPr>
                      <w:rFonts w:hint="eastAsia"/>
                      <w:color w:val="auto"/>
                      <w:sz w:val="21"/>
                      <w:szCs w:val="21"/>
                    </w:rPr>
                  </w:pPr>
                </w:p>
              </w:tc>
              <w:tc>
                <w:tcPr>
                  <w:tcW w:w="50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小时平均</w:t>
                  </w:r>
                </w:p>
              </w:tc>
              <w:tc>
                <w:tcPr>
                  <w:tcW w:w="742" w:type="pct"/>
                  <w:noWrap w:val="0"/>
                  <w:vAlign w:val="center"/>
                </w:tcPr>
                <w:p>
                  <w:pPr>
                    <w:pStyle w:val="94"/>
                    <w:spacing w:line="280" w:lineRule="exact"/>
                    <w:jc w:val="center"/>
                    <w:rPr>
                      <w:rFonts w:ascii="Times New Roman" w:hAnsi="Times New Roman"/>
                      <w:color w:val="auto"/>
                      <w:szCs w:val="21"/>
                    </w:rPr>
                  </w:pPr>
                  <w:r>
                    <w:rPr>
                      <w:rFonts w:ascii="Times New Roman" w:hAnsi="Times New Roman"/>
                      <w:color w:val="auto"/>
                      <w:szCs w:val="21"/>
                    </w:rPr>
                    <w:t>3000μg/m</w:t>
                  </w:r>
                  <w:r>
                    <w:rPr>
                      <w:rFonts w:ascii="Times New Roman" w:hAnsi="Times New Roman"/>
                      <w:color w:val="auto"/>
                      <w:szCs w:val="21"/>
                      <w:vertAlign w:val="superscript"/>
                    </w:rPr>
                    <w:t>3</w:t>
                  </w:r>
                </w:p>
              </w:tc>
              <w:tc>
                <w:tcPr>
                  <w:tcW w:w="72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.7-0.9</w:t>
                  </w:r>
                </w:p>
              </w:tc>
              <w:tc>
                <w:tcPr>
                  <w:tcW w:w="630"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.23-0.3</w:t>
                  </w:r>
                </w:p>
              </w:tc>
              <w:tc>
                <w:tcPr>
                  <w:tcW w:w="706" w:type="pct"/>
                  <w:noWrap w:val="0"/>
                  <w:vAlign w:val="center"/>
                </w:tcPr>
                <w:p>
                  <w:pPr>
                    <w:pStyle w:val="94"/>
                    <w:spacing w:line="28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ND</w:t>
                  </w:r>
                </w:p>
              </w:tc>
              <w:tc>
                <w:tcPr>
                  <w:tcW w:w="682" w:type="pct"/>
                  <w:noWrap w:val="0"/>
                  <w:vAlign w:val="center"/>
                </w:tcPr>
                <w:p>
                  <w:pPr>
                    <w:pStyle w:val="94"/>
                    <w:spacing w:line="28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0.08</w:t>
                  </w:r>
                </w:p>
              </w:tc>
              <w:tc>
                <w:tcPr>
                  <w:tcW w:w="302" w:type="pct"/>
                  <w:noWrap w:val="0"/>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0</w:t>
                  </w:r>
                </w:p>
              </w:tc>
              <w:tc>
                <w:tcPr>
                  <w:tcW w:w="358" w:type="pct"/>
                  <w:noWrap w:val="0"/>
                  <w:vAlign w:val="center"/>
                </w:tcPr>
                <w:p>
                  <w:pPr>
                    <w:spacing w:line="280" w:lineRule="exact"/>
                    <w:jc w:val="center"/>
                    <w:rPr>
                      <w:rFonts w:hint="eastAsia"/>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6" w:type="pct"/>
                  <w:noWrap w:val="0"/>
                  <w:vAlign w:val="center"/>
                </w:tcPr>
                <w:p>
                  <w:pPr>
                    <w:spacing w:line="280" w:lineRule="exact"/>
                    <w:jc w:val="center"/>
                    <w:rPr>
                      <w:rFonts w:hint="eastAsia"/>
                      <w:color w:val="auto"/>
                      <w:sz w:val="21"/>
                      <w:szCs w:val="21"/>
                    </w:rPr>
                  </w:pPr>
                  <w:r>
                    <w:rPr>
                      <w:color w:val="auto"/>
                      <w:sz w:val="21"/>
                      <w:szCs w:val="21"/>
                    </w:rPr>
                    <w:t>甲苯</w:t>
                  </w:r>
                </w:p>
              </w:tc>
              <w:tc>
                <w:tcPr>
                  <w:tcW w:w="50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小时平均</w:t>
                  </w:r>
                </w:p>
              </w:tc>
              <w:tc>
                <w:tcPr>
                  <w:tcW w:w="742" w:type="pct"/>
                  <w:noWrap w:val="0"/>
                  <w:vAlign w:val="center"/>
                </w:tcPr>
                <w:p>
                  <w:pPr>
                    <w:pStyle w:val="94"/>
                    <w:spacing w:line="280" w:lineRule="exact"/>
                    <w:jc w:val="center"/>
                    <w:rPr>
                      <w:rFonts w:ascii="Times New Roman" w:hAnsi="Times New Roman"/>
                      <w:color w:val="auto"/>
                      <w:szCs w:val="21"/>
                    </w:rPr>
                  </w:pPr>
                  <w:r>
                    <w:rPr>
                      <w:rFonts w:ascii="Times New Roman" w:hAnsi="Times New Roman"/>
                      <w:color w:val="auto"/>
                      <w:szCs w:val="21"/>
                    </w:rPr>
                    <w:t>200μg/m</w:t>
                  </w:r>
                  <w:r>
                    <w:rPr>
                      <w:rFonts w:ascii="Times New Roman" w:hAnsi="Times New Roman"/>
                      <w:color w:val="auto"/>
                      <w:szCs w:val="21"/>
                      <w:vertAlign w:val="superscript"/>
                    </w:rPr>
                    <w:t>3</w:t>
                  </w:r>
                </w:p>
              </w:tc>
              <w:tc>
                <w:tcPr>
                  <w:tcW w:w="72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.0108-0.0174</w:t>
                  </w:r>
                </w:p>
              </w:tc>
              <w:tc>
                <w:tcPr>
                  <w:tcW w:w="630" w:type="pct"/>
                  <w:noWrap w:val="0"/>
                  <w:vAlign w:val="center"/>
                </w:tcPr>
                <w:p>
                  <w:pPr>
                    <w:pStyle w:val="94"/>
                    <w:spacing w:line="280" w:lineRule="exact"/>
                    <w:jc w:val="center"/>
                    <w:rPr>
                      <w:rFonts w:hint="eastAsia" w:ascii="Times New Roman" w:hAnsi="Times New Roman"/>
                      <w:color w:val="auto"/>
                      <w:szCs w:val="21"/>
                    </w:rPr>
                  </w:pPr>
                  <w:r>
                    <w:rPr>
                      <w:rFonts w:ascii="Times New Roman" w:hAnsi="Times New Roman"/>
                      <w:color w:val="auto"/>
                      <w:szCs w:val="21"/>
                    </w:rPr>
                    <w:t>0.054-0.087</w:t>
                  </w:r>
                </w:p>
              </w:tc>
              <w:tc>
                <w:tcPr>
                  <w:tcW w:w="706"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.0051-0.0104</w:t>
                  </w:r>
                </w:p>
              </w:tc>
              <w:tc>
                <w:tcPr>
                  <w:tcW w:w="682"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.0255-0.052</w:t>
                  </w:r>
                </w:p>
              </w:tc>
              <w:tc>
                <w:tcPr>
                  <w:tcW w:w="302" w:type="pct"/>
                  <w:noWrap w:val="0"/>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0</w:t>
                  </w:r>
                </w:p>
              </w:tc>
              <w:tc>
                <w:tcPr>
                  <w:tcW w:w="358" w:type="pct"/>
                  <w:noWrap w:val="0"/>
                  <w:vAlign w:val="center"/>
                </w:tcPr>
                <w:p>
                  <w:pPr>
                    <w:spacing w:line="280" w:lineRule="exact"/>
                    <w:jc w:val="center"/>
                    <w:rPr>
                      <w:rFonts w:hint="eastAsia"/>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6" w:type="pct"/>
                  <w:noWrap w:val="0"/>
                  <w:vAlign w:val="center"/>
                </w:tcPr>
                <w:p>
                  <w:pPr>
                    <w:spacing w:line="280" w:lineRule="exact"/>
                    <w:jc w:val="center"/>
                    <w:rPr>
                      <w:rFonts w:hint="eastAsia"/>
                      <w:color w:val="auto"/>
                      <w:sz w:val="21"/>
                      <w:szCs w:val="21"/>
                    </w:rPr>
                  </w:pPr>
                  <w:r>
                    <w:rPr>
                      <w:rFonts w:hint="eastAsia"/>
                      <w:color w:val="auto"/>
                      <w:sz w:val="21"/>
                      <w:szCs w:val="21"/>
                    </w:rPr>
                    <w:t>非甲烷总烃</w:t>
                  </w:r>
                </w:p>
              </w:tc>
              <w:tc>
                <w:tcPr>
                  <w:tcW w:w="50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小时平均</w:t>
                  </w:r>
                </w:p>
              </w:tc>
              <w:tc>
                <w:tcPr>
                  <w:tcW w:w="742" w:type="pct"/>
                  <w:noWrap w:val="0"/>
                  <w:vAlign w:val="center"/>
                </w:tcPr>
                <w:p>
                  <w:pPr>
                    <w:pStyle w:val="94"/>
                    <w:spacing w:line="280" w:lineRule="exact"/>
                    <w:jc w:val="center"/>
                    <w:rPr>
                      <w:rFonts w:ascii="Times New Roman" w:hAnsi="Times New Roman"/>
                      <w:color w:val="auto"/>
                      <w:szCs w:val="21"/>
                    </w:rPr>
                  </w:pPr>
                  <w:r>
                    <w:rPr>
                      <w:rFonts w:ascii="Times New Roman" w:hAnsi="Times New Roman"/>
                      <w:color w:val="auto"/>
                      <w:szCs w:val="21"/>
                    </w:rPr>
                    <w:t>3.0mg/m</w:t>
                  </w:r>
                  <w:r>
                    <w:rPr>
                      <w:rFonts w:ascii="Times New Roman" w:hAnsi="Times New Roman"/>
                      <w:color w:val="auto"/>
                      <w:szCs w:val="21"/>
                      <w:vertAlign w:val="superscript"/>
                    </w:rPr>
                    <w:t>3</w:t>
                  </w:r>
                </w:p>
              </w:tc>
              <w:tc>
                <w:tcPr>
                  <w:tcW w:w="72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.45-0.59</w:t>
                  </w:r>
                </w:p>
              </w:tc>
              <w:tc>
                <w:tcPr>
                  <w:tcW w:w="630"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.15-0.20</w:t>
                  </w:r>
                </w:p>
              </w:tc>
              <w:tc>
                <w:tcPr>
                  <w:tcW w:w="706"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.44-0.55</w:t>
                  </w:r>
                </w:p>
              </w:tc>
              <w:tc>
                <w:tcPr>
                  <w:tcW w:w="682"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.15-0.18</w:t>
                  </w:r>
                </w:p>
              </w:tc>
              <w:tc>
                <w:tcPr>
                  <w:tcW w:w="302" w:type="pct"/>
                  <w:noWrap w:val="0"/>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0</w:t>
                  </w:r>
                </w:p>
              </w:tc>
              <w:tc>
                <w:tcPr>
                  <w:tcW w:w="358" w:type="pct"/>
                  <w:noWrap w:val="0"/>
                  <w:vAlign w:val="center"/>
                </w:tcPr>
                <w:p>
                  <w:pPr>
                    <w:spacing w:line="280" w:lineRule="exact"/>
                    <w:jc w:val="center"/>
                    <w:rPr>
                      <w:rFonts w:hint="eastAsia"/>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6" w:type="pct"/>
                  <w:noWrap w:val="0"/>
                  <w:vAlign w:val="center"/>
                </w:tcPr>
                <w:p>
                  <w:pPr>
                    <w:spacing w:line="280" w:lineRule="exact"/>
                    <w:jc w:val="center"/>
                    <w:rPr>
                      <w:rFonts w:hint="eastAsia"/>
                      <w:color w:val="auto"/>
                      <w:sz w:val="21"/>
                      <w:szCs w:val="21"/>
                    </w:rPr>
                  </w:pPr>
                  <w:r>
                    <w:rPr>
                      <w:rFonts w:hint="eastAsia"/>
                      <w:color w:val="auto"/>
                      <w:sz w:val="21"/>
                      <w:szCs w:val="21"/>
                    </w:rPr>
                    <w:t>臭气浓度</w:t>
                  </w:r>
                </w:p>
              </w:tc>
              <w:tc>
                <w:tcPr>
                  <w:tcW w:w="505"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一次浓度</w:t>
                  </w:r>
                </w:p>
              </w:tc>
              <w:tc>
                <w:tcPr>
                  <w:tcW w:w="742" w:type="pct"/>
                  <w:noWrap w:val="0"/>
                  <w:vAlign w:val="center"/>
                </w:tcPr>
                <w:p>
                  <w:pPr>
                    <w:pStyle w:val="94"/>
                    <w:spacing w:line="280" w:lineRule="exact"/>
                    <w:jc w:val="center"/>
                    <w:rPr>
                      <w:rFonts w:ascii="Times New Roman" w:hAnsi="Times New Roman"/>
                      <w:color w:val="auto"/>
                      <w:szCs w:val="21"/>
                    </w:rPr>
                  </w:pPr>
                  <w:r>
                    <w:rPr>
                      <w:rFonts w:ascii="Times New Roman" w:hAnsi="Times New Roman"/>
                      <w:color w:val="auto"/>
                      <w:szCs w:val="21"/>
                    </w:rPr>
                    <w:t>20（无量纲）</w:t>
                  </w:r>
                </w:p>
              </w:tc>
              <w:tc>
                <w:tcPr>
                  <w:tcW w:w="72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2-14</w:t>
                  </w:r>
                </w:p>
              </w:tc>
              <w:tc>
                <w:tcPr>
                  <w:tcW w:w="630"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.6-0.7</w:t>
                  </w:r>
                </w:p>
              </w:tc>
              <w:tc>
                <w:tcPr>
                  <w:tcW w:w="706"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0</w:t>
                  </w:r>
                </w:p>
              </w:tc>
              <w:tc>
                <w:tcPr>
                  <w:tcW w:w="682"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.5</w:t>
                  </w:r>
                </w:p>
              </w:tc>
              <w:tc>
                <w:tcPr>
                  <w:tcW w:w="302" w:type="pct"/>
                  <w:noWrap w:val="0"/>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0</w:t>
                  </w:r>
                </w:p>
              </w:tc>
              <w:tc>
                <w:tcPr>
                  <w:tcW w:w="358" w:type="pct"/>
                  <w:noWrap w:val="0"/>
                  <w:vAlign w:val="center"/>
                </w:tcPr>
                <w:p>
                  <w:pPr>
                    <w:spacing w:line="280" w:lineRule="exact"/>
                    <w:jc w:val="center"/>
                    <w:rPr>
                      <w:rFonts w:hint="eastAsia"/>
                      <w:color w:val="auto"/>
                      <w:sz w:val="21"/>
                      <w:szCs w:val="21"/>
                    </w:rPr>
                  </w:pPr>
                  <w:r>
                    <w:rPr>
                      <w:rFonts w:hint="eastAsia"/>
                      <w:color w:val="auto"/>
                      <w:sz w:val="21"/>
                      <w:szCs w:val="21"/>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auto"/>
                <w:sz w:val="24"/>
                <w:szCs w:val="24"/>
                <w:highlight w:val="none"/>
              </w:rPr>
            </w:pPr>
            <w:r>
              <w:rPr>
                <w:rFonts w:hint="eastAsia"/>
                <w:color w:val="auto"/>
                <w:sz w:val="24"/>
                <w:szCs w:val="24"/>
                <w:highlight w:val="none"/>
                <w:lang w:eastAsia="zh-CN"/>
              </w:rPr>
              <w:t>根据</w:t>
            </w:r>
            <w:r>
              <w:rPr>
                <w:color w:val="auto"/>
                <w:sz w:val="24"/>
                <w:szCs w:val="24"/>
                <w:highlight w:val="none"/>
              </w:rPr>
              <w:t>以上监测结果可知，项目地</w:t>
            </w:r>
            <w:r>
              <w:rPr>
                <w:rFonts w:hint="eastAsia"/>
                <w:color w:val="auto"/>
                <w:sz w:val="24"/>
                <w:szCs w:val="24"/>
                <w:highlight w:val="none"/>
                <w:lang w:eastAsia="zh-CN"/>
              </w:rPr>
              <w:t>、</w:t>
            </w:r>
            <w:r>
              <w:rPr>
                <w:rFonts w:hint="eastAsia"/>
                <w:color w:val="auto"/>
                <w:sz w:val="24"/>
                <w:szCs w:val="24"/>
                <w:highlight w:val="none"/>
                <w:lang w:val="en-US" w:eastAsia="zh-CN"/>
              </w:rPr>
              <w:t>主导风向下风向处：甲醇、甲苯环境质量现状监测结果满足《环境评价影响技术导则 大气环境》（HJ2.2-2018）中表D限值要求；臭气浓度环境质量现状监测结果满足《恶臭污染物排放标准》（GB 14554-93）中表1二级新扩改建限值要求；非甲烷总烃环境质量现状监测结果满足《大气污染物综合排放标准详解》中2.0mg/m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的要求。</w:t>
            </w:r>
          </w:p>
          <w:p>
            <w:pPr>
              <w:spacing w:line="360" w:lineRule="auto"/>
              <w:ind w:firstLine="482" w:firstLineChars="200"/>
              <w:rPr>
                <w:b/>
                <w:bCs/>
                <w:color w:val="auto"/>
                <w:sz w:val="24"/>
                <w:szCs w:val="24"/>
                <w:highlight w:val="none"/>
              </w:rPr>
            </w:pPr>
            <w:r>
              <w:rPr>
                <w:b/>
                <w:bCs/>
                <w:color w:val="auto"/>
                <w:sz w:val="24"/>
                <w:szCs w:val="24"/>
                <w:highlight w:val="none"/>
              </w:rPr>
              <w:t>二、声环境现状监测</w:t>
            </w:r>
          </w:p>
          <w:p>
            <w:p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w:t>
            </w:r>
            <w:r>
              <w:rPr>
                <w:rFonts w:hint="eastAsia" w:cs="Times New Roman"/>
                <w:color w:val="auto"/>
                <w:kern w:val="2"/>
                <w:sz w:val="24"/>
                <w:szCs w:val="24"/>
                <w:highlight w:val="none"/>
                <w:lang w:val="en-US" w:eastAsia="zh-CN" w:bidi="ar-SA"/>
              </w:rPr>
              <w:t>次危废暂存间</w:t>
            </w:r>
            <w:r>
              <w:rPr>
                <w:rFonts w:hint="eastAsia" w:ascii="Times New Roman" w:hAnsi="Times New Roman" w:eastAsia="宋体" w:cs="Times New Roman"/>
                <w:color w:val="auto"/>
                <w:kern w:val="2"/>
                <w:sz w:val="24"/>
                <w:szCs w:val="24"/>
                <w:highlight w:val="none"/>
                <w:lang w:val="en-US" w:eastAsia="zh-CN" w:bidi="ar-SA"/>
              </w:rPr>
              <w:t>项目厂界外50m范围内无医院、学校、机关、科研单位、住宅、自然保护区等声环境保护目标，</w:t>
            </w:r>
            <w:r>
              <w:rPr>
                <w:rFonts w:hint="eastAsia" w:cs="Times New Roman"/>
                <w:color w:val="auto"/>
                <w:kern w:val="2"/>
                <w:sz w:val="24"/>
                <w:szCs w:val="24"/>
                <w:highlight w:val="none"/>
                <w:lang w:val="en-US" w:eastAsia="zh-CN" w:bidi="ar-SA"/>
              </w:rPr>
              <w:t>仅对厂界</w:t>
            </w:r>
            <w:r>
              <w:rPr>
                <w:rFonts w:hint="eastAsia" w:ascii="Times New Roman" w:hAnsi="Times New Roman" w:eastAsia="宋体" w:cs="Times New Roman"/>
                <w:color w:val="auto"/>
                <w:kern w:val="2"/>
                <w:sz w:val="24"/>
                <w:szCs w:val="24"/>
                <w:highlight w:val="none"/>
                <w:lang w:val="en-US" w:eastAsia="zh-CN" w:bidi="ar-SA"/>
              </w:rPr>
              <w:t>声环境质量现状评价。根据《渭南市主城区和卤阳湖现代产业开发区声环境功能区划调整方案》（渭政办发[2020]7号）</w:t>
            </w:r>
            <w:r>
              <w:rPr>
                <w:rFonts w:hint="eastAsia" w:cs="Times New Roman"/>
                <w:color w:val="auto"/>
                <w:kern w:val="2"/>
                <w:sz w:val="24"/>
                <w:szCs w:val="24"/>
                <w:highlight w:val="none"/>
                <w:lang w:val="en-US" w:eastAsia="zh-CN" w:bidi="ar-SA"/>
              </w:rPr>
              <w:t>，北至东风大街，南至连霍高速，西至西环路，东至新盛路范围内执行</w:t>
            </w:r>
            <w:r>
              <w:rPr>
                <w:rFonts w:hint="eastAsia"/>
                <w:color w:val="auto"/>
                <w:sz w:val="24"/>
              </w:rPr>
              <w:t>《声环境质量标准》（GB3096-2008）</w:t>
            </w:r>
            <w:r>
              <w:rPr>
                <w:rFonts w:hint="eastAsia"/>
                <w:color w:val="auto"/>
                <w:sz w:val="24"/>
                <w:lang w:val="en-US" w:eastAsia="zh-CN"/>
              </w:rPr>
              <w:t>3类标准。</w:t>
            </w:r>
          </w:p>
          <w:p>
            <w:pPr>
              <w:spacing w:line="360" w:lineRule="auto"/>
              <w:ind w:firstLine="482"/>
              <w:jc w:val="left"/>
              <w:rPr>
                <w:rFonts w:hint="eastAsia"/>
                <w:color w:val="auto"/>
                <w:sz w:val="24"/>
              </w:rPr>
            </w:pPr>
            <w:r>
              <w:rPr>
                <w:rFonts w:hint="eastAsia"/>
                <w:color w:val="auto"/>
                <w:sz w:val="24"/>
                <w:lang w:val="en-US" w:eastAsia="zh-CN"/>
              </w:rPr>
              <w:t>1、</w:t>
            </w:r>
            <w:r>
              <w:rPr>
                <w:rFonts w:hint="eastAsia"/>
                <w:color w:val="auto"/>
                <w:sz w:val="24"/>
              </w:rPr>
              <w:t>监测点位</w:t>
            </w:r>
          </w:p>
          <w:p>
            <w:pPr>
              <w:spacing w:line="360" w:lineRule="auto"/>
              <w:ind w:firstLine="482"/>
              <w:jc w:val="left"/>
              <w:rPr>
                <w:rFonts w:hint="eastAsia"/>
                <w:color w:val="auto"/>
                <w:sz w:val="24"/>
              </w:rPr>
            </w:pPr>
            <w:r>
              <w:rPr>
                <w:rFonts w:hint="eastAsia"/>
                <w:color w:val="auto"/>
                <w:sz w:val="24"/>
                <w:lang w:eastAsia="zh-CN"/>
              </w:rPr>
              <w:t>危废暂存间</w:t>
            </w:r>
            <w:r>
              <w:rPr>
                <w:rFonts w:hint="eastAsia"/>
                <w:color w:val="auto"/>
                <w:sz w:val="24"/>
              </w:rPr>
              <w:t>东、南、西、北厂界各设1个监测点位。</w:t>
            </w:r>
          </w:p>
          <w:p>
            <w:pPr>
              <w:spacing w:line="360" w:lineRule="auto"/>
              <w:ind w:firstLine="482"/>
              <w:jc w:val="left"/>
              <w:rPr>
                <w:rFonts w:hint="eastAsia"/>
                <w:color w:val="auto"/>
                <w:sz w:val="24"/>
              </w:rPr>
            </w:pPr>
            <w:r>
              <w:rPr>
                <w:rFonts w:hint="eastAsia"/>
                <w:color w:val="auto"/>
                <w:sz w:val="24"/>
                <w:lang w:val="en-US" w:eastAsia="zh-CN"/>
              </w:rPr>
              <w:t>2、</w:t>
            </w:r>
            <w:r>
              <w:rPr>
                <w:rFonts w:hint="eastAsia"/>
                <w:color w:val="auto"/>
                <w:sz w:val="24"/>
              </w:rPr>
              <w:t>监测方法</w:t>
            </w:r>
          </w:p>
          <w:p>
            <w:pPr>
              <w:spacing w:line="360" w:lineRule="auto"/>
              <w:ind w:firstLine="482"/>
              <w:jc w:val="left"/>
              <w:rPr>
                <w:rFonts w:hint="eastAsia"/>
                <w:color w:val="auto"/>
                <w:sz w:val="24"/>
              </w:rPr>
            </w:pPr>
            <w:r>
              <w:rPr>
                <w:rFonts w:hint="eastAsia"/>
                <w:color w:val="auto"/>
                <w:sz w:val="24"/>
              </w:rPr>
              <w:t>监测方法按照《声环境质量标准》（GB3096-2008）有关规定进行。</w:t>
            </w:r>
          </w:p>
          <w:p>
            <w:pPr>
              <w:spacing w:line="360" w:lineRule="auto"/>
              <w:ind w:firstLine="482"/>
              <w:jc w:val="left"/>
              <w:rPr>
                <w:rFonts w:hint="eastAsia"/>
                <w:color w:val="auto"/>
                <w:sz w:val="24"/>
              </w:rPr>
            </w:pPr>
            <w:r>
              <w:rPr>
                <w:rFonts w:hint="eastAsia"/>
                <w:color w:val="auto"/>
                <w:sz w:val="24"/>
                <w:lang w:val="en-US" w:eastAsia="zh-CN"/>
              </w:rPr>
              <w:t>3、</w:t>
            </w:r>
            <w:r>
              <w:rPr>
                <w:rFonts w:hint="eastAsia"/>
                <w:color w:val="auto"/>
                <w:sz w:val="24"/>
              </w:rPr>
              <w:t>监测时间与频次</w:t>
            </w:r>
          </w:p>
          <w:p>
            <w:pPr>
              <w:spacing w:line="360" w:lineRule="auto"/>
              <w:ind w:firstLine="482"/>
              <w:jc w:val="left"/>
              <w:rPr>
                <w:color w:val="auto"/>
                <w:sz w:val="24"/>
              </w:rPr>
            </w:pPr>
            <w:r>
              <w:rPr>
                <w:rFonts w:hint="eastAsia"/>
                <w:color w:val="auto"/>
                <w:sz w:val="24"/>
              </w:rPr>
              <w:t>陕西中润检测有限公司</w:t>
            </w:r>
            <w:r>
              <w:rPr>
                <w:color w:val="auto"/>
                <w:sz w:val="24"/>
              </w:rPr>
              <w:t>于202</w:t>
            </w:r>
            <w:r>
              <w:rPr>
                <w:rFonts w:hint="eastAsia"/>
                <w:color w:val="auto"/>
                <w:sz w:val="24"/>
                <w:lang w:val="en-US" w:eastAsia="zh-CN"/>
              </w:rPr>
              <w:t>3</w:t>
            </w:r>
            <w:r>
              <w:rPr>
                <w:color w:val="auto"/>
                <w:sz w:val="24"/>
              </w:rPr>
              <w:t>年</w:t>
            </w:r>
            <w:r>
              <w:rPr>
                <w:rFonts w:hint="eastAsia"/>
                <w:color w:val="auto"/>
                <w:sz w:val="24"/>
                <w:lang w:val="en-US" w:eastAsia="zh-CN"/>
              </w:rPr>
              <w:t>3</w:t>
            </w:r>
            <w:r>
              <w:rPr>
                <w:color w:val="auto"/>
                <w:sz w:val="24"/>
              </w:rPr>
              <w:t>月</w:t>
            </w:r>
            <w:r>
              <w:rPr>
                <w:rFonts w:hint="eastAsia"/>
                <w:color w:val="auto"/>
                <w:sz w:val="24"/>
                <w:lang w:val="en-US" w:eastAsia="zh-CN"/>
              </w:rPr>
              <w:t>1</w:t>
            </w:r>
            <w:r>
              <w:rPr>
                <w:color w:val="auto"/>
                <w:sz w:val="24"/>
              </w:rPr>
              <w:t>日</w:t>
            </w:r>
            <w:r>
              <w:rPr>
                <w:rFonts w:hint="eastAsia"/>
                <w:color w:val="auto"/>
                <w:sz w:val="24"/>
                <w:lang w:eastAsia="zh-CN"/>
              </w:rPr>
              <w:t>至</w:t>
            </w:r>
            <w:r>
              <w:rPr>
                <w:rFonts w:hint="eastAsia"/>
                <w:color w:val="auto"/>
                <w:sz w:val="24"/>
                <w:lang w:val="en-US" w:eastAsia="zh-CN"/>
              </w:rPr>
              <w:t>2日，</w:t>
            </w:r>
            <w:r>
              <w:rPr>
                <w:color w:val="auto"/>
                <w:sz w:val="24"/>
              </w:rPr>
              <w:t>对</w:t>
            </w:r>
            <w:r>
              <w:rPr>
                <w:rFonts w:hint="eastAsia"/>
                <w:color w:val="auto"/>
                <w:sz w:val="24"/>
              </w:rPr>
              <w:t>声环境质量现状</w:t>
            </w:r>
            <w:r>
              <w:rPr>
                <w:color w:val="auto"/>
                <w:sz w:val="24"/>
              </w:rPr>
              <w:t>进行了监测，监测方法按《声环境质量标准》（GB3096-2008）进行。</w:t>
            </w:r>
          </w:p>
          <w:p>
            <w:pPr>
              <w:spacing w:line="360" w:lineRule="auto"/>
              <w:ind w:firstLine="482"/>
              <w:jc w:val="left"/>
              <w:rPr>
                <w:rFonts w:hint="eastAsia"/>
                <w:color w:val="auto"/>
                <w:sz w:val="24"/>
              </w:rPr>
            </w:pPr>
            <w:r>
              <w:rPr>
                <w:rFonts w:hint="eastAsia"/>
                <w:color w:val="auto"/>
                <w:sz w:val="24"/>
                <w:lang w:val="en-US" w:eastAsia="zh-CN"/>
              </w:rPr>
              <w:t>4、</w:t>
            </w:r>
            <w:r>
              <w:rPr>
                <w:rFonts w:hint="eastAsia"/>
                <w:color w:val="auto"/>
                <w:sz w:val="24"/>
              </w:rPr>
              <w:t>监测结果</w:t>
            </w:r>
          </w:p>
          <w:p>
            <w:pPr>
              <w:spacing w:line="360" w:lineRule="auto"/>
              <w:ind w:firstLine="482"/>
              <w:rPr>
                <w:rFonts w:hint="eastAsia"/>
                <w:color w:val="auto"/>
                <w:sz w:val="24"/>
              </w:rPr>
            </w:pPr>
            <w:r>
              <w:rPr>
                <w:rFonts w:hint="eastAsia"/>
                <w:color w:val="auto"/>
                <w:sz w:val="24"/>
              </w:rPr>
              <w:t>监测结果见表</w:t>
            </w:r>
            <w:r>
              <w:rPr>
                <w:color w:val="auto"/>
                <w:sz w:val="24"/>
              </w:rPr>
              <w:t>3-</w:t>
            </w:r>
            <w:r>
              <w:rPr>
                <w:rFonts w:hint="eastAsia"/>
                <w:color w:val="auto"/>
                <w:sz w:val="24"/>
                <w:lang w:val="en-US" w:eastAsia="zh-CN"/>
              </w:rPr>
              <w:t>6</w:t>
            </w:r>
            <w:r>
              <w:rPr>
                <w:rFonts w:hint="eastAsia"/>
                <w:color w:val="auto"/>
                <w:sz w:val="24"/>
              </w:rPr>
              <w:t>。</w:t>
            </w:r>
          </w:p>
          <w:p>
            <w:pPr>
              <w:snapToGrid w:val="0"/>
              <w:spacing w:line="360" w:lineRule="auto"/>
              <w:ind w:firstLine="14" w:firstLineChars="6"/>
              <w:jc w:val="center"/>
              <w:rPr>
                <w:b/>
                <w:bCs/>
                <w:color w:val="auto"/>
                <w:sz w:val="24"/>
              </w:rPr>
            </w:pPr>
            <w:r>
              <w:rPr>
                <w:b/>
                <w:bCs/>
                <w:color w:val="auto"/>
                <w:sz w:val="24"/>
              </w:rPr>
              <w:t>表3-</w:t>
            </w:r>
            <w:r>
              <w:rPr>
                <w:rFonts w:hint="eastAsia"/>
                <w:b/>
                <w:bCs/>
                <w:color w:val="auto"/>
                <w:sz w:val="24"/>
                <w:lang w:val="en-US" w:eastAsia="zh-CN"/>
              </w:rPr>
              <w:t>6</w:t>
            </w:r>
            <w:r>
              <w:rPr>
                <w:rFonts w:hint="eastAsia"/>
                <w:b/>
                <w:bCs/>
                <w:color w:val="auto"/>
                <w:sz w:val="24"/>
              </w:rPr>
              <w:t xml:space="preserve">  </w:t>
            </w:r>
            <w:r>
              <w:rPr>
                <w:b/>
                <w:bCs/>
                <w:color w:val="auto"/>
                <w:sz w:val="24"/>
              </w:rPr>
              <w:t>声环境监测结果统计表</w:t>
            </w:r>
            <w:r>
              <w:rPr>
                <w:rFonts w:hint="eastAsia"/>
                <w:b/>
                <w:bCs/>
                <w:color w:val="auto"/>
                <w:sz w:val="24"/>
              </w:rPr>
              <w:t xml:space="preserve">   </w:t>
            </w:r>
            <w:r>
              <w:rPr>
                <w:b/>
                <w:bCs/>
                <w:color w:val="auto"/>
                <w:sz w:val="24"/>
              </w:rPr>
              <w:t>单位：dB(A)</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3"/>
              <w:gridCol w:w="1290"/>
              <w:gridCol w:w="1292"/>
              <w:gridCol w:w="1290"/>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928" w:type="pct"/>
                  <w:vMerge w:val="restart"/>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监测点位</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月01日</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928" w:type="pct"/>
                  <w:vMerge w:val="continue"/>
                  <w:noWrap w:val="0"/>
                  <w:vAlign w:val="center"/>
                </w:tcPr>
                <w:p>
                  <w:pPr>
                    <w:spacing w:line="288" w:lineRule="auto"/>
                    <w:jc w:val="center"/>
                    <w:rPr>
                      <w:rFonts w:hint="default" w:ascii="Times New Roman" w:hAnsi="Times New Roman" w:eastAsia="宋体" w:cs="Times New Roman"/>
                      <w:b/>
                      <w:bCs/>
                      <w:color w:val="auto"/>
                      <w:szCs w:val="21"/>
                    </w:rPr>
                  </w:pPr>
                </w:p>
              </w:tc>
              <w:tc>
                <w:tcPr>
                  <w:tcW w:w="767" w:type="pct"/>
                  <w:noWrap w:val="0"/>
                  <w:vAlign w:val="center"/>
                </w:tcPr>
                <w:p>
                  <w:pPr>
                    <w:spacing w:line="288"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（1#）</w:t>
                  </w:r>
                  <w:r>
                    <w:rPr>
                      <w:rFonts w:hint="eastAsia"/>
                      <w:color w:val="auto"/>
                      <w:szCs w:val="21"/>
                      <w:lang w:eastAsia="zh-CN"/>
                    </w:rPr>
                    <w:t>危废间东边界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59</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（2#）</w:t>
                  </w:r>
                  <w:r>
                    <w:rPr>
                      <w:rFonts w:hint="eastAsia"/>
                      <w:color w:val="auto"/>
                      <w:szCs w:val="21"/>
                      <w:lang w:eastAsia="zh-CN"/>
                    </w:rPr>
                    <w:t>危废间南边界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62</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（3#）</w:t>
                  </w:r>
                  <w:r>
                    <w:rPr>
                      <w:rFonts w:hint="eastAsia"/>
                      <w:color w:val="auto"/>
                      <w:szCs w:val="21"/>
                      <w:lang w:eastAsia="zh-CN"/>
                    </w:rPr>
                    <w:t>危废间西边界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52</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（4#）</w:t>
                  </w:r>
                  <w:r>
                    <w:rPr>
                      <w:rFonts w:hint="eastAsia"/>
                      <w:color w:val="auto"/>
                      <w:szCs w:val="21"/>
                      <w:lang w:eastAsia="zh-CN"/>
                    </w:rPr>
                    <w:t>危废间北边界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49</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928" w:type="pct"/>
                  <w:tcBorders>
                    <w:right w:val="single" w:color="000000" w:sz="4" w:space="0"/>
                  </w:tcBorders>
                  <w:noWrap w:val="0"/>
                  <w:vAlign w:val="center"/>
                </w:tcPr>
                <w:p>
                  <w:pPr>
                    <w:tabs>
                      <w:tab w:val="center" w:pos="1206"/>
                      <w:tab w:val="right" w:pos="2293"/>
                    </w:tabs>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声环境质量标准》（GB3096-2008）</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lang w:eastAsia="zh-CN"/>
                    </w:rPr>
                    <w:t>类标准</w:t>
                  </w:r>
                </w:p>
              </w:tc>
              <w:tc>
                <w:tcPr>
                  <w:tcW w:w="3071" w:type="pct"/>
                  <w:gridSpan w:val="4"/>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昼间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65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lang w:val="en-US" w:eastAsia="zh-CN"/>
                    </w:rPr>
                    <w:t>夜间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55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p>
              </w:tc>
            </w:tr>
          </w:tbl>
          <w:p>
            <w:pPr>
              <w:spacing w:line="360" w:lineRule="auto"/>
              <w:ind w:firstLine="482"/>
              <w:rPr>
                <w:rFonts w:hint="eastAsia"/>
                <w:color w:val="auto"/>
                <w:sz w:val="24"/>
              </w:rPr>
            </w:pPr>
            <w:r>
              <w:rPr>
                <w:color w:val="auto"/>
                <w:sz w:val="24"/>
              </w:rPr>
              <w:t>从</w:t>
            </w:r>
            <w:r>
              <w:rPr>
                <w:color w:val="auto"/>
                <w:spacing w:val="-4"/>
                <w:sz w:val="24"/>
              </w:rPr>
              <w:t>监</w:t>
            </w:r>
            <w:r>
              <w:rPr>
                <w:color w:val="auto"/>
                <w:sz w:val="24"/>
              </w:rPr>
              <w:t>测结果可以看出，评价区环境噪声满足《声环境质量标准》（GB3096-2008）</w:t>
            </w:r>
            <w:r>
              <w:rPr>
                <w:rFonts w:hint="eastAsia"/>
                <w:color w:val="auto"/>
                <w:sz w:val="24"/>
                <w:lang w:val="en-US" w:eastAsia="zh-CN"/>
              </w:rPr>
              <w:t>3</w:t>
            </w:r>
            <w:r>
              <w:rPr>
                <w:color w:val="auto"/>
                <w:sz w:val="24"/>
              </w:rPr>
              <w:t>类标准要求。</w:t>
            </w:r>
          </w:p>
          <w:p>
            <w:pPr>
              <w:numPr>
                <w:ilvl w:val="0"/>
                <w:numId w:val="0"/>
              </w:numPr>
              <w:spacing w:line="360" w:lineRule="auto"/>
              <w:ind w:firstLine="482" w:firstLineChars="200"/>
              <w:rPr>
                <w:rFonts w:hint="eastAsia"/>
                <w:b/>
                <w:color w:val="auto"/>
                <w:sz w:val="24"/>
                <w:szCs w:val="24"/>
                <w:highlight w:val="none"/>
                <w:lang w:val="en-US" w:eastAsia="zh-CN"/>
              </w:rPr>
            </w:pPr>
            <w:r>
              <w:rPr>
                <w:rFonts w:hint="eastAsia"/>
                <w:b/>
                <w:color w:val="auto"/>
                <w:sz w:val="24"/>
                <w:szCs w:val="24"/>
                <w:highlight w:val="none"/>
                <w:lang w:val="en-US" w:eastAsia="zh-CN"/>
              </w:rPr>
              <w:t>三、地下水环境现状</w:t>
            </w:r>
          </w:p>
          <w:p>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根据《建设项目环境影响报告表编制技术指南》（污染影响类）（试行）及本项目实际污染物排放情况，</w:t>
            </w:r>
            <w:r>
              <w:rPr>
                <w:rFonts w:hint="eastAsia" w:cs="Times New Roman"/>
                <w:color w:val="auto"/>
                <w:sz w:val="24"/>
                <w:szCs w:val="24"/>
                <w:highlight w:val="none"/>
                <w:lang w:val="en-US" w:eastAsia="zh-CN"/>
              </w:rPr>
              <w:t>厂区</w:t>
            </w:r>
            <w:r>
              <w:rPr>
                <w:rFonts w:hint="eastAsia" w:ascii="Times New Roman" w:hAnsi="Times New Roman" w:cs="Times New Roman"/>
                <w:color w:val="auto"/>
                <w:sz w:val="24"/>
                <w:szCs w:val="24"/>
                <w:highlight w:val="none"/>
                <w:lang w:val="en-US" w:eastAsia="zh-CN"/>
              </w:rPr>
              <w:t>范围内土地均已硬化，危废暂存</w:t>
            </w:r>
            <w:r>
              <w:rPr>
                <w:rFonts w:hint="eastAsia" w:cs="Times New Roman"/>
                <w:color w:val="auto"/>
                <w:sz w:val="24"/>
                <w:szCs w:val="24"/>
                <w:highlight w:val="none"/>
                <w:lang w:val="en-US" w:eastAsia="zh-CN"/>
              </w:rPr>
              <w:t>间</w:t>
            </w:r>
            <w:r>
              <w:rPr>
                <w:rFonts w:hint="eastAsia" w:ascii="Times New Roman" w:hAnsi="Times New Roman" w:cs="Times New Roman"/>
                <w:color w:val="auto"/>
                <w:sz w:val="24"/>
                <w:szCs w:val="24"/>
                <w:highlight w:val="none"/>
                <w:lang w:val="en-US" w:eastAsia="zh-CN"/>
              </w:rPr>
              <w:t>也进行了重点防渗处理，为更好了解项目区域地下水环境质量，</w:t>
            </w:r>
            <w:r>
              <w:rPr>
                <w:color w:val="auto"/>
                <w:sz w:val="24"/>
                <w:highlight w:val="none"/>
              </w:rPr>
              <w:t>陕西中润检测有限公司于202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2</w:t>
            </w:r>
            <w:r>
              <w:rPr>
                <w:color w:val="auto"/>
                <w:sz w:val="24"/>
                <w:highlight w:val="none"/>
              </w:rPr>
              <w:t>2</w:t>
            </w:r>
            <w:r>
              <w:rPr>
                <w:rFonts w:hint="eastAsia"/>
                <w:color w:val="auto"/>
                <w:sz w:val="24"/>
                <w:highlight w:val="none"/>
              </w:rPr>
              <w:t>日</w:t>
            </w:r>
            <w:r>
              <w:rPr>
                <w:rFonts w:hint="eastAsia"/>
                <w:color w:val="auto"/>
                <w:sz w:val="24"/>
                <w:highlight w:val="none"/>
                <w:lang w:eastAsia="zh-CN"/>
              </w:rPr>
              <w:t>至</w:t>
            </w:r>
            <w:r>
              <w:rPr>
                <w:rFonts w:hint="eastAsia"/>
                <w:color w:val="auto"/>
                <w:sz w:val="24"/>
                <w:highlight w:val="none"/>
                <w:lang w:val="en-US" w:eastAsia="zh-CN"/>
              </w:rPr>
              <w:t>3月23日，</w:t>
            </w:r>
            <w:r>
              <w:rPr>
                <w:rFonts w:hint="eastAsia" w:ascii="Times New Roman" w:hAnsi="Times New Roman" w:cs="Times New Roman"/>
                <w:color w:val="auto"/>
                <w:sz w:val="24"/>
                <w:szCs w:val="24"/>
                <w:highlight w:val="none"/>
                <w:lang w:val="en-US" w:eastAsia="zh-CN"/>
              </w:rPr>
              <w:t>对项目区地下水环境质量进行了监测。</w:t>
            </w:r>
          </w:p>
          <w:p>
            <w:pPr>
              <w:pStyle w:val="85"/>
              <w:pageBreakBefore w:val="0"/>
              <w:widowControl w:val="0"/>
              <w:numPr>
                <w:ilvl w:val="0"/>
                <w:numId w:val="12"/>
              </w:numPr>
              <w:kinsoku/>
              <w:wordWrap/>
              <w:overflowPunct/>
              <w:topLinePunct w:val="0"/>
              <w:autoSpaceDE/>
              <w:autoSpaceDN/>
              <w:bidi w:val="0"/>
              <w:adjustRightInd w:val="0"/>
              <w:snapToGrid w:val="0"/>
              <w:spacing w:before="0" w:after="0" w:line="360" w:lineRule="auto"/>
              <w:ind w:firstLine="480" w:firstLineChars="200"/>
              <w:rPr>
                <w:rFonts w:hint="eastAsia" w:ascii="Times New Roman" w:hAnsi="Times New Roman" w:cs="Times New Roman" w:eastAsiaTheme="minorEastAsia"/>
                <w:b w:val="0"/>
                <w:bCs w:val="0"/>
                <w:color w:val="auto"/>
                <w:kern w:val="0"/>
                <w:sz w:val="24"/>
                <w:szCs w:val="24"/>
                <w:highlight w:val="none"/>
                <w:lang w:val="en-US" w:eastAsia="zh-CN" w:bidi="ar-SA"/>
              </w:rPr>
            </w:pPr>
            <w:r>
              <w:rPr>
                <w:rFonts w:hint="eastAsia" w:ascii="Times New Roman" w:hAnsi="Times New Roman" w:cs="Times New Roman" w:eastAsiaTheme="minorEastAsia"/>
                <w:b w:val="0"/>
                <w:bCs w:val="0"/>
                <w:color w:val="auto"/>
                <w:kern w:val="0"/>
                <w:sz w:val="24"/>
                <w:szCs w:val="24"/>
                <w:highlight w:val="none"/>
                <w:lang w:val="en-US" w:eastAsia="zh-CN" w:bidi="ar-SA"/>
              </w:rPr>
              <w:t>监测点位：1#厂区地下水井。</w:t>
            </w:r>
          </w:p>
          <w:p>
            <w:pPr>
              <w:pageBreakBefore w:val="0"/>
              <w:widowControl w:val="0"/>
              <w:kinsoku/>
              <w:wordWrap/>
              <w:overflowPunct/>
              <w:topLinePunct w:val="0"/>
              <w:autoSpaceDE/>
              <w:autoSpaceDN/>
              <w:bidi w:val="0"/>
              <w:adjustRightInd w:val="0"/>
              <w:snapToGrid w:val="0"/>
              <w:spacing w:line="360" w:lineRule="auto"/>
              <w:jc w:val="center"/>
              <w:rPr>
                <w:b/>
                <w:bCs/>
                <w:color w:val="auto"/>
                <w:sz w:val="24"/>
                <w:szCs w:val="24"/>
                <w:highlight w:val="none"/>
              </w:rPr>
            </w:pPr>
          </w:p>
          <w:p>
            <w:pPr>
              <w:pageBreakBefore w:val="0"/>
              <w:widowControl w:val="0"/>
              <w:kinsoku/>
              <w:wordWrap/>
              <w:overflowPunct/>
              <w:topLinePunct w:val="0"/>
              <w:autoSpaceDE/>
              <w:autoSpaceDN/>
              <w:bidi w:val="0"/>
              <w:adjustRightInd w:val="0"/>
              <w:snapToGrid w:val="0"/>
              <w:spacing w:line="360" w:lineRule="auto"/>
              <w:jc w:val="center"/>
              <w:rPr>
                <w:rFonts w:hint="default" w:eastAsia="宋体"/>
                <w:b/>
                <w:bCs/>
                <w:color w:val="auto"/>
                <w:sz w:val="24"/>
                <w:szCs w:val="24"/>
                <w:highlight w:val="none"/>
                <w:lang w:val="en-US" w:eastAsia="zh-CN"/>
              </w:rPr>
            </w:pPr>
            <w:r>
              <w:rPr>
                <w:b/>
                <w:bCs/>
                <w:color w:val="auto"/>
                <w:sz w:val="24"/>
                <w:szCs w:val="24"/>
                <w:highlight w:val="none"/>
              </w:rPr>
              <w:t>表3-</w:t>
            </w:r>
            <w:r>
              <w:rPr>
                <w:rFonts w:hint="eastAsia"/>
                <w:b/>
                <w:bCs/>
                <w:color w:val="auto"/>
                <w:sz w:val="24"/>
                <w:szCs w:val="24"/>
                <w:highlight w:val="none"/>
                <w:lang w:val="en-US" w:eastAsia="zh-CN"/>
              </w:rPr>
              <w:t>7</w:t>
            </w:r>
            <w:r>
              <w:rPr>
                <w:b/>
                <w:bCs/>
                <w:color w:val="auto"/>
                <w:sz w:val="24"/>
                <w:szCs w:val="24"/>
                <w:highlight w:val="none"/>
              </w:rPr>
              <w:t xml:space="preserve"> </w:t>
            </w:r>
            <w:r>
              <w:rPr>
                <w:rFonts w:hint="eastAsia"/>
                <w:b/>
                <w:bCs/>
                <w:color w:val="auto"/>
                <w:sz w:val="24"/>
                <w:szCs w:val="24"/>
                <w:highlight w:val="none"/>
                <w:lang w:val="en-US" w:eastAsia="zh-CN"/>
              </w:rPr>
              <w:t>监测点位情况表</w:t>
            </w:r>
          </w:p>
          <w:tbl>
            <w:tblPr>
              <w:tblStyle w:val="31"/>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83"/>
              <w:gridCol w:w="1242"/>
              <w:gridCol w:w="2882"/>
              <w:gridCol w:w="1453"/>
              <w:gridCol w:w="18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585" w:type="pct"/>
                  <w:tcBorders>
                    <w:tl2br w:val="nil"/>
                    <w:tr2bl w:val="nil"/>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 xml:space="preserve"> 编号</w:t>
                  </w:r>
                </w:p>
              </w:tc>
              <w:tc>
                <w:tcPr>
                  <w:tcW w:w="739" w:type="pct"/>
                  <w:tcBorders>
                    <w:tl2br w:val="nil"/>
                    <w:tr2bl w:val="nil"/>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监测点位</w:t>
                  </w:r>
                </w:p>
              </w:tc>
              <w:tc>
                <w:tcPr>
                  <w:tcW w:w="1714" w:type="pct"/>
                  <w:tcBorders>
                    <w:tl2br w:val="nil"/>
                    <w:tr2bl w:val="nil"/>
                  </w:tcBorders>
                  <w:vAlign w:val="center"/>
                </w:tcPr>
                <w:p>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坐标</w:t>
                  </w:r>
                </w:p>
              </w:tc>
              <w:tc>
                <w:tcPr>
                  <w:tcW w:w="864" w:type="pct"/>
                  <w:tcBorders>
                    <w:tl2br w:val="nil"/>
                    <w:tr2bl w:val="nil"/>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井深（m）</w:t>
                  </w:r>
                </w:p>
              </w:tc>
              <w:tc>
                <w:tcPr>
                  <w:tcW w:w="1096" w:type="pct"/>
                  <w:tcBorders>
                    <w:tl2br w:val="nil"/>
                    <w:tr2bl w:val="nil"/>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水位埋深（m）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0" w:hRule="atLeast"/>
              </w:trPr>
              <w:tc>
                <w:tcPr>
                  <w:tcW w:w="585" w:type="pct"/>
                  <w:tcBorders>
                    <w:tl2br w:val="nil"/>
                    <w:tr2bl w:val="nil"/>
                  </w:tcBorders>
                  <w:vAlign w:val="center"/>
                </w:tcPr>
                <w:p>
                  <w:pPr>
                    <w:jc w:val="center"/>
                    <w:rPr>
                      <w:rFonts w:hint="default" w:eastAsia="宋体"/>
                      <w:color w:val="auto"/>
                      <w:szCs w:val="21"/>
                      <w:highlight w:val="none"/>
                      <w:lang w:val="en-US" w:eastAsia="zh-CN"/>
                    </w:rPr>
                  </w:pPr>
                  <w:r>
                    <w:rPr>
                      <w:rFonts w:hint="eastAsia"/>
                      <w:color w:val="auto"/>
                      <w:highlight w:val="none"/>
                      <w:lang w:val="en-US" w:eastAsia="zh-CN"/>
                    </w:rPr>
                    <w:t xml:space="preserve"> 1#</w:t>
                  </w:r>
                </w:p>
              </w:tc>
              <w:tc>
                <w:tcPr>
                  <w:tcW w:w="739" w:type="pct"/>
                  <w:tcBorders>
                    <w:tl2br w:val="nil"/>
                    <w:tr2bl w:val="nil"/>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厂区地下水井</w:t>
                  </w:r>
                </w:p>
              </w:tc>
              <w:tc>
                <w:tcPr>
                  <w:tcW w:w="1714" w:type="pct"/>
                  <w:tcBorders>
                    <w:tl2br w:val="nil"/>
                    <w:tr2bl w:val="nil"/>
                  </w:tcBorders>
                  <w:vAlign w:val="center"/>
                </w:tcPr>
                <w:p>
                  <w:pPr>
                    <w:jc w:val="both"/>
                    <w:rPr>
                      <w:rFonts w:hint="default"/>
                      <w:color w:val="auto"/>
                      <w:highlight w:val="none"/>
                      <w:lang w:val="en-US" w:eastAsia="zh-CN"/>
                    </w:rPr>
                  </w:pPr>
                  <w:r>
                    <w:rPr>
                      <w:rFonts w:hint="default"/>
                      <w:color w:val="auto"/>
                      <w:highlight w:val="none"/>
                      <w:lang w:val="en-US" w:eastAsia="zh-CN"/>
                    </w:rPr>
                    <w:t>北纬34°29'38.11''；东经109°25'15.12''</w:t>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30</w:t>
                  </w:r>
                </w:p>
              </w:tc>
              <w:tc>
                <w:tcPr>
                  <w:tcW w:w="10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20</w:t>
                  </w:r>
                </w:p>
              </w:tc>
            </w:tr>
          </w:tbl>
          <w:p>
            <w:pPr>
              <w:numPr>
                <w:ilvl w:val="0"/>
                <w:numId w:val="0"/>
              </w:numPr>
              <w:spacing w:line="360" w:lineRule="auto"/>
              <w:ind w:firstLine="480" w:firstLineChars="200"/>
              <w:rPr>
                <w:rFonts w:hint="default" w:ascii="Times New Roman" w:hAnsi="Times New Roman" w:cs="Times New Roman" w:eastAsiaTheme="minorEastAsia"/>
                <w:b w:val="0"/>
                <w:bCs w:val="0"/>
                <w:color w:val="auto"/>
                <w:kern w:val="0"/>
                <w:sz w:val="24"/>
                <w:szCs w:val="24"/>
                <w:highlight w:val="none"/>
                <w:lang w:val="en-US" w:eastAsia="zh-CN" w:bidi="ar-SA"/>
              </w:rPr>
            </w:pPr>
            <w:r>
              <w:rPr>
                <w:rFonts w:hint="default" w:ascii="Times New Roman" w:hAnsi="Times New Roman" w:cs="Times New Roman" w:eastAsiaTheme="minorEastAsia"/>
                <w:b w:val="0"/>
                <w:bCs w:val="0"/>
                <w:color w:val="auto"/>
                <w:kern w:val="0"/>
                <w:sz w:val="24"/>
                <w:szCs w:val="24"/>
                <w:highlight w:val="none"/>
                <w:lang w:val="en-US" w:eastAsia="zh-CN" w:bidi="ar-SA"/>
              </w:rPr>
              <w:t>（2）监测因子</w:t>
            </w:r>
            <w:r>
              <w:rPr>
                <w:rFonts w:hint="eastAsia" w:ascii="Times New Roman" w:hAnsi="Times New Roman" w:cs="Times New Roman" w:eastAsiaTheme="minorEastAsia"/>
                <w:b w:val="0"/>
                <w:bCs w:val="0"/>
                <w:color w:val="auto"/>
                <w:kern w:val="0"/>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pacing w:val="5"/>
                <w:sz w:val="24"/>
                <w:szCs w:val="24"/>
              </w:rPr>
              <w:t>pH、总硬度、溶解性总固体、硫酸盐、氯化物、铁、锰、铜、锌、铝、挥发性酚类（以苯酚计）、阴离子表面活性剂、耗氧量（以O</w:t>
            </w:r>
            <w:r>
              <w:rPr>
                <w:rFonts w:hint="default" w:ascii="Times New Roman" w:hAnsi="Times New Roman" w:cs="Times New Roman"/>
                <w:color w:val="auto"/>
                <w:spacing w:val="5"/>
                <w:sz w:val="24"/>
                <w:szCs w:val="24"/>
                <w:vertAlign w:val="subscript"/>
              </w:rPr>
              <w:t>2</w:t>
            </w:r>
            <w:r>
              <w:rPr>
                <w:rFonts w:hint="default" w:ascii="Times New Roman" w:hAnsi="Times New Roman" w:cs="Times New Roman"/>
                <w:color w:val="auto"/>
                <w:spacing w:val="5"/>
                <w:sz w:val="24"/>
                <w:szCs w:val="24"/>
              </w:rPr>
              <w:t>计）、氨氮（以N计）、硫化物、钠、总大肠菌群、菌落总数、亚硝酸盐（以N计）、硝酸盐（以N计）、氰化物、氟化物、碘化物、汞、砷、硒、镉、铬（六价）、铅、</w:t>
            </w:r>
            <w:r>
              <w:rPr>
                <w:rFonts w:hint="eastAsia" w:ascii="Times New Roman" w:hAnsi="Times New Roman" w:cs="Times New Roman"/>
                <w:color w:val="auto"/>
                <w:spacing w:val="5"/>
                <w:sz w:val="24"/>
                <w:szCs w:val="24"/>
                <w:lang w:eastAsia="zh-CN"/>
              </w:rPr>
              <w:t>三氯甲烷、四氯化碳、苯、甲苯、</w:t>
            </w:r>
            <w:r>
              <w:rPr>
                <w:rFonts w:hint="default" w:ascii="Times New Roman" w:hAnsi="Times New Roman" w:cs="Times New Roman"/>
                <w:color w:val="auto"/>
                <w:spacing w:val="5"/>
                <w:sz w:val="24"/>
                <w:szCs w:val="24"/>
              </w:rPr>
              <w:t>石油类及K</w:t>
            </w:r>
            <w:r>
              <w:rPr>
                <w:rFonts w:hint="default" w:ascii="Times New Roman" w:hAnsi="Times New Roman" w:cs="Times New Roman"/>
                <w:color w:val="auto"/>
                <w:spacing w:val="5"/>
                <w:sz w:val="24"/>
                <w:szCs w:val="24"/>
                <w:vertAlign w:val="superscript"/>
              </w:rPr>
              <w:t>+</w:t>
            </w:r>
            <w:r>
              <w:rPr>
                <w:rFonts w:hint="default" w:ascii="Times New Roman" w:hAnsi="Times New Roman" w:cs="Times New Roman"/>
                <w:color w:val="auto"/>
                <w:spacing w:val="5"/>
                <w:sz w:val="24"/>
                <w:szCs w:val="24"/>
              </w:rPr>
              <w:t>、Na</w:t>
            </w:r>
            <w:r>
              <w:rPr>
                <w:rFonts w:hint="default" w:ascii="Times New Roman" w:hAnsi="Times New Roman" w:cs="Times New Roman"/>
                <w:color w:val="auto"/>
                <w:spacing w:val="5"/>
                <w:sz w:val="24"/>
                <w:szCs w:val="24"/>
                <w:vertAlign w:val="superscript"/>
              </w:rPr>
              <w:t>+</w:t>
            </w:r>
            <w:r>
              <w:rPr>
                <w:rFonts w:hint="default" w:ascii="Times New Roman" w:hAnsi="Times New Roman" w:cs="Times New Roman"/>
                <w:color w:val="auto"/>
                <w:spacing w:val="5"/>
                <w:sz w:val="24"/>
                <w:szCs w:val="24"/>
              </w:rPr>
              <w:t>、Ca</w:t>
            </w:r>
            <w:r>
              <w:rPr>
                <w:rFonts w:hint="default" w:ascii="Times New Roman" w:hAnsi="Times New Roman" w:cs="Times New Roman"/>
                <w:color w:val="auto"/>
                <w:spacing w:val="5"/>
                <w:sz w:val="24"/>
                <w:szCs w:val="24"/>
                <w:vertAlign w:val="superscript"/>
              </w:rPr>
              <w:t>2+</w:t>
            </w:r>
            <w:r>
              <w:rPr>
                <w:rFonts w:hint="default" w:ascii="Times New Roman" w:hAnsi="Times New Roman" w:cs="Times New Roman"/>
                <w:color w:val="auto"/>
                <w:spacing w:val="5"/>
                <w:sz w:val="24"/>
                <w:szCs w:val="24"/>
              </w:rPr>
              <w:t>、Mg</w:t>
            </w:r>
            <w:r>
              <w:rPr>
                <w:rFonts w:hint="default" w:ascii="Times New Roman" w:hAnsi="Times New Roman" w:cs="Times New Roman"/>
                <w:color w:val="auto"/>
                <w:spacing w:val="5"/>
                <w:sz w:val="24"/>
                <w:szCs w:val="24"/>
                <w:vertAlign w:val="superscript"/>
              </w:rPr>
              <w:t>2+</w:t>
            </w:r>
            <w:r>
              <w:rPr>
                <w:rFonts w:hint="default" w:ascii="Times New Roman" w:hAnsi="Times New Roman" w:cs="Times New Roman"/>
                <w:color w:val="auto"/>
                <w:spacing w:val="5"/>
                <w:sz w:val="24"/>
                <w:szCs w:val="24"/>
              </w:rPr>
              <w:t>、CO</w:t>
            </w:r>
            <w:r>
              <w:rPr>
                <w:rFonts w:hint="default" w:ascii="Times New Roman" w:hAnsi="Times New Roman" w:cs="Times New Roman"/>
                <w:color w:val="auto"/>
                <w:spacing w:val="5"/>
                <w:sz w:val="24"/>
                <w:szCs w:val="24"/>
                <w:vertAlign w:val="subscript"/>
              </w:rPr>
              <w:t>3</w:t>
            </w:r>
            <w:r>
              <w:rPr>
                <w:rFonts w:hint="default" w:ascii="Times New Roman" w:hAnsi="Times New Roman" w:cs="Times New Roman"/>
                <w:color w:val="auto"/>
                <w:spacing w:val="5"/>
                <w:sz w:val="24"/>
                <w:szCs w:val="24"/>
                <w:vertAlign w:val="superscript"/>
              </w:rPr>
              <w:t>2-</w:t>
            </w:r>
            <w:r>
              <w:rPr>
                <w:rFonts w:hint="default" w:ascii="Times New Roman" w:hAnsi="Times New Roman" w:cs="Times New Roman"/>
                <w:color w:val="auto"/>
                <w:spacing w:val="5"/>
                <w:sz w:val="24"/>
                <w:szCs w:val="24"/>
              </w:rPr>
              <w:t>、HCO</w:t>
            </w:r>
            <w:r>
              <w:rPr>
                <w:rFonts w:hint="default" w:ascii="Times New Roman" w:hAnsi="Times New Roman" w:cs="Times New Roman"/>
                <w:color w:val="auto"/>
                <w:spacing w:val="5"/>
                <w:sz w:val="24"/>
                <w:szCs w:val="24"/>
                <w:vertAlign w:val="superscript"/>
              </w:rPr>
              <w:t>3-</w:t>
            </w:r>
            <w:r>
              <w:rPr>
                <w:rFonts w:hint="default" w:ascii="Times New Roman" w:hAnsi="Times New Roman" w:cs="Times New Roman"/>
                <w:color w:val="auto"/>
                <w:spacing w:val="5"/>
                <w:sz w:val="24"/>
                <w:szCs w:val="24"/>
              </w:rPr>
              <w:t>、Cl-、SO</w:t>
            </w:r>
            <w:r>
              <w:rPr>
                <w:rFonts w:hint="default" w:ascii="Times New Roman" w:hAnsi="Times New Roman" w:cs="Times New Roman"/>
                <w:color w:val="auto"/>
                <w:spacing w:val="5"/>
                <w:sz w:val="24"/>
                <w:szCs w:val="24"/>
                <w:vertAlign w:val="subscript"/>
              </w:rPr>
              <w:t>4</w:t>
            </w:r>
            <w:r>
              <w:rPr>
                <w:rFonts w:hint="default" w:ascii="Times New Roman" w:hAnsi="Times New Roman" w:cs="Times New Roman"/>
                <w:color w:val="auto"/>
                <w:spacing w:val="5"/>
                <w:sz w:val="24"/>
                <w:szCs w:val="24"/>
                <w:vertAlign w:val="superscript"/>
              </w:rPr>
              <w:t>2-</w:t>
            </w:r>
            <w:r>
              <w:rPr>
                <w:rFonts w:hint="default" w:ascii="Times New Roman" w:hAnsi="Times New Roman" w:cs="Times New Roman"/>
                <w:color w:val="auto"/>
                <w:spacing w:val="5"/>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pacing w:val="5"/>
                <w:sz w:val="24"/>
                <w:szCs w:val="24"/>
                <w:lang w:eastAsia="zh-CN"/>
              </w:rPr>
              <w:t>（</w:t>
            </w:r>
            <w:r>
              <w:rPr>
                <w:rFonts w:hint="eastAsia" w:ascii="Times New Roman" w:hAnsi="Times New Roman" w:cs="Times New Roman"/>
                <w:color w:val="auto"/>
                <w:spacing w:val="5"/>
                <w:sz w:val="24"/>
                <w:szCs w:val="24"/>
                <w:lang w:val="en-US" w:eastAsia="zh-CN"/>
              </w:rPr>
              <w:t>3</w:t>
            </w:r>
            <w:r>
              <w:rPr>
                <w:rFonts w:hint="eastAsia" w:ascii="Times New Roman" w:hAnsi="Times New Roman" w:cs="Times New Roman"/>
                <w:color w:val="auto"/>
                <w:spacing w:val="5"/>
                <w:sz w:val="24"/>
                <w:szCs w:val="24"/>
                <w:lang w:eastAsia="zh-CN"/>
              </w:rPr>
              <w:t>）监测频次：连续监测2天，每天每井采样1次。</w:t>
            </w:r>
          </w:p>
          <w:p>
            <w:pPr>
              <w:numPr>
                <w:ilvl w:val="0"/>
                <w:numId w:val="0"/>
              </w:numPr>
              <w:spacing w:line="360" w:lineRule="auto"/>
              <w:ind w:firstLine="480" w:firstLineChars="200"/>
              <w:rPr>
                <w:rFonts w:hint="default" w:ascii="Times New Roman" w:hAnsi="Times New Roman" w:cs="Times New Roman" w:eastAsiaTheme="minorEastAsia"/>
                <w:b w:val="0"/>
                <w:bCs w:val="0"/>
                <w:color w:val="auto"/>
                <w:kern w:val="0"/>
                <w:sz w:val="24"/>
                <w:szCs w:val="24"/>
                <w:highlight w:val="none"/>
                <w:lang w:val="en-US" w:eastAsia="zh-CN" w:bidi="ar-SA"/>
              </w:rPr>
            </w:pPr>
            <w:r>
              <w:rPr>
                <w:rFonts w:hint="default" w:ascii="Times New Roman" w:hAnsi="Times New Roman" w:cs="Times New Roman" w:eastAsiaTheme="minorEastAsia"/>
                <w:b w:val="0"/>
                <w:bCs w:val="0"/>
                <w:color w:val="auto"/>
                <w:kern w:val="0"/>
                <w:sz w:val="24"/>
                <w:szCs w:val="24"/>
                <w:highlight w:val="none"/>
                <w:lang w:val="en-US" w:eastAsia="zh-CN" w:bidi="ar-SA"/>
              </w:rPr>
              <w:t>（</w:t>
            </w:r>
            <w:r>
              <w:rPr>
                <w:rFonts w:hint="eastAsia" w:cs="Times New Roman" w:eastAsiaTheme="minorEastAsia"/>
                <w:b w:val="0"/>
                <w:bCs w:val="0"/>
                <w:color w:val="auto"/>
                <w:kern w:val="0"/>
                <w:sz w:val="24"/>
                <w:szCs w:val="24"/>
                <w:highlight w:val="none"/>
                <w:lang w:val="en-US" w:eastAsia="zh-CN" w:bidi="ar-SA"/>
              </w:rPr>
              <w:t>4</w:t>
            </w:r>
            <w:r>
              <w:rPr>
                <w:rFonts w:hint="default" w:ascii="Times New Roman" w:hAnsi="Times New Roman" w:cs="Times New Roman" w:eastAsiaTheme="minorEastAsia"/>
                <w:b w:val="0"/>
                <w:bCs w:val="0"/>
                <w:color w:val="auto"/>
                <w:kern w:val="0"/>
                <w:sz w:val="24"/>
                <w:szCs w:val="24"/>
                <w:highlight w:val="none"/>
                <w:lang w:val="en-US" w:eastAsia="zh-CN" w:bidi="ar-SA"/>
              </w:rPr>
              <w:t>）监测</w:t>
            </w:r>
            <w:r>
              <w:rPr>
                <w:rFonts w:hint="eastAsia" w:cs="Times New Roman" w:eastAsiaTheme="minorEastAsia"/>
                <w:b w:val="0"/>
                <w:bCs w:val="0"/>
                <w:color w:val="auto"/>
                <w:kern w:val="0"/>
                <w:sz w:val="24"/>
                <w:szCs w:val="24"/>
                <w:highlight w:val="none"/>
                <w:lang w:val="en-US" w:eastAsia="zh-CN" w:bidi="ar-SA"/>
              </w:rPr>
              <w:t>评价</w:t>
            </w:r>
            <w:r>
              <w:rPr>
                <w:rFonts w:hint="default" w:ascii="Times New Roman" w:hAnsi="Times New Roman" w:cs="Times New Roman" w:eastAsiaTheme="minorEastAsia"/>
                <w:b w:val="0"/>
                <w:bCs w:val="0"/>
                <w:color w:val="auto"/>
                <w:kern w:val="0"/>
                <w:sz w:val="24"/>
                <w:szCs w:val="24"/>
                <w:highlight w:val="none"/>
                <w:lang w:val="en-US" w:eastAsia="zh-CN" w:bidi="ar-SA"/>
              </w:rPr>
              <w:t>结果</w:t>
            </w:r>
          </w:p>
          <w:p>
            <w:pPr>
              <w:pageBreakBefore w:val="0"/>
              <w:widowControl w:val="0"/>
              <w:kinsoku/>
              <w:wordWrap/>
              <w:overflowPunct/>
              <w:topLinePunct w:val="0"/>
              <w:autoSpaceDE/>
              <w:autoSpaceDN/>
              <w:bidi w:val="0"/>
              <w:adjustRightInd w:val="0"/>
              <w:snapToGrid w:val="0"/>
              <w:spacing w:line="360" w:lineRule="auto"/>
              <w:jc w:val="center"/>
              <w:rPr>
                <w:rFonts w:hint="default" w:eastAsia="宋体"/>
                <w:b/>
                <w:bCs/>
                <w:color w:val="auto"/>
                <w:sz w:val="24"/>
                <w:szCs w:val="24"/>
                <w:highlight w:val="none"/>
                <w:lang w:val="en-US" w:eastAsia="zh-CN"/>
              </w:rPr>
            </w:pPr>
            <w:r>
              <w:rPr>
                <w:rFonts w:hint="eastAsia"/>
                <w:b/>
                <w:bCs/>
                <w:color w:val="auto"/>
                <w:sz w:val="24"/>
                <w:szCs w:val="24"/>
                <w:highlight w:val="none"/>
                <w:lang w:eastAsia="zh-CN"/>
              </w:rPr>
              <w:t>表</w:t>
            </w:r>
            <w:r>
              <w:rPr>
                <w:b/>
                <w:bCs/>
                <w:color w:val="auto"/>
                <w:sz w:val="24"/>
                <w:szCs w:val="24"/>
                <w:highlight w:val="none"/>
              </w:rPr>
              <w:t>3-</w:t>
            </w:r>
            <w:r>
              <w:rPr>
                <w:rFonts w:hint="eastAsia"/>
                <w:b/>
                <w:bCs/>
                <w:color w:val="auto"/>
                <w:sz w:val="24"/>
                <w:szCs w:val="24"/>
                <w:highlight w:val="none"/>
                <w:lang w:val="en-US" w:eastAsia="zh-CN"/>
              </w:rPr>
              <w:t>8</w:t>
            </w:r>
            <w:r>
              <w:rPr>
                <w:b/>
                <w:bCs/>
                <w:color w:val="auto"/>
                <w:sz w:val="24"/>
                <w:szCs w:val="24"/>
                <w:highlight w:val="none"/>
              </w:rPr>
              <w:t xml:space="preserve"> </w:t>
            </w:r>
            <w:r>
              <w:rPr>
                <w:rFonts w:hint="eastAsia"/>
                <w:b/>
                <w:bCs/>
                <w:color w:val="auto"/>
                <w:sz w:val="24"/>
                <w:szCs w:val="24"/>
                <w:highlight w:val="none"/>
                <w:lang w:val="en-US" w:eastAsia="zh-CN"/>
              </w:rPr>
              <w:t xml:space="preserve"> 地下水环境现状监测结果统计表   单位：mg/L</w:t>
            </w:r>
          </w:p>
          <w:tbl>
            <w:tblPr>
              <w:tblStyle w:val="31"/>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2"/>
              <w:gridCol w:w="989"/>
              <w:gridCol w:w="990"/>
              <w:gridCol w:w="2776"/>
              <w:gridCol w:w="1361"/>
              <w:gridCol w:w="8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b/>
                      <w:bCs/>
                      <w:color w:val="auto"/>
                      <w:szCs w:val="21"/>
                    </w:rPr>
                  </w:pPr>
                  <w:r>
                    <w:rPr>
                      <w:b/>
                      <w:bCs/>
                      <w:color w:val="auto"/>
                      <w:szCs w:val="21"/>
                    </w:rPr>
                    <w:t>监测点位</w:t>
                  </w:r>
                </w:p>
              </w:tc>
              <w:tc>
                <w:tcPr>
                  <w:tcW w:w="4170" w:type="pct"/>
                  <w:gridSpan w:val="5"/>
                  <w:noWrap w:val="0"/>
                  <w:vAlign w:val="top"/>
                </w:tcPr>
                <w:p>
                  <w:pPr>
                    <w:adjustRightInd w:val="0"/>
                    <w:snapToGrid w:val="0"/>
                    <w:jc w:val="center"/>
                    <w:rPr>
                      <w:b/>
                      <w:bCs/>
                      <w:color w:val="auto"/>
                      <w:szCs w:val="21"/>
                    </w:rPr>
                  </w:pPr>
                  <w:r>
                    <w:rPr>
                      <w:b/>
                      <w:bCs/>
                      <w:color w:val="auto"/>
                      <w:szCs w:val="21"/>
                    </w:rPr>
                    <w:t>海泰新型电子材料有限责任公司地下水井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b/>
                      <w:bCs/>
                      <w:color w:val="auto"/>
                      <w:szCs w:val="21"/>
                    </w:rPr>
                  </w:pPr>
                  <w:r>
                    <w:rPr>
                      <w:b/>
                      <w:bCs/>
                      <w:color w:val="auto"/>
                      <w:szCs w:val="21"/>
                    </w:rPr>
                    <w:t>监测项目</w:t>
                  </w:r>
                </w:p>
              </w:tc>
              <w:tc>
                <w:tcPr>
                  <w:tcW w:w="589" w:type="pct"/>
                  <w:noWrap w:val="0"/>
                  <w:vAlign w:val="center"/>
                </w:tcPr>
                <w:p>
                  <w:pPr>
                    <w:adjustRightInd w:val="0"/>
                    <w:snapToGrid w:val="0"/>
                    <w:jc w:val="center"/>
                    <w:rPr>
                      <w:b/>
                      <w:bCs/>
                      <w:color w:val="auto"/>
                      <w:szCs w:val="21"/>
                    </w:rPr>
                  </w:pPr>
                  <w:r>
                    <w:rPr>
                      <w:rFonts w:hint="eastAsia"/>
                      <w:b/>
                      <w:bCs/>
                      <w:color w:val="auto"/>
                      <w:szCs w:val="21"/>
                      <w:lang w:val="en-US" w:eastAsia="zh-CN"/>
                    </w:rPr>
                    <w:t>2023年</w:t>
                  </w:r>
                  <w:r>
                    <w:rPr>
                      <w:rFonts w:hint="eastAsia"/>
                      <w:b/>
                      <w:bCs/>
                      <w:color w:val="auto"/>
                      <w:szCs w:val="21"/>
                    </w:rPr>
                    <w:t>3月</w:t>
                  </w:r>
                  <w:r>
                    <w:rPr>
                      <w:b/>
                      <w:bCs/>
                      <w:color w:val="auto"/>
                      <w:szCs w:val="21"/>
                    </w:rPr>
                    <w:t>22</w:t>
                  </w:r>
                  <w:r>
                    <w:rPr>
                      <w:rFonts w:hint="eastAsia"/>
                      <w:b/>
                      <w:bCs/>
                      <w:color w:val="auto"/>
                      <w:szCs w:val="21"/>
                    </w:rPr>
                    <w:t>日</w:t>
                  </w:r>
                </w:p>
              </w:tc>
              <w:tc>
                <w:tcPr>
                  <w:tcW w:w="589" w:type="pct"/>
                  <w:noWrap w:val="0"/>
                  <w:vAlign w:val="center"/>
                </w:tcPr>
                <w:p>
                  <w:pPr>
                    <w:widowControl/>
                    <w:adjustRightInd w:val="0"/>
                    <w:snapToGrid w:val="0"/>
                    <w:jc w:val="center"/>
                    <w:rPr>
                      <w:b/>
                      <w:bCs/>
                      <w:color w:val="auto"/>
                      <w:kern w:val="0"/>
                      <w:szCs w:val="21"/>
                      <w:lang w:bidi="ar"/>
                    </w:rPr>
                  </w:pPr>
                  <w:r>
                    <w:rPr>
                      <w:rFonts w:hint="eastAsia"/>
                      <w:b/>
                      <w:bCs/>
                      <w:color w:val="auto"/>
                      <w:szCs w:val="21"/>
                      <w:lang w:val="en-US" w:eastAsia="zh-CN"/>
                    </w:rPr>
                    <w:t>2023年</w:t>
                  </w:r>
                  <w:r>
                    <w:rPr>
                      <w:rFonts w:hint="eastAsia"/>
                      <w:b/>
                      <w:bCs/>
                      <w:color w:val="auto"/>
                      <w:kern w:val="0"/>
                      <w:szCs w:val="21"/>
                      <w:lang w:bidi="ar"/>
                    </w:rPr>
                    <w:t>3月</w:t>
                  </w:r>
                  <w:r>
                    <w:rPr>
                      <w:b/>
                      <w:bCs/>
                      <w:color w:val="auto"/>
                      <w:kern w:val="0"/>
                      <w:szCs w:val="21"/>
                      <w:lang w:bidi="ar"/>
                    </w:rPr>
                    <w:t>23</w:t>
                  </w:r>
                  <w:r>
                    <w:rPr>
                      <w:rFonts w:hint="eastAsia"/>
                      <w:b/>
                      <w:bCs/>
                      <w:color w:val="auto"/>
                      <w:kern w:val="0"/>
                      <w:szCs w:val="21"/>
                      <w:lang w:bidi="ar"/>
                    </w:rPr>
                    <w:t>日</w:t>
                  </w:r>
                </w:p>
              </w:tc>
              <w:tc>
                <w:tcPr>
                  <w:tcW w:w="1652" w:type="pct"/>
                  <w:noWrap w:val="0"/>
                  <w:vAlign w:val="center"/>
                </w:tcPr>
                <w:p>
                  <w:pPr>
                    <w:widowControl/>
                    <w:adjustRightInd w:val="0"/>
                    <w:snapToGrid w:val="0"/>
                    <w:jc w:val="center"/>
                    <w:rPr>
                      <w:b/>
                      <w:bCs/>
                      <w:color w:val="auto"/>
                      <w:szCs w:val="21"/>
                    </w:rPr>
                  </w:pPr>
                  <w:r>
                    <w:rPr>
                      <w:b/>
                      <w:bCs/>
                      <w:color w:val="auto"/>
                      <w:kern w:val="0"/>
                      <w:szCs w:val="21"/>
                      <w:lang w:bidi="ar"/>
                    </w:rPr>
                    <w:t>GB/T14848-2017Ⅲ类标准限值</w:t>
                  </w:r>
                </w:p>
              </w:tc>
              <w:tc>
                <w:tcPr>
                  <w:tcW w:w="810" w:type="pct"/>
                  <w:noWrap w:val="0"/>
                  <w:vAlign w:val="center"/>
                </w:tcPr>
                <w:p>
                  <w:pPr>
                    <w:widowControl/>
                    <w:adjustRightInd w:val="0"/>
                    <w:snapToGrid w:val="0"/>
                    <w:jc w:val="center"/>
                    <w:rPr>
                      <w:rFonts w:hint="eastAsia" w:eastAsia="宋体"/>
                      <w:b/>
                      <w:bCs/>
                      <w:color w:val="auto"/>
                      <w:szCs w:val="21"/>
                      <w:lang w:eastAsia="zh-CN"/>
                    </w:rPr>
                  </w:pPr>
                  <w:r>
                    <w:rPr>
                      <w:rFonts w:hint="eastAsia"/>
                      <w:b/>
                      <w:bCs/>
                      <w:color w:val="auto"/>
                      <w:kern w:val="0"/>
                      <w:szCs w:val="21"/>
                      <w:lang w:eastAsia="zh-CN" w:bidi="ar"/>
                    </w:rPr>
                    <w:t>最大标准指数</w:t>
                  </w:r>
                </w:p>
              </w:tc>
              <w:tc>
                <w:tcPr>
                  <w:tcW w:w="527" w:type="pct"/>
                  <w:noWrap w:val="0"/>
                  <w:vAlign w:val="center"/>
                </w:tcPr>
                <w:p>
                  <w:pPr>
                    <w:adjustRightInd w:val="0"/>
                    <w:snapToGrid w:val="0"/>
                    <w:jc w:val="center"/>
                    <w:rPr>
                      <w:rFonts w:hint="eastAsia" w:eastAsia="宋体"/>
                      <w:b/>
                      <w:bCs/>
                      <w:color w:val="auto"/>
                      <w:szCs w:val="21"/>
                      <w:lang w:eastAsia="zh-CN"/>
                    </w:rPr>
                  </w:pPr>
                  <w:r>
                    <w:rPr>
                      <w:rFonts w:hint="eastAsia"/>
                      <w:b/>
                      <w:bCs/>
                      <w:color w:val="auto"/>
                      <w:szCs w:val="21"/>
                      <w:lang w:eastAsia="zh-CN"/>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pH值（无量纲）</w:t>
                  </w:r>
                </w:p>
              </w:tc>
              <w:tc>
                <w:tcPr>
                  <w:tcW w:w="589" w:type="pct"/>
                  <w:noWrap w:val="0"/>
                  <w:vAlign w:val="center"/>
                </w:tcPr>
                <w:p>
                  <w:pPr>
                    <w:adjustRightInd w:val="0"/>
                    <w:snapToGrid w:val="0"/>
                    <w:jc w:val="center"/>
                    <w:rPr>
                      <w:color w:val="auto"/>
                      <w:szCs w:val="21"/>
                      <w:highlight w:val="yellow"/>
                    </w:rPr>
                  </w:pPr>
                  <w:r>
                    <w:rPr>
                      <w:rFonts w:hint="eastAsia"/>
                      <w:color w:val="auto"/>
                      <w:szCs w:val="21"/>
                    </w:rPr>
                    <w:t>7.2</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7.2</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6.5~8.5</w:t>
                  </w:r>
                </w:p>
              </w:tc>
              <w:tc>
                <w:tcPr>
                  <w:tcW w:w="810" w:type="pct"/>
                  <w:noWrap w:val="0"/>
                  <w:vAlign w:val="center"/>
                </w:tcPr>
                <w:p>
                  <w:pPr>
                    <w:adjustRightInd w:val="0"/>
                    <w:snapToGrid w:val="0"/>
                    <w:jc w:val="center"/>
                    <w:rPr>
                      <w:rFonts w:hint="default" w:eastAsia="宋体"/>
                      <w:color w:val="auto"/>
                      <w:kern w:val="0"/>
                      <w:szCs w:val="21"/>
                      <w:lang w:val="en-US" w:eastAsia="zh-CN" w:bidi="ar"/>
                    </w:rPr>
                  </w:pPr>
                  <w:r>
                    <w:rPr>
                      <w:rFonts w:hint="eastAsia"/>
                      <w:color w:val="auto"/>
                      <w:spacing w:val="2"/>
                      <w:position w:val="2"/>
                      <w:szCs w:val="21"/>
                      <w:lang w:val="en-US" w:eastAsia="zh-CN"/>
                    </w:rPr>
                    <w:t>0.133</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总硬度</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545</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543</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450</w:t>
                  </w:r>
                </w:p>
              </w:tc>
              <w:tc>
                <w:tcPr>
                  <w:tcW w:w="810" w:type="pct"/>
                  <w:noWrap w:val="0"/>
                  <w:vAlign w:val="center"/>
                </w:tcPr>
                <w:p>
                  <w:pPr>
                    <w:adjustRightInd w:val="0"/>
                    <w:snapToGrid w:val="0"/>
                    <w:jc w:val="center"/>
                    <w:rPr>
                      <w:rFonts w:hint="default" w:eastAsia="宋体"/>
                      <w:color w:val="auto"/>
                      <w:kern w:val="0"/>
                      <w:szCs w:val="21"/>
                      <w:lang w:val="en-US" w:eastAsia="zh-CN" w:bidi="ar"/>
                    </w:rPr>
                  </w:pPr>
                  <w:r>
                    <w:rPr>
                      <w:rFonts w:hint="eastAsia"/>
                      <w:color w:val="auto"/>
                      <w:kern w:val="0"/>
                      <w:szCs w:val="21"/>
                      <w:lang w:val="en-US" w:eastAsia="zh-CN" w:bidi="ar"/>
                    </w:rPr>
                    <w:t>1.21</w:t>
                  </w:r>
                </w:p>
              </w:tc>
              <w:tc>
                <w:tcPr>
                  <w:tcW w:w="527"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超标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溶解性总固体</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849</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853</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1000</w:t>
                  </w:r>
                </w:p>
              </w:tc>
              <w:tc>
                <w:tcPr>
                  <w:tcW w:w="810" w:type="pct"/>
                  <w:noWrap w:val="0"/>
                  <w:vAlign w:val="center"/>
                </w:tcPr>
                <w:p>
                  <w:pPr>
                    <w:adjustRightInd w:val="0"/>
                    <w:snapToGrid w:val="0"/>
                    <w:jc w:val="center"/>
                    <w:rPr>
                      <w:color w:val="auto"/>
                      <w:kern w:val="0"/>
                      <w:szCs w:val="21"/>
                      <w:lang w:bidi="ar"/>
                    </w:rPr>
                  </w:pPr>
                  <w:r>
                    <w:rPr>
                      <w:color w:val="auto"/>
                      <w:spacing w:val="2"/>
                      <w:position w:val="2"/>
                      <w:szCs w:val="21"/>
                    </w:rPr>
                    <w:t>0.853</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铁</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0.11</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0.12</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0.3</w:t>
                  </w:r>
                </w:p>
              </w:tc>
              <w:tc>
                <w:tcPr>
                  <w:tcW w:w="810"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.4</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铜</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0.05ND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0.05ND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1.00</w:t>
                  </w:r>
                </w:p>
              </w:tc>
              <w:tc>
                <w:tcPr>
                  <w:tcW w:w="810"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.025</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锌</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0.06</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0.06</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1.00</w:t>
                  </w:r>
                </w:p>
              </w:tc>
              <w:tc>
                <w:tcPr>
                  <w:tcW w:w="810" w:type="pct"/>
                  <w:noWrap w:val="0"/>
                  <w:vAlign w:val="center"/>
                </w:tcPr>
                <w:p>
                  <w:pPr>
                    <w:adjustRightInd w:val="0"/>
                    <w:snapToGrid w:val="0"/>
                    <w:jc w:val="center"/>
                    <w:rPr>
                      <w:color w:val="auto"/>
                      <w:kern w:val="0"/>
                      <w:szCs w:val="21"/>
                      <w:lang w:bidi="ar"/>
                    </w:rPr>
                  </w:pPr>
                  <w:r>
                    <w:rPr>
                      <w:color w:val="auto"/>
                      <w:spacing w:val="2"/>
                      <w:position w:val="2"/>
                      <w:szCs w:val="21"/>
                    </w:rPr>
                    <w:t>0.06</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829" w:type="pct"/>
                  <w:noWrap w:val="0"/>
                  <w:vAlign w:val="center"/>
                </w:tcPr>
                <w:p>
                  <w:pPr>
                    <w:adjustRightInd w:val="0"/>
                    <w:snapToGrid w:val="0"/>
                    <w:jc w:val="center"/>
                    <w:rPr>
                      <w:color w:val="auto"/>
                      <w:szCs w:val="21"/>
                      <w:highlight w:val="yellow"/>
                    </w:rPr>
                  </w:pPr>
                  <w:r>
                    <w:rPr>
                      <w:color w:val="auto"/>
                      <w:szCs w:val="21"/>
                    </w:rPr>
                    <w:t>铅</w:t>
                  </w:r>
                  <w:r>
                    <w:rPr>
                      <w:rFonts w:hint="eastAsia"/>
                      <w:color w:val="auto"/>
                      <w:szCs w:val="21"/>
                    </w:rPr>
                    <w:t>（</w:t>
                  </w:r>
                  <w:r>
                    <w:rPr>
                      <w:color w:val="auto"/>
                      <w:szCs w:val="21"/>
                      <w:shd w:val="clear" w:color="auto" w:fill="FFFFFF"/>
                    </w:rPr>
                    <w:t>μg</w:t>
                  </w:r>
                  <w:r>
                    <w:rPr>
                      <w:rFonts w:hint="eastAsia"/>
                      <w:color w:val="auto"/>
                      <w:szCs w:val="21"/>
                    </w:rPr>
                    <w:t>/L）</w:t>
                  </w:r>
                </w:p>
              </w:tc>
              <w:tc>
                <w:tcPr>
                  <w:tcW w:w="589" w:type="pct"/>
                  <w:noWrap w:val="0"/>
                  <w:vAlign w:val="center"/>
                </w:tcPr>
                <w:p>
                  <w:pPr>
                    <w:adjustRightInd w:val="0"/>
                    <w:snapToGrid w:val="0"/>
                    <w:jc w:val="center"/>
                    <w:rPr>
                      <w:color w:val="auto"/>
                      <w:szCs w:val="21"/>
                      <w:highlight w:val="yellow"/>
                    </w:rPr>
                  </w:pPr>
                  <w:r>
                    <w:rPr>
                      <w:rFonts w:hint="eastAsia"/>
                      <w:color w:val="auto"/>
                      <w:szCs w:val="21"/>
                    </w:rPr>
                    <w:t>2.5ND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2.5ND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0.01（mg/L）</w:t>
                  </w:r>
                </w:p>
              </w:tc>
              <w:tc>
                <w:tcPr>
                  <w:tcW w:w="810" w:type="pct"/>
                  <w:noWrap w:val="0"/>
                  <w:vAlign w:val="center"/>
                </w:tcPr>
                <w:p>
                  <w:pPr>
                    <w:adjustRightInd w:val="0"/>
                    <w:snapToGrid w:val="0"/>
                    <w:jc w:val="center"/>
                    <w:rPr>
                      <w:color w:val="auto"/>
                      <w:kern w:val="0"/>
                      <w:szCs w:val="21"/>
                      <w:lang w:bidi="ar"/>
                    </w:rPr>
                  </w:pPr>
                  <w:r>
                    <w:rPr>
                      <w:color w:val="auto"/>
                      <w:spacing w:val="2"/>
                      <w:position w:val="2"/>
                      <w:szCs w:val="21"/>
                    </w:rPr>
                    <w:t>0.125</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镉</w:t>
                  </w:r>
                  <w:r>
                    <w:rPr>
                      <w:rFonts w:hint="eastAsia"/>
                      <w:color w:val="auto"/>
                      <w:szCs w:val="21"/>
                    </w:rPr>
                    <w:t>（</w:t>
                  </w:r>
                  <w:r>
                    <w:rPr>
                      <w:color w:val="auto"/>
                      <w:szCs w:val="21"/>
                      <w:shd w:val="clear" w:color="auto" w:fill="FFFFFF"/>
                    </w:rPr>
                    <w:t>μg</w:t>
                  </w:r>
                  <w:r>
                    <w:rPr>
                      <w:rFonts w:hint="eastAsia"/>
                      <w:color w:val="auto"/>
                      <w:szCs w:val="21"/>
                    </w:rPr>
                    <w:t>/L）</w:t>
                  </w:r>
                </w:p>
              </w:tc>
              <w:tc>
                <w:tcPr>
                  <w:tcW w:w="589" w:type="pct"/>
                  <w:noWrap w:val="0"/>
                  <w:vAlign w:val="center"/>
                </w:tcPr>
                <w:p>
                  <w:pPr>
                    <w:adjustRightInd w:val="0"/>
                    <w:snapToGrid w:val="0"/>
                    <w:jc w:val="center"/>
                    <w:rPr>
                      <w:color w:val="auto"/>
                      <w:szCs w:val="21"/>
                      <w:highlight w:val="yellow"/>
                    </w:rPr>
                  </w:pPr>
                  <w:r>
                    <w:rPr>
                      <w:rFonts w:hint="eastAsia"/>
                      <w:color w:val="auto"/>
                      <w:szCs w:val="21"/>
                    </w:rPr>
                    <w:t>0.5ND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0.5ND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0.005（mg/L）</w:t>
                  </w:r>
                </w:p>
              </w:tc>
              <w:tc>
                <w:tcPr>
                  <w:tcW w:w="810"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.05</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铝</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0.010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0.011</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0.20</w:t>
                  </w:r>
                </w:p>
              </w:tc>
              <w:tc>
                <w:tcPr>
                  <w:tcW w:w="810"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.055</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挥发酚</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0.0017</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0.0015</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0.002</w:t>
                  </w:r>
                </w:p>
              </w:tc>
              <w:tc>
                <w:tcPr>
                  <w:tcW w:w="810"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.85</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阴离子表面活性剂</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0.090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0.085</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0.3</w:t>
                  </w:r>
                </w:p>
              </w:tc>
              <w:tc>
                <w:tcPr>
                  <w:tcW w:w="810"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.3</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耗氧量</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0.6</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0.5</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3.0</w:t>
                  </w:r>
                </w:p>
              </w:tc>
              <w:tc>
                <w:tcPr>
                  <w:tcW w:w="810"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.2</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氨氮</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0.099</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0.088</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0.50</w:t>
                  </w:r>
                </w:p>
              </w:tc>
              <w:tc>
                <w:tcPr>
                  <w:tcW w:w="810" w:type="pct"/>
                  <w:noWrap w:val="0"/>
                  <w:vAlign w:val="center"/>
                </w:tcPr>
                <w:p>
                  <w:pPr>
                    <w:adjustRightInd w:val="0"/>
                    <w:snapToGrid w:val="0"/>
                    <w:jc w:val="center"/>
                    <w:rPr>
                      <w:color w:val="auto"/>
                      <w:kern w:val="0"/>
                      <w:szCs w:val="21"/>
                      <w:lang w:bidi="ar"/>
                    </w:rPr>
                  </w:pPr>
                  <w:r>
                    <w:rPr>
                      <w:color w:val="auto"/>
                      <w:spacing w:val="2"/>
                      <w:position w:val="2"/>
                      <w:szCs w:val="21"/>
                    </w:rPr>
                    <w:t>0.198</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硫</w:t>
                  </w:r>
                  <w:r>
                    <w:rPr>
                      <w:rFonts w:hint="eastAsia"/>
                      <w:color w:val="auto"/>
                      <w:szCs w:val="21"/>
                    </w:rPr>
                    <w:t>酸盐（mg/L）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127</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127</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250</w:t>
                  </w:r>
                </w:p>
              </w:tc>
              <w:tc>
                <w:tcPr>
                  <w:tcW w:w="810" w:type="pct"/>
                  <w:noWrap w:val="0"/>
                  <w:vAlign w:val="center"/>
                </w:tcPr>
                <w:p>
                  <w:pPr>
                    <w:adjustRightInd w:val="0"/>
                    <w:snapToGrid w:val="0"/>
                    <w:jc w:val="center"/>
                    <w:rPr>
                      <w:color w:val="auto"/>
                      <w:kern w:val="0"/>
                      <w:szCs w:val="21"/>
                      <w:lang w:bidi="ar"/>
                    </w:rPr>
                  </w:pPr>
                  <w:r>
                    <w:rPr>
                      <w:color w:val="auto"/>
                      <w:spacing w:val="2"/>
                      <w:position w:val="2"/>
                      <w:szCs w:val="21"/>
                    </w:rPr>
                    <w:t>0.508</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总大肠菌群</w:t>
                  </w:r>
                  <w:r>
                    <w:rPr>
                      <w:rFonts w:hint="eastAsia"/>
                      <w:color w:val="auto"/>
                      <w:szCs w:val="21"/>
                    </w:rPr>
                    <w:t>（MPN/L）</w:t>
                  </w:r>
                </w:p>
              </w:tc>
              <w:tc>
                <w:tcPr>
                  <w:tcW w:w="589" w:type="pct"/>
                  <w:noWrap w:val="0"/>
                  <w:vAlign w:val="center"/>
                </w:tcPr>
                <w:p>
                  <w:pPr>
                    <w:adjustRightInd w:val="0"/>
                    <w:snapToGrid w:val="0"/>
                    <w:jc w:val="center"/>
                    <w:rPr>
                      <w:color w:val="auto"/>
                      <w:szCs w:val="21"/>
                      <w:highlight w:val="yellow"/>
                    </w:rPr>
                  </w:pPr>
                  <w:r>
                    <w:rPr>
                      <w:rFonts w:hint="eastAsia"/>
                      <w:color w:val="auto"/>
                      <w:szCs w:val="21"/>
                    </w:rPr>
                    <w:t>20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10</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3.0（MPN/100mL）</w:t>
                  </w:r>
                </w:p>
              </w:tc>
              <w:tc>
                <w:tcPr>
                  <w:tcW w:w="810"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.007</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菌落总数</w:t>
                  </w:r>
                  <w:r>
                    <w:rPr>
                      <w:rFonts w:hint="eastAsia"/>
                      <w:color w:val="auto"/>
                      <w:szCs w:val="21"/>
                    </w:rPr>
                    <w:t>（CFU/mL）</w:t>
                  </w:r>
                </w:p>
              </w:tc>
              <w:tc>
                <w:tcPr>
                  <w:tcW w:w="589" w:type="pct"/>
                  <w:noWrap w:val="0"/>
                  <w:vAlign w:val="center"/>
                </w:tcPr>
                <w:p>
                  <w:pPr>
                    <w:adjustRightInd w:val="0"/>
                    <w:snapToGrid w:val="0"/>
                    <w:jc w:val="center"/>
                    <w:rPr>
                      <w:color w:val="auto"/>
                      <w:szCs w:val="21"/>
                      <w:highlight w:val="yellow"/>
                    </w:rPr>
                  </w:pPr>
                  <w:r>
                    <w:rPr>
                      <w:rFonts w:hint="eastAsia"/>
                      <w:color w:val="auto"/>
                      <w:szCs w:val="21"/>
                    </w:rPr>
                    <w:t>85</w:t>
                  </w:r>
                </w:p>
              </w:tc>
              <w:tc>
                <w:tcPr>
                  <w:tcW w:w="589" w:type="pct"/>
                  <w:noWrap w:val="0"/>
                  <w:vAlign w:val="center"/>
                </w:tcPr>
                <w:p>
                  <w:pPr>
                    <w:adjustRightInd w:val="0"/>
                    <w:snapToGrid w:val="0"/>
                    <w:ind w:hanging="509"/>
                    <w:jc w:val="center"/>
                    <w:rPr>
                      <w:color w:val="auto"/>
                      <w:kern w:val="0"/>
                      <w:szCs w:val="21"/>
                      <w:highlight w:val="yellow"/>
                      <w:lang w:bidi="ar"/>
                    </w:rPr>
                  </w:pPr>
                  <w:r>
                    <w:rPr>
                      <w:color w:val="auto"/>
                      <w:szCs w:val="21"/>
                    </w:rPr>
                    <w:t xml:space="preserve">     </w:t>
                  </w:r>
                  <w:r>
                    <w:rPr>
                      <w:rFonts w:hint="eastAsia"/>
                      <w:color w:val="auto"/>
                      <w:szCs w:val="21"/>
                    </w:rPr>
                    <w:t>73</w:t>
                  </w:r>
                </w:p>
              </w:tc>
              <w:tc>
                <w:tcPr>
                  <w:tcW w:w="1652" w:type="pct"/>
                  <w:noWrap w:val="0"/>
                  <w:vAlign w:val="center"/>
                </w:tcPr>
                <w:p>
                  <w:pPr>
                    <w:adjustRightInd w:val="0"/>
                    <w:snapToGrid w:val="0"/>
                    <w:ind w:hanging="509"/>
                    <w:jc w:val="center"/>
                    <w:rPr>
                      <w:color w:val="auto"/>
                      <w:kern w:val="0"/>
                      <w:szCs w:val="21"/>
                      <w:highlight w:val="yellow"/>
                      <w:lang w:bidi="ar"/>
                    </w:rPr>
                  </w:pPr>
                  <w:r>
                    <w:rPr>
                      <w:color w:val="auto"/>
                      <w:szCs w:val="21"/>
                    </w:rPr>
                    <w:t xml:space="preserve">    </w:t>
                  </w:r>
                  <w:r>
                    <w:rPr>
                      <w:rFonts w:hint="eastAsia"/>
                      <w:color w:val="auto"/>
                      <w:szCs w:val="21"/>
                    </w:rPr>
                    <w:t>100</w:t>
                  </w:r>
                </w:p>
              </w:tc>
              <w:tc>
                <w:tcPr>
                  <w:tcW w:w="810" w:type="pct"/>
                  <w:noWrap w:val="0"/>
                  <w:vAlign w:val="center"/>
                </w:tcPr>
                <w:p>
                  <w:pPr>
                    <w:adjustRightInd w:val="0"/>
                    <w:snapToGrid w:val="0"/>
                    <w:jc w:val="center"/>
                    <w:rPr>
                      <w:color w:val="auto"/>
                      <w:kern w:val="0"/>
                      <w:szCs w:val="21"/>
                      <w:lang w:bidi="ar"/>
                    </w:rPr>
                  </w:pPr>
                  <w:r>
                    <w:rPr>
                      <w:color w:val="auto"/>
                      <w:spacing w:val="2"/>
                      <w:position w:val="2"/>
                      <w:szCs w:val="21"/>
                    </w:rPr>
                    <w:t>0.85</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亚硝酸盐</w:t>
                  </w:r>
                  <w:r>
                    <w:rPr>
                      <w:rFonts w:hint="eastAsia"/>
                      <w:color w:val="auto"/>
                      <w:szCs w:val="21"/>
                    </w:rPr>
                    <w:t>氮（mg/L）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0.003ND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0.003ND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1.00</w:t>
                  </w:r>
                </w:p>
              </w:tc>
              <w:tc>
                <w:tcPr>
                  <w:tcW w:w="810"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.0015</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硝酸盐</w:t>
                  </w:r>
                  <w:r>
                    <w:rPr>
                      <w:rFonts w:hint="eastAsia"/>
                      <w:color w:val="auto"/>
                      <w:szCs w:val="21"/>
                    </w:rPr>
                    <w:t>氮（mg/L）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1.10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1.09</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20.0</w:t>
                  </w:r>
                </w:p>
              </w:tc>
              <w:tc>
                <w:tcPr>
                  <w:tcW w:w="810"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.055</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氰化物</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0.002ND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0.002ND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0.05</w:t>
                  </w:r>
                </w:p>
              </w:tc>
              <w:tc>
                <w:tcPr>
                  <w:tcW w:w="810"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.02</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氟化物</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0.72</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0.69</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1.0</w:t>
                  </w:r>
                </w:p>
              </w:tc>
              <w:tc>
                <w:tcPr>
                  <w:tcW w:w="810"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.72</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汞</w:t>
                  </w:r>
                  <w:r>
                    <w:rPr>
                      <w:rFonts w:hint="eastAsia"/>
                      <w:color w:val="auto"/>
                      <w:szCs w:val="21"/>
                    </w:rPr>
                    <w:t>（</w:t>
                  </w:r>
                  <w:r>
                    <w:rPr>
                      <w:color w:val="auto"/>
                      <w:szCs w:val="21"/>
                      <w:shd w:val="clear" w:color="auto" w:fill="FFFFFF"/>
                    </w:rPr>
                    <w:t>μg</w:t>
                  </w:r>
                  <w:r>
                    <w:rPr>
                      <w:rFonts w:hint="eastAsia"/>
                      <w:color w:val="auto"/>
                      <w:szCs w:val="21"/>
                    </w:rPr>
                    <w:t>/L）</w:t>
                  </w:r>
                </w:p>
              </w:tc>
              <w:tc>
                <w:tcPr>
                  <w:tcW w:w="589" w:type="pct"/>
                  <w:noWrap w:val="0"/>
                  <w:vAlign w:val="center"/>
                </w:tcPr>
                <w:p>
                  <w:pPr>
                    <w:adjustRightInd w:val="0"/>
                    <w:snapToGrid w:val="0"/>
                    <w:jc w:val="center"/>
                    <w:rPr>
                      <w:color w:val="auto"/>
                      <w:szCs w:val="21"/>
                      <w:highlight w:val="yellow"/>
                    </w:rPr>
                  </w:pPr>
                  <w:r>
                    <w:rPr>
                      <w:rFonts w:hint="eastAsia"/>
                      <w:color w:val="auto"/>
                      <w:szCs w:val="21"/>
                    </w:rPr>
                    <w:t>0.10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0.09</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0.001（mg/L）</w:t>
                  </w:r>
                </w:p>
              </w:tc>
              <w:tc>
                <w:tcPr>
                  <w:tcW w:w="810"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.1</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砷</w:t>
                  </w:r>
                  <w:r>
                    <w:rPr>
                      <w:rFonts w:hint="eastAsia"/>
                      <w:color w:val="auto"/>
                      <w:szCs w:val="21"/>
                    </w:rPr>
                    <w:t>（</w:t>
                  </w:r>
                  <w:r>
                    <w:rPr>
                      <w:color w:val="auto"/>
                      <w:szCs w:val="21"/>
                      <w:shd w:val="clear" w:color="auto" w:fill="FFFFFF"/>
                    </w:rPr>
                    <w:t>μg</w:t>
                  </w:r>
                  <w:r>
                    <w:rPr>
                      <w:rFonts w:hint="eastAsia"/>
                      <w:color w:val="auto"/>
                      <w:szCs w:val="21"/>
                    </w:rPr>
                    <w:t>/L）</w:t>
                  </w:r>
                </w:p>
              </w:tc>
              <w:tc>
                <w:tcPr>
                  <w:tcW w:w="589" w:type="pct"/>
                  <w:noWrap w:val="0"/>
                  <w:vAlign w:val="center"/>
                </w:tcPr>
                <w:p>
                  <w:pPr>
                    <w:adjustRightInd w:val="0"/>
                    <w:snapToGrid w:val="0"/>
                    <w:jc w:val="center"/>
                    <w:rPr>
                      <w:color w:val="auto"/>
                      <w:szCs w:val="21"/>
                      <w:highlight w:val="yellow"/>
                    </w:rPr>
                  </w:pPr>
                  <w:r>
                    <w:rPr>
                      <w:rFonts w:hint="eastAsia"/>
                      <w:color w:val="auto"/>
                      <w:szCs w:val="21"/>
                    </w:rPr>
                    <w:t>1.0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0.9</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0.01（mg/L）</w:t>
                  </w:r>
                </w:p>
              </w:tc>
              <w:tc>
                <w:tcPr>
                  <w:tcW w:w="810"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.1</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硒</w:t>
                  </w:r>
                  <w:r>
                    <w:rPr>
                      <w:rFonts w:hint="eastAsia"/>
                      <w:color w:val="auto"/>
                      <w:szCs w:val="21"/>
                    </w:rPr>
                    <w:t>（</w:t>
                  </w:r>
                  <w:r>
                    <w:rPr>
                      <w:color w:val="auto"/>
                      <w:szCs w:val="21"/>
                      <w:shd w:val="clear" w:color="auto" w:fill="FFFFFF"/>
                    </w:rPr>
                    <w:t>μg</w:t>
                  </w:r>
                  <w:r>
                    <w:rPr>
                      <w:rFonts w:hint="eastAsia"/>
                      <w:color w:val="auto"/>
                      <w:szCs w:val="21"/>
                    </w:rPr>
                    <w:t>/L）</w:t>
                  </w:r>
                </w:p>
              </w:tc>
              <w:tc>
                <w:tcPr>
                  <w:tcW w:w="589" w:type="pct"/>
                  <w:noWrap w:val="0"/>
                  <w:vAlign w:val="center"/>
                </w:tcPr>
                <w:p>
                  <w:pPr>
                    <w:adjustRightInd w:val="0"/>
                    <w:snapToGrid w:val="0"/>
                    <w:jc w:val="center"/>
                    <w:rPr>
                      <w:color w:val="auto"/>
                      <w:szCs w:val="21"/>
                      <w:highlight w:val="yellow"/>
                    </w:rPr>
                  </w:pPr>
                  <w:r>
                    <w:rPr>
                      <w:rFonts w:hint="eastAsia"/>
                      <w:color w:val="auto"/>
                      <w:szCs w:val="21"/>
                    </w:rPr>
                    <w:t>0.4ND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0.4ND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0.01（mg/L）</w:t>
                  </w:r>
                </w:p>
              </w:tc>
              <w:tc>
                <w:tcPr>
                  <w:tcW w:w="810"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.02</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铬（六价）</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0.019</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0.021</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0.05</w:t>
                  </w:r>
                </w:p>
              </w:tc>
              <w:tc>
                <w:tcPr>
                  <w:tcW w:w="810"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.42</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石油类</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0.02</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0.02</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0.05</w:t>
                  </w:r>
                </w:p>
              </w:tc>
              <w:tc>
                <w:tcPr>
                  <w:tcW w:w="810"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.4</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rPr>
                    <w:t>钾</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21.68</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22.48</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810" w:type="pct"/>
                  <w:noWrap w:val="0"/>
                  <w:vAlign w:val="center"/>
                </w:tcPr>
                <w:p>
                  <w:pPr>
                    <w:adjustRightInd w:val="0"/>
                    <w:snapToGrid w:val="0"/>
                    <w:jc w:val="center"/>
                    <w:rPr>
                      <w:color w:val="auto"/>
                      <w:spacing w:val="2"/>
                      <w:position w:val="2"/>
                      <w:szCs w:val="21"/>
                    </w:rPr>
                  </w:pPr>
                  <w:r>
                    <w:rPr>
                      <w:rFonts w:hint="eastAsia"/>
                      <w:color w:val="auto"/>
                      <w:szCs w:val="21"/>
                    </w:rPr>
                    <w:t>/</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钠</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108.00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109.20</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810" w:type="pct"/>
                  <w:noWrap w:val="0"/>
                  <w:vAlign w:val="center"/>
                </w:tcPr>
                <w:p>
                  <w:pPr>
                    <w:adjustRightInd w:val="0"/>
                    <w:snapToGrid w:val="0"/>
                    <w:jc w:val="center"/>
                    <w:rPr>
                      <w:color w:val="auto"/>
                      <w:spacing w:val="2"/>
                      <w:position w:val="2"/>
                      <w:szCs w:val="21"/>
                    </w:rPr>
                  </w:pPr>
                  <w:r>
                    <w:rPr>
                      <w:rFonts w:hint="eastAsia"/>
                      <w:color w:val="auto"/>
                      <w:szCs w:val="21"/>
                    </w:rPr>
                    <w:t>/</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rPr>
                    <w:t>钙</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123.2</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122.0</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810" w:type="pct"/>
                  <w:noWrap w:val="0"/>
                  <w:vAlign w:val="center"/>
                </w:tcPr>
                <w:p>
                  <w:pPr>
                    <w:adjustRightInd w:val="0"/>
                    <w:snapToGrid w:val="0"/>
                    <w:jc w:val="center"/>
                    <w:rPr>
                      <w:color w:val="auto"/>
                      <w:spacing w:val="2"/>
                      <w:position w:val="2"/>
                      <w:szCs w:val="21"/>
                      <w:highlight w:val="yellow"/>
                    </w:rPr>
                  </w:pPr>
                  <w:r>
                    <w:rPr>
                      <w:rFonts w:hint="eastAsia"/>
                      <w:color w:val="auto"/>
                      <w:szCs w:val="21"/>
                    </w:rPr>
                    <w:t>/</w:t>
                  </w:r>
                </w:p>
              </w:tc>
              <w:tc>
                <w:tcPr>
                  <w:tcW w:w="527" w:type="pct"/>
                  <w:noWrap w:val="0"/>
                  <w:vAlign w:val="center"/>
                </w:tcPr>
                <w:p>
                  <w:pPr>
                    <w:adjustRightInd w:val="0"/>
                    <w:snapToGrid w:val="0"/>
                    <w:jc w:val="center"/>
                    <w:rPr>
                      <w:color w:val="auto"/>
                      <w:szCs w:val="21"/>
                      <w:highlight w:val="yellow"/>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rPr>
                    <w:t>镁</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57.3</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57.0</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810" w:type="pct"/>
                  <w:noWrap w:val="0"/>
                  <w:vAlign w:val="center"/>
                </w:tcPr>
                <w:p>
                  <w:pPr>
                    <w:adjustRightInd w:val="0"/>
                    <w:snapToGrid w:val="0"/>
                    <w:jc w:val="center"/>
                    <w:rPr>
                      <w:color w:val="auto"/>
                      <w:spacing w:val="2"/>
                      <w:position w:val="2"/>
                      <w:szCs w:val="21"/>
                      <w:highlight w:val="yellow"/>
                    </w:rPr>
                  </w:pPr>
                  <w:r>
                    <w:rPr>
                      <w:rFonts w:hint="eastAsia"/>
                      <w:color w:val="auto"/>
                      <w:szCs w:val="21"/>
                    </w:rPr>
                    <w:t>/</w:t>
                  </w:r>
                </w:p>
              </w:tc>
              <w:tc>
                <w:tcPr>
                  <w:tcW w:w="527" w:type="pct"/>
                  <w:noWrap w:val="0"/>
                  <w:vAlign w:val="center"/>
                </w:tcPr>
                <w:p>
                  <w:pPr>
                    <w:adjustRightInd w:val="0"/>
                    <w:snapToGrid w:val="0"/>
                    <w:jc w:val="center"/>
                    <w:rPr>
                      <w:color w:val="auto"/>
                      <w:szCs w:val="21"/>
                      <w:highlight w:val="yellow"/>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rPr>
                    <w:t>碳酸根</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5ND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5ND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810" w:type="pct"/>
                  <w:noWrap w:val="0"/>
                  <w:vAlign w:val="center"/>
                </w:tcPr>
                <w:p>
                  <w:pPr>
                    <w:adjustRightInd w:val="0"/>
                    <w:snapToGrid w:val="0"/>
                    <w:jc w:val="center"/>
                    <w:rPr>
                      <w:color w:val="auto"/>
                      <w:spacing w:val="2"/>
                      <w:position w:val="2"/>
                      <w:szCs w:val="21"/>
                      <w:highlight w:val="yellow"/>
                    </w:rPr>
                  </w:pPr>
                  <w:r>
                    <w:rPr>
                      <w:rFonts w:hint="eastAsia"/>
                      <w:color w:val="auto"/>
                      <w:szCs w:val="21"/>
                    </w:rPr>
                    <w:t>/</w:t>
                  </w:r>
                </w:p>
              </w:tc>
              <w:tc>
                <w:tcPr>
                  <w:tcW w:w="527" w:type="pct"/>
                  <w:noWrap w:val="0"/>
                  <w:vAlign w:val="center"/>
                </w:tcPr>
                <w:p>
                  <w:pPr>
                    <w:adjustRightInd w:val="0"/>
                    <w:snapToGrid w:val="0"/>
                    <w:jc w:val="center"/>
                    <w:rPr>
                      <w:color w:val="auto"/>
                      <w:szCs w:val="21"/>
                      <w:highlight w:val="yellow"/>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rFonts w:hint="eastAsia"/>
                      <w:color w:val="auto"/>
                    </w:rPr>
                    <w:t>重</w:t>
                  </w:r>
                  <w:r>
                    <w:rPr>
                      <w:color w:val="auto"/>
                    </w:rPr>
                    <w:t>碳酸根</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730.6</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682.8</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810" w:type="pct"/>
                  <w:noWrap w:val="0"/>
                  <w:vAlign w:val="center"/>
                </w:tcPr>
                <w:p>
                  <w:pPr>
                    <w:adjustRightInd w:val="0"/>
                    <w:snapToGrid w:val="0"/>
                    <w:jc w:val="center"/>
                    <w:rPr>
                      <w:color w:val="auto"/>
                      <w:spacing w:val="2"/>
                      <w:position w:val="2"/>
                      <w:szCs w:val="21"/>
                      <w:highlight w:val="yellow"/>
                    </w:rPr>
                  </w:pPr>
                  <w:r>
                    <w:rPr>
                      <w:rFonts w:hint="eastAsia"/>
                      <w:color w:val="auto"/>
                      <w:szCs w:val="21"/>
                    </w:rPr>
                    <w:t>/</w:t>
                  </w:r>
                </w:p>
              </w:tc>
              <w:tc>
                <w:tcPr>
                  <w:tcW w:w="527" w:type="pct"/>
                  <w:noWrap w:val="0"/>
                  <w:vAlign w:val="center"/>
                </w:tcPr>
                <w:p>
                  <w:pPr>
                    <w:adjustRightInd w:val="0"/>
                    <w:snapToGrid w:val="0"/>
                    <w:jc w:val="center"/>
                    <w:rPr>
                      <w:color w:val="auto"/>
                      <w:szCs w:val="21"/>
                      <w:highlight w:val="yellow"/>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rPr>
                    <w:t>氯化物</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82.0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82.2</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250</w:t>
                  </w:r>
                </w:p>
              </w:tc>
              <w:tc>
                <w:tcPr>
                  <w:tcW w:w="810"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.3288</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w:t>
                  </w:r>
                  <w:r>
                    <w:rPr>
                      <w:color w:val="auto"/>
                    </w:rPr>
                    <w:t>硫</w:t>
                  </w:r>
                  <w:r>
                    <w:rPr>
                      <w:rFonts w:hint="eastAsia"/>
                      <w:color w:val="auto"/>
                    </w:rPr>
                    <w:t>化物</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0.01ND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0.01ND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0.02</w:t>
                  </w:r>
                </w:p>
              </w:tc>
              <w:tc>
                <w:tcPr>
                  <w:tcW w:w="810"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.25</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w:t>
                  </w:r>
                  <w:r>
                    <w:rPr>
                      <w:color w:val="auto"/>
                    </w:rPr>
                    <w:t>四氯化碳</w:t>
                  </w:r>
                  <w:r>
                    <w:rPr>
                      <w:rFonts w:hint="eastAsia"/>
                      <w:color w:val="auto"/>
                      <w:szCs w:val="21"/>
                    </w:rPr>
                    <w:t>（</w:t>
                  </w:r>
                  <w:r>
                    <w:rPr>
                      <w:color w:val="auto"/>
                      <w:szCs w:val="21"/>
                      <w:shd w:val="clear" w:color="auto" w:fill="FFFFFF"/>
                    </w:rPr>
                    <w:t>μg/L</w:t>
                  </w:r>
                  <w:r>
                    <w:rPr>
                      <w:rFonts w:hint="eastAsia"/>
                      <w:color w:val="auto"/>
                      <w:szCs w:val="21"/>
                    </w:rPr>
                    <w:t>）</w:t>
                  </w:r>
                </w:p>
              </w:tc>
              <w:tc>
                <w:tcPr>
                  <w:tcW w:w="589" w:type="pct"/>
                  <w:noWrap w:val="0"/>
                  <w:vAlign w:val="center"/>
                </w:tcPr>
                <w:p>
                  <w:pPr>
                    <w:adjustRightInd w:val="0"/>
                    <w:snapToGrid w:val="0"/>
                    <w:jc w:val="center"/>
                    <w:rPr>
                      <w:color w:val="auto"/>
                      <w:szCs w:val="21"/>
                      <w:highlight w:val="yellow"/>
                    </w:rPr>
                  </w:pPr>
                  <w:r>
                    <w:rPr>
                      <w:rFonts w:hint="eastAsia"/>
                      <w:color w:val="auto"/>
                      <w:szCs w:val="21"/>
                    </w:rPr>
                    <w:t>0.03ND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0.03ND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2.0</w:t>
                  </w:r>
                </w:p>
              </w:tc>
              <w:tc>
                <w:tcPr>
                  <w:tcW w:w="810"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.0075</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w:t>
                  </w:r>
                  <w:r>
                    <w:rPr>
                      <w:color w:val="auto"/>
                    </w:rPr>
                    <w:t>三氯甲烷</w:t>
                  </w:r>
                  <w:r>
                    <w:rPr>
                      <w:rFonts w:hint="eastAsia"/>
                      <w:color w:val="auto"/>
                      <w:szCs w:val="21"/>
                    </w:rPr>
                    <w:t>（</w:t>
                  </w:r>
                  <w:r>
                    <w:rPr>
                      <w:color w:val="auto"/>
                      <w:szCs w:val="21"/>
                      <w:shd w:val="clear" w:color="auto" w:fill="FFFFFF"/>
                    </w:rPr>
                    <w:t>μg/L</w:t>
                  </w:r>
                  <w:r>
                    <w:rPr>
                      <w:rFonts w:hint="eastAsia"/>
                      <w:color w:val="auto"/>
                      <w:szCs w:val="21"/>
                    </w:rPr>
                    <w:t>）</w:t>
                  </w:r>
                </w:p>
              </w:tc>
              <w:tc>
                <w:tcPr>
                  <w:tcW w:w="589" w:type="pct"/>
                  <w:noWrap w:val="0"/>
                  <w:vAlign w:val="center"/>
                </w:tcPr>
                <w:p>
                  <w:pPr>
                    <w:adjustRightInd w:val="0"/>
                    <w:snapToGrid w:val="0"/>
                    <w:jc w:val="center"/>
                    <w:rPr>
                      <w:color w:val="auto"/>
                      <w:szCs w:val="21"/>
                      <w:highlight w:val="yellow"/>
                    </w:rPr>
                  </w:pPr>
                  <w:r>
                    <w:rPr>
                      <w:rFonts w:hint="eastAsia"/>
                      <w:color w:val="auto"/>
                      <w:szCs w:val="21"/>
                    </w:rPr>
                    <w:t>4.60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4.42</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60</w:t>
                  </w:r>
                </w:p>
              </w:tc>
              <w:tc>
                <w:tcPr>
                  <w:tcW w:w="810"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.077</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w:t>
                  </w:r>
                  <w:r>
                    <w:rPr>
                      <w:color w:val="auto"/>
                    </w:rPr>
                    <w:t>苯</w:t>
                  </w:r>
                  <w:r>
                    <w:rPr>
                      <w:rFonts w:hint="eastAsia"/>
                      <w:color w:val="auto"/>
                      <w:szCs w:val="21"/>
                    </w:rPr>
                    <w:t>（</w:t>
                  </w:r>
                  <w:r>
                    <w:rPr>
                      <w:color w:val="auto"/>
                      <w:szCs w:val="21"/>
                      <w:shd w:val="clear" w:color="auto" w:fill="FFFFFF"/>
                    </w:rPr>
                    <w:t>μg/L</w:t>
                  </w:r>
                  <w:r>
                    <w:rPr>
                      <w:rFonts w:hint="eastAsia"/>
                      <w:color w:val="auto"/>
                      <w:szCs w:val="21"/>
                    </w:rPr>
                    <w:t>）</w:t>
                  </w:r>
                </w:p>
              </w:tc>
              <w:tc>
                <w:tcPr>
                  <w:tcW w:w="589" w:type="pct"/>
                  <w:noWrap w:val="0"/>
                  <w:vAlign w:val="center"/>
                </w:tcPr>
                <w:p>
                  <w:pPr>
                    <w:adjustRightInd w:val="0"/>
                    <w:snapToGrid w:val="0"/>
                    <w:jc w:val="center"/>
                    <w:rPr>
                      <w:color w:val="auto"/>
                      <w:szCs w:val="21"/>
                      <w:highlight w:val="yellow"/>
                    </w:rPr>
                  </w:pPr>
                  <w:r>
                    <w:rPr>
                      <w:rFonts w:hint="eastAsia"/>
                      <w:color w:val="auto"/>
                      <w:szCs w:val="21"/>
                    </w:rPr>
                    <w:t>2ND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2ND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10.0</w:t>
                  </w:r>
                </w:p>
              </w:tc>
              <w:tc>
                <w:tcPr>
                  <w:tcW w:w="810"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.1</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w:t>
                  </w:r>
                  <w:r>
                    <w:rPr>
                      <w:color w:val="auto"/>
                    </w:rPr>
                    <w:t>甲苯</w:t>
                  </w:r>
                  <w:r>
                    <w:rPr>
                      <w:rFonts w:hint="eastAsia"/>
                      <w:color w:val="auto"/>
                      <w:szCs w:val="21"/>
                    </w:rPr>
                    <w:t>（</w:t>
                  </w:r>
                  <w:r>
                    <w:rPr>
                      <w:color w:val="auto"/>
                      <w:szCs w:val="21"/>
                      <w:shd w:val="clear" w:color="auto" w:fill="FFFFFF"/>
                    </w:rPr>
                    <w:t>μg/L</w:t>
                  </w:r>
                  <w:r>
                    <w:rPr>
                      <w:rFonts w:hint="eastAsia"/>
                      <w:color w:val="auto"/>
                      <w:szCs w:val="21"/>
                    </w:rPr>
                    <w:t>）</w:t>
                  </w:r>
                </w:p>
              </w:tc>
              <w:tc>
                <w:tcPr>
                  <w:tcW w:w="589" w:type="pct"/>
                  <w:noWrap w:val="0"/>
                  <w:vAlign w:val="center"/>
                </w:tcPr>
                <w:p>
                  <w:pPr>
                    <w:adjustRightInd w:val="0"/>
                    <w:snapToGrid w:val="0"/>
                    <w:jc w:val="center"/>
                    <w:rPr>
                      <w:color w:val="auto"/>
                      <w:szCs w:val="21"/>
                      <w:highlight w:val="yellow"/>
                    </w:rPr>
                  </w:pPr>
                  <w:r>
                    <w:rPr>
                      <w:rFonts w:hint="eastAsia"/>
                      <w:color w:val="auto"/>
                      <w:szCs w:val="21"/>
                    </w:rPr>
                    <w:t>2ND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2ND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700</w:t>
                  </w:r>
                </w:p>
              </w:tc>
              <w:tc>
                <w:tcPr>
                  <w:tcW w:w="810"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.0014</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9" w:type="pct"/>
                  <w:noWrap w:val="0"/>
                  <w:vAlign w:val="center"/>
                </w:tcPr>
                <w:p>
                  <w:pPr>
                    <w:adjustRightInd w:val="0"/>
                    <w:snapToGrid w:val="0"/>
                    <w:jc w:val="center"/>
                    <w:rPr>
                      <w:color w:val="auto"/>
                      <w:szCs w:val="21"/>
                      <w:highlight w:val="yellow"/>
                    </w:rPr>
                  </w:pPr>
                  <w:r>
                    <w:rPr>
                      <w:color w:val="auto"/>
                      <w:szCs w:val="21"/>
                    </w:rPr>
                    <w:t>*锰</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0.04</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0.04</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0.10</w:t>
                  </w:r>
                </w:p>
              </w:tc>
              <w:tc>
                <w:tcPr>
                  <w:tcW w:w="810"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.4</w:t>
                  </w:r>
                </w:p>
              </w:tc>
              <w:tc>
                <w:tcPr>
                  <w:tcW w:w="527"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9" w:hRule="atLeast"/>
              </w:trPr>
              <w:tc>
                <w:tcPr>
                  <w:tcW w:w="829" w:type="pct"/>
                  <w:noWrap w:val="0"/>
                  <w:vAlign w:val="center"/>
                </w:tcPr>
                <w:p>
                  <w:pPr>
                    <w:adjustRightInd w:val="0"/>
                    <w:snapToGrid w:val="0"/>
                    <w:jc w:val="center"/>
                    <w:rPr>
                      <w:color w:val="auto"/>
                      <w:szCs w:val="21"/>
                      <w:highlight w:val="yellow"/>
                    </w:rPr>
                  </w:pPr>
                  <w:r>
                    <w:rPr>
                      <w:color w:val="auto"/>
                      <w:szCs w:val="21"/>
                    </w:rPr>
                    <w:t>*碘化物</w:t>
                  </w:r>
                  <w:r>
                    <w:rPr>
                      <w:rFonts w:hint="eastAsia"/>
                      <w:color w:val="auto"/>
                      <w:szCs w:val="21"/>
                    </w:rPr>
                    <w:t>（mg/L）</w:t>
                  </w:r>
                </w:p>
              </w:tc>
              <w:tc>
                <w:tcPr>
                  <w:tcW w:w="589" w:type="pct"/>
                  <w:noWrap w:val="0"/>
                  <w:vAlign w:val="center"/>
                </w:tcPr>
                <w:p>
                  <w:pPr>
                    <w:adjustRightInd w:val="0"/>
                    <w:snapToGrid w:val="0"/>
                    <w:jc w:val="center"/>
                    <w:rPr>
                      <w:color w:val="auto"/>
                      <w:szCs w:val="21"/>
                      <w:highlight w:val="yellow"/>
                    </w:rPr>
                  </w:pPr>
                  <w:r>
                    <w:rPr>
                      <w:rFonts w:hint="eastAsia"/>
                      <w:color w:val="auto"/>
                      <w:szCs w:val="21"/>
                    </w:rPr>
                    <w:t>0.025</w:t>
                  </w:r>
                  <w:r>
                    <w:rPr>
                      <w:color w:val="auto"/>
                      <w:szCs w:val="21"/>
                    </w:rPr>
                    <w:t>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0.025</w:t>
                  </w:r>
                  <w:r>
                    <w:rPr>
                      <w:color w:val="auto"/>
                      <w:szCs w:val="21"/>
                    </w:rPr>
                    <w:t>ND</w:t>
                  </w:r>
                </w:p>
              </w:tc>
              <w:tc>
                <w:tcPr>
                  <w:tcW w:w="1652" w:type="pct"/>
                  <w:noWrap w:val="0"/>
                  <w:vAlign w:val="center"/>
                </w:tcPr>
                <w:p>
                  <w:pPr>
                    <w:adjustRightInd w:val="0"/>
                    <w:snapToGrid w:val="0"/>
                    <w:jc w:val="center"/>
                    <w:rPr>
                      <w:color w:val="auto"/>
                      <w:kern w:val="0"/>
                      <w:szCs w:val="21"/>
                      <w:highlight w:val="yellow"/>
                      <w:lang w:bidi="ar"/>
                    </w:rPr>
                  </w:pPr>
                  <w:r>
                    <w:rPr>
                      <w:rFonts w:hint="eastAsia"/>
                      <w:color w:val="auto"/>
                      <w:szCs w:val="21"/>
                    </w:rPr>
                    <w:t>0.08</w:t>
                  </w:r>
                </w:p>
              </w:tc>
              <w:tc>
                <w:tcPr>
                  <w:tcW w:w="810"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.156</w:t>
                  </w:r>
                </w:p>
              </w:tc>
              <w:tc>
                <w:tcPr>
                  <w:tcW w:w="527"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根据监测结果，海泰新型电子材料有限责任公司地下水井地下水各项监测因子</w:t>
            </w:r>
            <w:r>
              <w:rPr>
                <w:rFonts w:hint="eastAsia" w:cs="Times New Roman"/>
                <w:color w:val="auto"/>
                <w:sz w:val="24"/>
                <w:szCs w:val="24"/>
                <w:highlight w:val="none"/>
                <w:lang w:val="en-US" w:eastAsia="zh-CN"/>
              </w:rPr>
              <w:t>，除总硬度外超标外，其它因子</w:t>
            </w:r>
            <w:r>
              <w:rPr>
                <w:rFonts w:hint="default" w:ascii="Times New Roman" w:hAnsi="Times New Roman" w:cs="Times New Roman"/>
                <w:color w:val="auto"/>
                <w:sz w:val="24"/>
                <w:szCs w:val="24"/>
                <w:highlight w:val="none"/>
                <w:lang w:val="en-US" w:eastAsia="zh-CN"/>
              </w:rPr>
              <w:t>均能满足《地下水质量标准》（GB/T14848-2017）Ⅲ类标准限值。</w:t>
            </w:r>
            <w:r>
              <w:rPr>
                <w:rFonts w:hint="eastAsia" w:cs="Times New Roman"/>
                <w:color w:val="auto"/>
                <w:sz w:val="24"/>
                <w:szCs w:val="24"/>
                <w:highlight w:val="none"/>
                <w:lang w:val="en-US" w:eastAsia="zh-CN"/>
              </w:rPr>
              <w:t>总硬度超标标准指数为1.21，主要原因为地质原因，区域地下水总硬度较高，本项目不涉及总硬度特征因子，因此对区域地下水环境不会产生明显影响。</w:t>
            </w:r>
          </w:p>
          <w:p>
            <w:pPr>
              <w:pStyle w:val="97"/>
              <w:jc w:val="center"/>
              <w:rPr>
                <w:color w:val="auto"/>
                <w:sz w:val="24"/>
                <w:szCs w:val="24"/>
              </w:rPr>
            </w:pPr>
            <w:r>
              <w:rPr>
                <w:rFonts w:hint="eastAsia"/>
                <w:color w:val="auto"/>
                <w:sz w:val="24"/>
                <w:szCs w:val="24"/>
              </w:rPr>
              <w:t>表</w:t>
            </w:r>
            <w:r>
              <w:rPr>
                <w:rFonts w:hint="eastAsia"/>
                <w:color w:val="auto"/>
                <w:sz w:val="24"/>
                <w:szCs w:val="24"/>
                <w:lang w:val="en-US" w:eastAsia="zh-CN"/>
              </w:rPr>
              <w:t>3-9</w:t>
            </w:r>
            <w:r>
              <w:rPr>
                <w:color w:val="auto"/>
                <w:sz w:val="24"/>
                <w:szCs w:val="24"/>
              </w:rPr>
              <w:t xml:space="preserve">     </w:t>
            </w:r>
            <w:r>
              <w:rPr>
                <w:rFonts w:hint="eastAsia"/>
                <w:color w:val="auto"/>
                <w:sz w:val="24"/>
                <w:szCs w:val="24"/>
              </w:rPr>
              <w:t>浅层地下水八大离子监测结果及水化学类型表</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88"/>
              <w:gridCol w:w="865"/>
              <w:gridCol w:w="1013"/>
              <w:gridCol w:w="1147"/>
              <w:gridCol w:w="1196"/>
              <w:gridCol w:w="1053"/>
              <w:gridCol w:w="1127"/>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1995"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3月22日</w:t>
                  </w:r>
                </w:p>
              </w:tc>
              <w:tc>
                <w:tcPr>
                  <w:tcW w:w="1961"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3月23日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42"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602"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ρ（B）</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82"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c（1/zBz±）</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mmol/L</w:t>
                  </w:r>
                </w:p>
              </w:tc>
              <w:tc>
                <w:tcPr>
                  <w:tcW w:w="709"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x（1/zBz±）</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26"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ρ（B）</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70"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c（1/zBz±）</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mmol/L</w:t>
                  </w:r>
                </w:p>
              </w:tc>
              <w:tc>
                <w:tcPr>
                  <w:tcW w:w="66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x（1/zBz±）</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restar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阳</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子</w:t>
                  </w: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21.68</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3.45</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22.48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0.58</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Na+</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4.70</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29.12</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109.2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4.75</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w:t>
                  </w:r>
                  <w:r>
                    <w:rPr>
                      <w:rFonts w:hint="default" w:ascii="Times New Roman" w:hAnsi="Times New Roman" w:eastAsia="宋体" w:cs="Times New Roman"/>
                      <w:color w:val="auto"/>
                      <w:sz w:val="21"/>
                      <w:szCs w:val="21"/>
                      <w:vertAlign w:val="superscript"/>
                    </w:rPr>
                    <w:t>2+</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123.2</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6.16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38.20</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6.10</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vertAlign w:val="superscript"/>
                    </w:rPr>
                    <w:t>2+</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57.3</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4.72</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29.24</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4.69</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0" w:hRule="atLeast"/>
              </w:trPr>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310.18</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16.13</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310.68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16.12</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restar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子</w:t>
                  </w: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2-</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730.6</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11.98</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70.73</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682.8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11.19</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2-</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2.65</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15.63</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2.65</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82</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2.31</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13.64</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2.32</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939.6</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16.93</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16.15</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42" w:type="pct"/>
                  <w:gridSpan w:val="2"/>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地下水化学类型</w:t>
                  </w:r>
                </w:p>
              </w:tc>
              <w:tc>
                <w:tcPr>
                  <w:tcW w:w="1995" w:type="pct"/>
                  <w:gridSpan w:val="3"/>
                  <w:tcBorders>
                    <w:top w:val="single" w:color="000000" w:sz="8" w:space="0"/>
                    <w:left w:val="single" w:color="000000" w:sz="8" w:space="0"/>
                    <w:bottom w:val="single" w:color="000000" w:sz="8" w:space="0"/>
                    <w:right w:val="single" w:color="000000" w:sz="8"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Ca</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rPr>
                    <w:t>·Na型</w:t>
                  </w:r>
                </w:p>
              </w:tc>
              <w:tc>
                <w:tcPr>
                  <w:tcW w:w="1961" w:type="pct"/>
                  <w:gridSpan w:val="3"/>
                  <w:tcBorders>
                    <w:top w:val="single" w:color="000000" w:sz="8" w:space="0"/>
                    <w:left w:val="single" w:color="000000" w:sz="8" w:space="0"/>
                    <w:bottom w:val="single" w:color="000000" w:sz="8" w:space="0"/>
                    <w:right w:val="single" w:color="000000" w:sz="8"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Ca</w:t>
                  </w:r>
                  <w:r>
                    <w:rPr>
                      <w:rFonts w:hint="default" w:ascii="Times New Roman" w:hAnsi="Times New Roman" w:eastAsia="宋体" w:cs="Times New Roman"/>
                      <w:color w:val="auto"/>
                      <w:sz w:val="21"/>
                      <w:szCs w:val="21"/>
                    </w:rPr>
                    <w:t>·Na·</w:t>
                  </w:r>
                  <w:r>
                    <w:rPr>
                      <w:rFonts w:hint="default"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rPr>
                    <w:t>型</w:t>
                  </w:r>
                </w:p>
              </w:tc>
            </w:tr>
          </w:tbl>
          <w:p>
            <w:pPr>
              <w:keepNext w:val="0"/>
              <w:keepLines w:val="0"/>
              <w:pageBreakBefore w:val="0"/>
              <w:widowControl w:val="0"/>
              <w:numPr>
                <w:ilvl w:val="0"/>
                <w:numId w:val="13"/>
              </w:numPr>
              <w:kinsoku/>
              <w:wordWrap/>
              <w:overflowPunct/>
              <w:topLinePunct w:val="0"/>
              <w:autoSpaceDE/>
              <w:autoSpaceDN/>
              <w:bidi w:val="0"/>
              <w:spacing w:line="360" w:lineRule="auto"/>
              <w:ind w:left="0" w:leftChars="0" w:firstLine="482" w:firstLineChars="200"/>
              <w:textAlignment w:val="auto"/>
              <w:rPr>
                <w:rFonts w:hint="eastAsia" w:hAnsi="宋体"/>
                <w:b/>
                <w:color w:val="auto"/>
                <w:sz w:val="24"/>
                <w:szCs w:val="24"/>
                <w:highlight w:val="none"/>
                <w:lang w:val="en-US" w:eastAsia="zh-CN"/>
              </w:rPr>
            </w:pPr>
            <w:r>
              <w:rPr>
                <w:rFonts w:hint="eastAsia" w:hAnsi="宋体"/>
                <w:b/>
                <w:color w:val="auto"/>
                <w:sz w:val="24"/>
                <w:szCs w:val="24"/>
                <w:highlight w:val="none"/>
                <w:lang w:val="en-US" w:eastAsia="zh-CN"/>
              </w:rPr>
              <w:t>土壤环境现状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根据《建设项目环境影响报告表编制技术指南》（污染影响类）（试行）及本项目实际污染物排放情况，</w:t>
            </w:r>
            <w:r>
              <w:rPr>
                <w:rFonts w:hint="eastAsia" w:cs="Times New Roman"/>
                <w:color w:val="auto"/>
                <w:sz w:val="24"/>
                <w:szCs w:val="24"/>
                <w:highlight w:val="none"/>
                <w:lang w:val="en-US" w:eastAsia="zh-CN"/>
              </w:rPr>
              <w:t>厂区</w:t>
            </w:r>
            <w:r>
              <w:rPr>
                <w:rFonts w:hint="eastAsia" w:ascii="Times New Roman" w:hAnsi="Times New Roman" w:cs="Times New Roman"/>
                <w:color w:val="auto"/>
                <w:sz w:val="24"/>
                <w:szCs w:val="24"/>
                <w:highlight w:val="none"/>
                <w:lang w:val="en-US" w:eastAsia="zh-CN"/>
              </w:rPr>
              <w:t>范围内土地均已硬化，危废暂存</w:t>
            </w:r>
            <w:r>
              <w:rPr>
                <w:rFonts w:hint="eastAsia" w:cs="Times New Roman"/>
                <w:color w:val="auto"/>
                <w:sz w:val="24"/>
                <w:szCs w:val="24"/>
                <w:highlight w:val="none"/>
                <w:lang w:val="en-US" w:eastAsia="zh-CN"/>
              </w:rPr>
              <w:t>间</w:t>
            </w:r>
            <w:r>
              <w:rPr>
                <w:rFonts w:hint="eastAsia" w:ascii="Times New Roman" w:hAnsi="Times New Roman" w:cs="Times New Roman"/>
                <w:color w:val="auto"/>
                <w:sz w:val="24"/>
                <w:szCs w:val="24"/>
                <w:highlight w:val="none"/>
                <w:lang w:val="en-US" w:eastAsia="zh-CN"/>
              </w:rPr>
              <w:t>也进行了重点防渗处理，为更好了解项目区域地下水环境质量，</w:t>
            </w:r>
            <w:r>
              <w:rPr>
                <w:color w:val="auto"/>
                <w:sz w:val="24"/>
                <w:highlight w:val="none"/>
              </w:rPr>
              <w:t>陕西中润检测有限公司于202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2</w:t>
            </w:r>
            <w:r>
              <w:rPr>
                <w:color w:val="auto"/>
                <w:sz w:val="24"/>
                <w:highlight w:val="none"/>
              </w:rPr>
              <w:t>2</w:t>
            </w:r>
            <w:r>
              <w:rPr>
                <w:rFonts w:hint="eastAsia"/>
                <w:color w:val="auto"/>
                <w:sz w:val="24"/>
                <w:highlight w:val="none"/>
                <w:lang w:val="en-US" w:eastAsia="zh-CN"/>
              </w:rPr>
              <w:t>，</w:t>
            </w:r>
            <w:r>
              <w:rPr>
                <w:rFonts w:hint="eastAsia" w:ascii="Times New Roman" w:hAnsi="Times New Roman" w:cs="Times New Roman"/>
                <w:color w:val="auto"/>
                <w:sz w:val="24"/>
                <w:szCs w:val="24"/>
                <w:highlight w:val="none"/>
                <w:lang w:val="en-US" w:eastAsia="zh-CN"/>
              </w:rPr>
              <w:t>对项目区土壤环境质量进行了监测。</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监测因子：</w:t>
            </w:r>
            <w:r>
              <w:rPr>
                <w:rFonts w:hint="default" w:ascii="Times New Roman" w:hAnsi="Times New Roman" w:eastAsia="宋体" w:cs="Times New Roman"/>
                <w:color w:val="auto"/>
                <w:sz w:val="24"/>
                <w:szCs w:val="24"/>
              </w:rPr>
              <w:t>45项基本因子：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 硝基苯、苯胺、2-氯酚、苯并[a]蒽、苯并[a]芘、苯并[b] 荧蒽、苯并[k]荧蒽、䓛、二苯并[a,h]蒽、茚并[1,2,3-cd]、芘、萘。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特征因子：石油烃。其他因子：pH。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2、监测频次：</w:t>
            </w:r>
            <w:r>
              <w:rPr>
                <w:rFonts w:hint="eastAsia" w:ascii="宋体" w:hAnsi="宋体" w:eastAsia="宋体" w:cs="宋体"/>
                <w:color w:val="auto"/>
                <w:kern w:val="0"/>
                <w:sz w:val="24"/>
                <w:szCs w:val="20"/>
                <w:lang w:eastAsia="zh-CN" w:bidi="ar"/>
              </w:rPr>
              <w:t>监测</w:t>
            </w:r>
            <w:r>
              <w:rPr>
                <w:rFonts w:hint="eastAsia" w:ascii="宋体" w:hAnsi="宋体" w:eastAsia="宋体" w:cs="宋体"/>
                <w:color w:val="auto"/>
                <w:kern w:val="0"/>
                <w:sz w:val="24"/>
                <w:szCs w:val="20"/>
                <w:lang w:val="en-US" w:eastAsia="zh-CN" w:bidi="ar"/>
              </w:rPr>
              <w:t>1次，每次</w:t>
            </w:r>
            <w:r>
              <w:rPr>
                <w:rFonts w:ascii="宋体" w:hAnsi="宋体" w:cs="宋体"/>
                <w:color w:val="auto"/>
                <w:kern w:val="0"/>
                <w:sz w:val="24"/>
                <w:szCs w:val="20"/>
                <w:lang w:bidi="ar"/>
              </w:rPr>
              <w:t>监测1天。</w:t>
            </w:r>
          </w:p>
          <w:p>
            <w:pPr>
              <w:pageBreakBefore w:val="0"/>
              <w:widowControl w:val="0"/>
              <w:kinsoku/>
              <w:wordWrap/>
              <w:overflowPunct/>
              <w:topLinePunct w:val="0"/>
              <w:autoSpaceDE/>
              <w:autoSpaceDN/>
              <w:bidi w:val="0"/>
              <w:adjustRightInd w:val="0"/>
              <w:snapToGrid w:val="0"/>
              <w:spacing w:line="360" w:lineRule="auto"/>
              <w:jc w:val="center"/>
              <w:rPr>
                <w:rFonts w:hint="default" w:eastAsia="宋体"/>
                <w:b/>
                <w:bCs/>
                <w:color w:val="auto"/>
                <w:sz w:val="24"/>
                <w:szCs w:val="24"/>
                <w:highlight w:val="none"/>
                <w:lang w:val="en-US" w:eastAsia="zh-CN"/>
              </w:rPr>
            </w:pPr>
            <w:r>
              <w:rPr>
                <w:b/>
                <w:bCs/>
                <w:color w:val="auto"/>
                <w:sz w:val="24"/>
                <w:szCs w:val="24"/>
                <w:highlight w:val="none"/>
              </w:rPr>
              <w:t>表3-</w:t>
            </w:r>
            <w:r>
              <w:rPr>
                <w:rFonts w:hint="eastAsia"/>
                <w:b/>
                <w:bCs/>
                <w:color w:val="auto"/>
                <w:sz w:val="24"/>
                <w:szCs w:val="24"/>
                <w:highlight w:val="none"/>
                <w:lang w:val="en-US" w:eastAsia="zh-CN"/>
              </w:rPr>
              <w:t>10</w:t>
            </w:r>
            <w:r>
              <w:rPr>
                <w:b/>
                <w:bCs/>
                <w:color w:val="auto"/>
                <w:sz w:val="24"/>
                <w:szCs w:val="24"/>
                <w:highlight w:val="none"/>
              </w:rPr>
              <w:t xml:space="preserve"> </w:t>
            </w:r>
            <w:r>
              <w:rPr>
                <w:rFonts w:hint="eastAsia"/>
                <w:b/>
                <w:bCs/>
                <w:color w:val="auto"/>
                <w:sz w:val="24"/>
                <w:szCs w:val="24"/>
                <w:highlight w:val="none"/>
                <w:lang w:val="en-US" w:eastAsia="zh-CN"/>
              </w:rPr>
              <w:t>土壤环境现状监测结果统计表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534"/>
              <w:gridCol w:w="1158"/>
              <w:gridCol w:w="1158"/>
              <w:gridCol w:w="1158"/>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restart"/>
                  <w:shd w:val="clear" w:color="auto" w:fill="auto"/>
                  <w:noWrap w:val="0"/>
                  <w:vAlign w:val="center"/>
                </w:tcPr>
                <w:p>
                  <w:pPr>
                    <w:spacing w:line="280" w:lineRule="exact"/>
                    <w:jc w:val="center"/>
                    <w:rPr>
                      <w:b/>
                      <w:bCs/>
                      <w:color w:val="auto"/>
                      <w:highlight w:val="none"/>
                    </w:rPr>
                  </w:pPr>
                  <w:r>
                    <w:rPr>
                      <w:b/>
                      <w:bCs/>
                      <w:color w:val="auto"/>
                      <w:highlight w:val="none"/>
                    </w:rPr>
                    <w:t>采样日期</w:t>
                  </w:r>
                </w:p>
              </w:tc>
              <w:tc>
                <w:tcPr>
                  <w:tcW w:w="912" w:type="pct"/>
                  <w:vMerge w:val="restart"/>
                  <w:shd w:val="clear" w:color="auto" w:fill="auto"/>
                  <w:noWrap w:val="0"/>
                  <w:vAlign w:val="center"/>
                </w:tcPr>
                <w:p>
                  <w:pPr>
                    <w:spacing w:line="280" w:lineRule="exact"/>
                    <w:jc w:val="center"/>
                    <w:rPr>
                      <w:b/>
                      <w:bCs/>
                      <w:color w:val="auto"/>
                      <w:highlight w:val="none"/>
                    </w:rPr>
                  </w:pPr>
                  <w:r>
                    <w:rPr>
                      <w:b/>
                      <w:bCs/>
                      <w:color w:val="auto"/>
                      <w:highlight w:val="none"/>
                    </w:rPr>
                    <w:t>监测项目</w:t>
                  </w:r>
                </w:p>
              </w:tc>
              <w:tc>
                <w:tcPr>
                  <w:tcW w:w="2065" w:type="pct"/>
                  <w:gridSpan w:val="3"/>
                  <w:shd w:val="clear" w:color="auto" w:fill="auto"/>
                  <w:noWrap w:val="0"/>
                  <w:vAlign w:val="center"/>
                </w:tcPr>
                <w:p>
                  <w:pPr>
                    <w:spacing w:line="280" w:lineRule="exact"/>
                    <w:jc w:val="center"/>
                    <w:rPr>
                      <w:rFonts w:hint="eastAsia"/>
                      <w:b/>
                      <w:bCs/>
                      <w:color w:val="auto"/>
                      <w:highlight w:val="none"/>
                    </w:rPr>
                  </w:pPr>
                  <w:r>
                    <w:rPr>
                      <w:b/>
                      <w:bCs/>
                      <w:color w:val="auto"/>
                      <w:highlight w:val="none"/>
                    </w:rPr>
                    <w:t>采样点位</w:t>
                  </w:r>
                </w:p>
              </w:tc>
              <w:tc>
                <w:tcPr>
                  <w:tcW w:w="1395" w:type="pct"/>
                  <w:vMerge w:val="restart"/>
                  <w:shd w:val="clear" w:color="auto" w:fill="auto"/>
                  <w:noWrap w:val="0"/>
                  <w:vAlign w:val="center"/>
                </w:tcPr>
                <w:p>
                  <w:pPr>
                    <w:spacing w:line="280" w:lineRule="exact"/>
                    <w:jc w:val="center"/>
                    <w:rPr>
                      <w:rFonts w:hint="eastAsia"/>
                      <w:color w:val="auto"/>
                      <w:highlight w:val="none"/>
                    </w:rPr>
                  </w:pPr>
                  <w:r>
                    <w:rPr>
                      <w:rFonts w:hint="eastAsia"/>
                      <w:b/>
                      <w:bCs/>
                      <w:color w:val="auto"/>
                      <w:highlight w:val="none"/>
                    </w:rPr>
                    <w:t>《土壤环境质量 建设用地土壤污染风险管控标准(试行)》(GB36600-2018)第二类用地筛选值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b/>
                      <w:bCs/>
                      <w:color w:val="auto"/>
                      <w:highlight w:val="none"/>
                    </w:rPr>
                  </w:pPr>
                </w:p>
              </w:tc>
              <w:tc>
                <w:tcPr>
                  <w:tcW w:w="912" w:type="pct"/>
                  <w:vMerge w:val="continue"/>
                  <w:shd w:val="clear" w:color="auto" w:fill="auto"/>
                  <w:noWrap w:val="0"/>
                  <w:vAlign w:val="center"/>
                </w:tcPr>
                <w:p>
                  <w:pPr>
                    <w:spacing w:line="280" w:lineRule="exact"/>
                    <w:rPr>
                      <w:b/>
                      <w:bCs/>
                      <w:color w:val="auto"/>
                      <w:highlight w:val="none"/>
                    </w:rPr>
                  </w:pPr>
                </w:p>
              </w:tc>
              <w:tc>
                <w:tcPr>
                  <w:tcW w:w="2065" w:type="pct"/>
                  <w:gridSpan w:val="3"/>
                  <w:shd w:val="clear" w:color="auto" w:fill="auto"/>
                  <w:noWrap w:val="0"/>
                  <w:vAlign w:val="center"/>
                </w:tcPr>
                <w:p>
                  <w:pPr>
                    <w:spacing w:line="280" w:lineRule="exact"/>
                    <w:jc w:val="center"/>
                    <w:rPr>
                      <w:rFonts w:hint="eastAsia"/>
                      <w:b/>
                      <w:bCs/>
                      <w:color w:val="auto"/>
                      <w:highlight w:val="none"/>
                    </w:rPr>
                  </w:pPr>
                  <w:r>
                    <w:rPr>
                      <w:b/>
                      <w:bCs/>
                      <w:color w:val="auto"/>
                      <w:highlight w:val="none"/>
                    </w:rPr>
                    <w:t>危废库外围东侧</w:t>
                  </w:r>
                </w:p>
              </w:tc>
              <w:tc>
                <w:tcPr>
                  <w:tcW w:w="1395" w:type="pct"/>
                  <w:vMerge w:val="continue"/>
                  <w:shd w:val="clear" w:color="auto" w:fill="auto"/>
                  <w:noWrap w:val="0"/>
                  <w:vAlign w:val="center"/>
                </w:tcPr>
                <w:p>
                  <w:pPr>
                    <w:spacing w:line="28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b/>
                      <w:bCs/>
                      <w:color w:val="auto"/>
                      <w:highlight w:val="none"/>
                    </w:rPr>
                  </w:pPr>
                </w:p>
              </w:tc>
              <w:tc>
                <w:tcPr>
                  <w:tcW w:w="912" w:type="pct"/>
                  <w:vMerge w:val="continue"/>
                  <w:shd w:val="clear" w:color="auto" w:fill="auto"/>
                  <w:noWrap w:val="0"/>
                  <w:vAlign w:val="center"/>
                </w:tcPr>
                <w:p>
                  <w:pPr>
                    <w:spacing w:line="280" w:lineRule="exact"/>
                    <w:rPr>
                      <w:b/>
                      <w:bCs/>
                      <w:color w:val="auto"/>
                      <w:highlight w:val="none"/>
                    </w:rPr>
                  </w:pPr>
                </w:p>
              </w:tc>
              <w:tc>
                <w:tcPr>
                  <w:tcW w:w="688" w:type="pct"/>
                  <w:shd w:val="clear" w:color="auto" w:fill="auto"/>
                  <w:noWrap w:val="0"/>
                  <w:vAlign w:val="center"/>
                </w:tcPr>
                <w:p>
                  <w:pPr>
                    <w:spacing w:line="280" w:lineRule="exact"/>
                    <w:jc w:val="center"/>
                    <w:rPr>
                      <w:b/>
                      <w:bCs/>
                      <w:color w:val="auto"/>
                      <w:highlight w:val="none"/>
                    </w:rPr>
                  </w:pPr>
                  <w:r>
                    <w:rPr>
                      <w:b/>
                      <w:bCs/>
                      <w:color w:val="auto"/>
                      <w:szCs w:val="21"/>
                      <w:highlight w:val="none"/>
                    </w:rPr>
                    <w:t>0-0.5m</w:t>
                  </w:r>
                </w:p>
              </w:tc>
              <w:tc>
                <w:tcPr>
                  <w:tcW w:w="688" w:type="pct"/>
                  <w:shd w:val="clear" w:color="auto" w:fill="auto"/>
                  <w:noWrap w:val="0"/>
                  <w:vAlign w:val="center"/>
                </w:tcPr>
                <w:p>
                  <w:pPr>
                    <w:spacing w:line="280" w:lineRule="exact"/>
                    <w:jc w:val="center"/>
                    <w:rPr>
                      <w:b/>
                      <w:bCs/>
                      <w:color w:val="auto"/>
                      <w:highlight w:val="none"/>
                    </w:rPr>
                  </w:pPr>
                  <w:r>
                    <w:rPr>
                      <w:b/>
                      <w:bCs/>
                      <w:color w:val="auto"/>
                      <w:szCs w:val="21"/>
                      <w:highlight w:val="none"/>
                    </w:rPr>
                    <w:t>0.5-1.5m</w:t>
                  </w:r>
                </w:p>
              </w:tc>
              <w:tc>
                <w:tcPr>
                  <w:tcW w:w="688" w:type="pct"/>
                  <w:shd w:val="clear" w:color="auto" w:fill="auto"/>
                  <w:noWrap w:val="0"/>
                  <w:vAlign w:val="center"/>
                </w:tcPr>
                <w:p>
                  <w:pPr>
                    <w:spacing w:line="280" w:lineRule="exact"/>
                    <w:jc w:val="center"/>
                    <w:rPr>
                      <w:b/>
                      <w:bCs/>
                      <w:color w:val="auto"/>
                      <w:highlight w:val="none"/>
                    </w:rPr>
                  </w:pPr>
                  <w:r>
                    <w:rPr>
                      <w:b/>
                      <w:bCs/>
                      <w:color w:val="auto"/>
                      <w:szCs w:val="21"/>
                      <w:highlight w:val="none"/>
                    </w:rPr>
                    <w:t>1.5-3.0m</w:t>
                  </w:r>
                </w:p>
              </w:tc>
              <w:tc>
                <w:tcPr>
                  <w:tcW w:w="1395" w:type="pct"/>
                  <w:vMerge w:val="continue"/>
                  <w:shd w:val="clear" w:color="auto" w:fill="auto"/>
                  <w:noWrap w:val="0"/>
                  <w:vAlign w:val="center"/>
                </w:tcPr>
                <w:p>
                  <w:pPr>
                    <w:spacing w:line="28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restart"/>
                  <w:shd w:val="clear" w:color="auto" w:fill="auto"/>
                  <w:noWrap w:val="0"/>
                  <w:vAlign w:val="center"/>
                </w:tcPr>
                <w:p>
                  <w:pPr>
                    <w:spacing w:line="280" w:lineRule="exact"/>
                    <w:rPr>
                      <w:rFonts w:hint="default" w:eastAsia="宋体"/>
                      <w:color w:val="auto"/>
                      <w:highlight w:val="none"/>
                      <w:lang w:val="en-US" w:eastAsia="zh-CN"/>
                    </w:rPr>
                  </w:pPr>
                  <w:r>
                    <w:rPr>
                      <w:color w:val="auto"/>
                      <w:highlight w:val="none"/>
                    </w:rPr>
                    <w:t>202</w:t>
                  </w:r>
                  <w:r>
                    <w:rPr>
                      <w:rFonts w:hint="eastAsia"/>
                      <w:color w:val="auto"/>
                      <w:highlight w:val="none"/>
                      <w:lang w:val="en-US" w:eastAsia="zh-CN"/>
                    </w:rPr>
                    <w:t>3</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22</w:t>
                  </w: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w:t>
                  </w:r>
                  <w:r>
                    <w:rPr>
                      <w:rFonts w:hint="eastAsia"/>
                      <w:color w:val="auto"/>
                      <w:szCs w:val="21"/>
                      <w:highlight w:val="none"/>
                    </w:rPr>
                    <w:t>镉</w:t>
                  </w:r>
                  <w:r>
                    <w:rPr>
                      <w:color w:val="auto"/>
                      <w:szCs w:val="21"/>
                      <w:highlight w:val="none"/>
                    </w:rPr>
                    <w:t>（mg/kg）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0.12</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0.10</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0.08</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砷（mg/kg）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9.39</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9.91</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10.2</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rFonts w:hint="eastAsia"/>
                      <w:color w:val="auto"/>
                      <w:szCs w:val="21"/>
                      <w:highlight w:val="none"/>
                    </w:rPr>
                    <w:t>六价</w:t>
                  </w:r>
                  <w:r>
                    <w:rPr>
                      <w:color w:val="auto"/>
                      <w:szCs w:val="21"/>
                      <w:highlight w:val="none"/>
                    </w:rPr>
                    <w:t>铬（mg/kg）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0.6</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0.6</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0.5ND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铜（mg/kg）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28</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27</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25</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镍（mg/kg）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27</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27</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27</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铅（mg/kg）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30</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27</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24</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汞（mg/kg）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0.049</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0.051</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0.040</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四氯化碳（</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氯仿（</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氯甲烷（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1.0ND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1,1-二氯乙烷（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1,2-二氯乙烷（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1,1-二氯乙烯（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顺-1,2-二氯乙烯（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反-1,2-二氯乙烯（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二氯甲烷（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1,2-二氯丙烷（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1,1,1,2-四氯乙烷（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1,1,2,2-四氯乙烷（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四氯乙烯（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1,1,1-三氯乙烷（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1.3ND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1,1,2-三氯乙烷（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三氯乙烯（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1,2,3-三氯丙烷（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1.9ND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1.9ND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1.9ND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氯苯（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1,2-二氯苯（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1,4-二氯苯（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乙苯（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甲苯（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间</w:t>
                  </w:r>
                  <w:r>
                    <w:rPr>
                      <w:rFonts w:hint="eastAsia"/>
                      <w:color w:val="auto"/>
                      <w:szCs w:val="21"/>
                      <w:highlight w:val="none"/>
                    </w:rPr>
                    <w:t>二甲苯+对</w:t>
                  </w:r>
                  <w:r>
                    <w:rPr>
                      <w:color w:val="auto"/>
                      <w:szCs w:val="21"/>
                      <w:highlight w:val="none"/>
                    </w:rPr>
                    <w:t>二甲苯（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邻二甲苯（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硝基苯（mg/kg）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0.09ND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0.09ND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0.09ND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苯胺（mg/kg）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0.06ND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0.06ND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0.06ND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2-氯苯酚（mg/kg）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0.06ND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0.06ND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0.06ND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苯并[a]蒽（mg/kg）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苯并[a]芘（mg/kg）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苯并[b]荧蒽（mg/kg）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0.2ND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苯并[k]荧蒽（mg/kg）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䓛（mg/kg）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top"/>
                </w:tcPr>
                <w:p>
                  <w:pPr>
                    <w:spacing w:line="280" w:lineRule="exact"/>
                    <w:jc w:val="center"/>
                    <w:rPr>
                      <w:color w:val="auto"/>
                      <w:highlight w:val="none"/>
                    </w:rPr>
                  </w:pPr>
                  <w:r>
                    <w:rPr>
                      <w:color w:val="auto"/>
                      <w:szCs w:val="21"/>
                      <w:highlight w:val="none"/>
                    </w:rPr>
                    <w:t>二苯并[a,h]蒽（mg/kg）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top"/>
                </w:tcPr>
                <w:p>
                  <w:pPr>
                    <w:spacing w:line="280" w:lineRule="exact"/>
                    <w:jc w:val="center"/>
                    <w:rPr>
                      <w:color w:val="auto"/>
                      <w:highlight w:val="none"/>
                    </w:rPr>
                  </w:pPr>
                  <w:r>
                    <w:rPr>
                      <w:color w:val="auto"/>
                      <w:szCs w:val="21"/>
                      <w:highlight w:val="none"/>
                    </w:rPr>
                    <w:t>茚并[1,2,3-cd]芘（mg/kg）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top"/>
                </w:tcPr>
                <w:p>
                  <w:pPr>
                    <w:spacing w:line="280" w:lineRule="exact"/>
                    <w:jc w:val="center"/>
                    <w:rPr>
                      <w:color w:val="auto"/>
                      <w:highlight w:val="none"/>
                    </w:rPr>
                  </w:pPr>
                  <w:r>
                    <w:rPr>
                      <w:color w:val="auto"/>
                      <w:szCs w:val="21"/>
                      <w:highlight w:val="none"/>
                    </w:rPr>
                    <w:t>萘（mg/kg）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0.09ND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0.09ND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0.09ND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szCs w:val="21"/>
                      <w:highlight w:val="none"/>
                    </w:rPr>
                  </w:pPr>
                  <w:r>
                    <w:rPr>
                      <w:color w:val="auto"/>
                      <w:highlight w:val="none"/>
                    </w:rPr>
                    <w:t>pH值</w:t>
                  </w:r>
                  <w:r>
                    <w:rPr>
                      <w:rFonts w:hint="eastAsia"/>
                      <w:color w:val="auto"/>
                      <w:highlight w:val="none"/>
                    </w:rPr>
                    <w:t>(无量纲</w:t>
                  </w:r>
                  <w:r>
                    <w:rPr>
                      <w:color w:val="auto"/>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8.93</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8.98</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 xml:space="preserve">9.19 </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highlight w:val="none"/>
                    </w:rPr>
                    <w:t>石油烃C</w:t>
                  </w:r>
                  <w:r>
                    <w:rPr>
                      <w:color w:val="auto"/>
                      <w:highlight w:val="none"/>
                      <w:vertAlign w:val="subscript"/>
                    </w:rPr>
                    <w:t>10</w:t>
                  </w:r>
                  <w:r>
                    <w:rPr>
                      <w:color w:val="auto"/>
                      <w:highlight w:val="none"/>
                    </w:rPr>
                    <w:t>-C</w:t>
                  </w:r>
                  <w:r>
                    <w:rPr>
                      <w:color w:val="auto"/>
                      <w:highlight w:val="none"/>
                      <w:vertAlign w:val="subscript"/>
                    </w:rPr>
                    <w:t>40</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7</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9</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6</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4500</w:t>
                  </w:r>
                </w:p>
              </w:tc>
            </w:tr>
          </w:tbl>
          <w:p>
            <w:pPr>
              <w:spacing w:line="360" w:lineRule="auto"/>
              <w:ind w:firstLine="480" w:firstLineChars="200"/>
              <w:rPr>
                <w:rFonts w:hint="eastAsia"/>
                <w:color w:val="auto"/>
                <w:sz w:val="24"/>
                <w:highlight w:val="none"/>
              </w:rPr>
            </w:pPr>
            <w:r>
              <w:rPr>
                <w:rFonts w:hint="eastAsia"/>
                <w:color w:val="auto"/>
                <w:sz w:val="24"/>
                <w:highlight w:val="none"/>
              </w:rPr>
              <w:t>根据检测结果可知，建设用地土壤环境质量满足《土壤环境质量 建设用地土壤污染风险管控标准(试行)》(GB36600-2018)第</w:t>
            </w:r>
            <w:r>
              <w:rPr>
                <w:rFonts w:hint="eastAsia"/>
                <w:color w:val="auto"/>
                <w:sz w:val="24"/>
                <w:highlight w:val="none"/>
                <w:lang w:val="en-US" w:eastAsia="zh-CN"/>
              </w:rPr>
              <w:t>二</w:t>
            </w:r>
            <w:r>
              <w:rPr>
                <w:rFonts w:hint="eastAsia"/>
                <w:color w:val="auto"/>
                <w:sz w:val="24"/>
                <w:highlight w:val="none"/>
              </w:rPr>
              <w:t>类用地筛选值。</w:t>
            </w:r>
          </w:p>
          <w:p>
            <w:pPr>
              <w:numPr>
                <w:ilvl w:val="0"/>
                <w:numId w:val="13"/>
              </w:numPr>
              <w:spacing w:line="360" w:lineRule="auto"/>
              <w:ind w:left="0" w:leftChars="0" w:firstLine="482" w:firstLineChars="200"/>
              <w:rPr>
                <w:b/>
                <w:color w:val="auto"/>
                <w:sz w:val="24"/>
                <w:szCs w:val="24"/>
              </w:rPr>
            </w:pPr>
            <w:r>
              <w:rPr>
                <w:rFonts w:hAnsi="宋体"/>
                <w:b/>
                <w:color w:val="auto"/>
                <w:sz w:val="24"/>
                <w:szCs w:val="24"/>
              </w:rPr>
              <w:t>生态环境</w:t>
            </w:r>
          </w:p>
          <w:p>
            <w:pPr>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rPr>
              <w:t>本项目位于</w:t>
            </w:r>
            <w:r>
              <w:rPr>
                <w:rFonts w:hint="eastAsia" w:cs="Times New Roman"/>
                <w:color w:val="auto"/>
                <w:sz w:val="24"/>
                <w:szCs w:val="24"/>
                <w:lang w:val="en-US" w:eastAsia="zh-CN"/>
              </w:rPr>
              <w:t>渭南高新区海泰新型电子材料有限责任公司厂区内进行建设，不新增用地，</w:t>
            </w:r>
            <w:r>
              <w:rPr>
                <w:rFonts w:hint="eastAsia" w:ascii="宋体" w:hAnsi="宋体" w:cs="宋体"/>
                <w:color w:val="auto"/>
                <w:sz w:val="24"/>
                <w:szCs w:val="24"/>
                <w:lang w:val="en-US" w:eastAsia="zh-CN"/>
              </w:rPr>
              <w:t>库区地面均已硬化，故无需进行生态现状调查。</w:t>
            </w:r>
          </w:p>
          <w:p>
            <w:pPr>
              <w:spacing w:line="360" w:lineRule="auto"/>
              <w:ind w:firstLine="482" w:firstLineChars="200"/>
              <w:rPr>
                <w:rFonts w:hint="default" w:eastAsia="宋体"/>
                <w:b/>
                <w:color w:val="auto"/>
                <w:sz w:val="24"/>
                <w:szCs w:val="24"/>
                <w:lang w:val="en-US" w:eastAsia="zh-CN"/>
              </w:rPr>
            </w:pPr>
            <w:r>
              <w:rPr>
                <w:rFonts w:hint="eastAsia" w:hAnsi="宋体"/>
                <w:b/>
                <w:color w:val="auto"/>
                <w:sz w:val="24"/>
                <w:szCs w:val="24"/>
                <w:lang w:val="en-US" w:eastAsia="zh-CN"/>
              </w:rPr>
              <w:t>七</w:t>
            </w:r>
            <w:r>
              <w:rPr>
                <w:rFonts w:hAnsi="宋体"/>
                <w:b/>
                <w:color w:val="auto"/>
                <w:sz w:val="24"/>
                <w:szCs w:val="24"/>
              </w:rPr>
              <w:t>、</w:t>
            </w:r>
            <w:r>
              <w:rPr>
                <w:rFonts w:hint="eastAsia" w:hAnsi="宋体"/>
                <w:b/>
                <w:color w:val="auto"/>
                <w:sz w:val="24"/>
                <w:szCs w:val="24"/>
                <w:lang w:val="en-US" w:eastAsia="zh-CN"/>
              </w:rPr>
              <w:t>电磁辐射</w:t>
            </w:r>
          </w:p>
          <w:p>
            <w:pPr>
              <w:spacing w:line="360" w:lineRule="auto"/>
              <w:ind w:firstLine="480" w:firstLineChars="200"/>
              <w:rPr>
                <w:rFonts w:hint="eastAsia" w:ascii="宋体" w:hAnsi="宋体" w:eastAsia="宋体" w:cs="宋体"/>
                <w:color w:val="auto"/>
                <w:kern w:val="0"/>
                <w:szCs w:val="21"/>
                <w:lang w:val="en-US" w:eastAsia="zh-CN"/>
              </w:rPr>
            </w:pPr>
            <w:r>
              <w:rPr>
                <w:rFonts w:hint="eastAsia" w:ascii="宋体" w:hAnsi="宋体" w:cs="宋体"/>
                <w:color w:val="auto"/>
                <w:sz w:val="24"/>
                <w:szCs w:val="24"/>
                <w:lang w:val="en-US" w:eastAsia="zh-CN"/>
              </w:rPr>
              <w:t>本项目不涉及电磁辐射。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9" w:hRule="atLeast"/>
          <w:jc w:val="center"/>
        </w:trPr>
        <w:tc>
          <w:tcPr>
            <w:tcW w:w="424"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保护</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目标</w:t>
            </w:r>
          </w:p>
        </w:tc>
        <w:tc>
          <w:tcPr>
            <w:tcW w:w="8637" w:type="dxa"/>
            <w:vAlign w:val="center"/>
          </w:tcPr>
          <w:p>
            <w:pPr>
              <w:spacing w:line="360" w:lineRule="auto"/>
              <w:rPr>
                <w:b/>
                <w:bCs/>
                <w:color w:val="auto"/>
                <w:sz w:val="24"/>
                <w:szCs w:val="24"/>
              </w:rPr>
            </w:pPr>
            <w:r>
              <w:rPr>
                <w:b/>
                <w:bCs/>
                <w:color w:val="auto"/>
                <w:sz w:val="24"/>
                <w:szCs w:val="24"/>
              </w:rPr>
              <w:t>主要环境保护目标：</w:t>
            </w:r>
          </w:p>
          <w:p>
            <w:pPr>
              <w:spacing w:line="360" w:lineRule="auto"/>
              <w:ind w:firstLine="480" w:firstLineChars="200"/>
              <w:rPr>
                <w:rFonts w:hint="eastAsia" w:ascii="Times New Roman" w:hAnsi="Times New Roman" w:cs="Times New Roman" w:eastAsiaTheme="minorEastAsia"/>
                <w:color w:val="auto"/>
                <w:kern w:val="0"/>
                <w:sz w:val="24"/>
                <w:szCs w:val="24"/>
                <w:lang w:val="en-US" w:eastAsia="zh-CN" w:bidi="ar-SA"/>
              </w:rPr>
            </w:pPr>
            <w:r>
              <w:rPr>
                <w:color w:val="auto"/>
                <w:sz w:val="24"/>
                <w:szCs w:val="24"/>
              </w:rPr>
              <w:t>根据《</w:t>
            </w:r>
            <w:r>
              <w:rPr>
                <w:rFonts w:hint="eastAsia"/>
                <w:color w:val="auto"/>
                <w:sz w:val="24"/>
                <w:szCs w:val="24"/>
              </w:rPr>
              <w:t>建设项目环境报告编制技术指南（污染影响类）</w:t>
            </w:r>
            <w:r>
              <w:rPr>
                <w:color w:val="auto"/>
                <w:sz w:val="24"/>
                <w:szCs w:val="24"/>
              </w:rPr>
              <w:t>》（</w:t>
            </w:r>
            <w:r>
              <w:rPr>
                <w:rFonts w:hint="eastAsia"/>
                <w:color w:val="auto"/>
                <w:sz w:val="24"/>
                <w:szCs w:val="24"/>
              </w:rPr>
              <w:t>试行</w:t>
            </w:r>
            <w:r>
              <w:rPr>
                <w:color w:val="auto"/>
                <w:sz w:val="24"/>
                <w:szCs w:val="24"/>
              </w:rPr>
              <w:t>）中</w:t>
            </w:r>
            <w:r>
              <w:rPr>
                <w:rFonts w:hint="eastAsia"/>
                <w:color w:val="auto"/>
                <w:sz w:val="24"/>
                <w:szCs w:val="24"/>
              </w:rPr>
              <w:t>环境保护目标规</w:t>
            </w:r>
            <w:r>
              <w:rPr>
                <w:color w:val="auto"/>
                <w:sz w:val="24"/>
                <w:szCs w:val="24"/>
              </w:rPr>
              <w:t>定，明确厂界外500米范围内的自然保护区、风景名</w:t>
            </w:r>
            <w:r>
              <w:rPr>
                <w:rFonts w:hint="eastAsia"/>
                <w:color w:val="auto"/>
                <w:sz w:val="24"/>
                <w:szCs w:val="24"/>
              </w:rPr>
              <w:t>胜区、居住区、文化区和农村地区中人群较集中的区域等保护目标的名称及与建设项目厂界位置关系；具体见下表：</w:t>
            </w:r>
          </w:p>
          <w:p>
            <w:pPr>
              <w:keepNext w:val="0"/>
              <w:keepLines w:val="0"/>
              <w:pageBreakBefore w:val="0"/>
              <w:widowControl w:val="0"/>
              <w:kinsoku/>
              <w:wordWrap/>
              <w:overflowPunct/>
              <w:topLinePunct w:val="0"/>
              <w:autoSpaceDE/>
              <w:autoSpaceDN/>
              <w:bidi w:val="0"/>
              <w:adjustRightInd w:val="0"/>
              <w:snapToGrid w:val="0"/>
              <w:ind w:firstLine="420"/>
              <w:jc w:val="center"/>
              <w:textAlignment w:val="auto"/>
              <w:rPr>
                <w:b/>
                <w:bCs/>
                <w:color w:val="auto"/>
                <w:sz w:val="24"/>
                <w:szCs w:val="24"/>
              </w:rPr>
            </w:pPr>
            <w:r>
              <w:rPr>
                <w:b/>
                <w:bCs/>
                <w:color w:val="auto"/>
                <w:sz w:val="24"/>
                <w:szCs w:val="24"/>
              </w:rPr>
              <w:t>表3</w:t>
            </w:r>
            <w:r>
              <w:rPr>
                <w:rFonts w:hint="eastAsia"/>
                <w:b/>
                <w:bCs/>
                <w:color w:val="auto"/>
                <w:sz w:val="24"/>
                <w:szCs w:val="24"/>
                <w:lang w:val="en-US" w:eastAsia="zh-CN"/>
              </w:rPr>
              <w:t>-11</w:t>
            </w:r>
            <w:r>
              <w:rPr>
                <w:b/>
                <w:bCs/>
                <w:color w:val="auto"/>
                <w:sz w:val="24"/>
                <w:szCs w:val="24"/>
              </w:rPr>
              <w:t xml:space="preserve">  项目运营期环境保护目标一览表</w:t>
            </w:r>
          </w:p>
          <w:tbl>
            <w:tblPr>
              <w:tblStyle w:val="31"/>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54"/>
              <w:gridCol w:w="1119"/>
              <w:gridCol w:w="1275"/>
              <w:gridCol w:w="916"/>
              <w:gridCol w:w="731"/>
              <w:gridCol w:w="1052"/>
              <w:gridCol w:w="744"/>
              <w:gridCol w:w="20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29"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1425" w:type="pct"/>
                  <w:gridSpan w:val="2"/>
                  <w:tcBorders>
                    <w:tl2br w:val="nil"/>
                    <w:tr2bl w:val="nil"/>
                  </w:tcBorders>
                  <w:noWrap w:val="0"/>
                  <w:vAlign w:val="center"/>
                </w:tcPr>
                <w:p>
                  <w:pPr>
                    <w:pStyle w:val="20"/>
                    <w:pBdr>
                      <w:bottom w:val="none" w:color="auto" w:sz="0" w:space="0"/>
                    </w:pBdr>
                    <w:tabs>
                      <w:tab w:val="left" w:pos="420"/>
                    </w:tabs>
                    <w:snapToGrid/>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坐标</w:t>
                  </w:r>
                  <w:r>
                    <w:rPr>
                      <w:rFonts w:hint="eastAsia" w:cs="Times New Roman"/>
                      <w:b/>
                      <w:bCs/>
                      <w:color w:val="auto"/>
                      <w:sz w:val="21"/>
                      <w:szCs w:val="21"/>
                      <w:lang w:val="en-US" w:eastAsia="zh-CN"/>
                    </w:rPr>
                    <w:t xml:space="preserve"> </w:t>
                  </w:r>
                </w:p>
              </w:tc>
              <w:tc>
                <w:tcPr>
                  <w:tcW w:w="545"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对象</w:t>
                  </w:r>
                </w:p>
              </w:tc>
              <w:tc>
                <w:tcPr>
                  <w:tcW w:w="435"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相对厂址方位</w:t>
                  </w:r>
                </w:p>
              </w:tc>
              <w:tc>
                <w:tcPr>
                  <w:tcW w:w="626"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相对厂界距离/m</w:t>
                  </w:r>
                </w:p>
              </w:tc>
              <w:tc>
                <w:tcPr>
                  <w:tcW w:w="443"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人数</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（人）</w:t>
                  </w:r>
                </w:p>
              </w:tc>
              <w:tc>
                <w:tcPr>
                  <w:tcW w:w="1194"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29" w:type="pct"/>
                  <w:vMerge w:val="continue"/>
                  <w:tcBorders>
                    <w:tl2br w:val="nil"/>
                    <w:tr2bl w:val="nil"/>
                  </w:tcBorders>
                  <w:noWrap w:val="0"/>
                  <w:vAlign w:val="center"/>
                </w:tcPr>
                <w:p>
                  <w:pPr>
                    <w:widowControl/>
                    <w:jc w:val="left"/>
                    <w:rPr>
                      <w:rFonts w:hint="default" w:ascii="Times New Roman" w:hAnsi="Times New Roman" w:cs="Times New Roman"/>
                      <w:color w:val="auto"/>
                      <w:szCs w:val="21"/>
                    </w:rPr>
                  </w:pPr>
                </w:p>
              </w:tc>
              <w:tc>
                <w:tcPr>
                  <w:tcW w:w="666" w:type="pct"/>
                  <w:tcBorders>
                    <w:tl2br w:val="nil"/>
                    <w:tr2bl w:val="nil"/>
                  </w:tcBorders>
                  <w:noWrap w:val="0"/>
                  <w:vAlign w:val="center"/>
                </w:tcPr>
                <w:p>
                  <w:pPr>
                    <w:pStyle w:val="20"/>
                    <w:pBdr>
                      <w:bottom w:val="none" w:color="auto" w:sz="0" w:space="0"/>
                    </w:pBdr>
                    <w:tabs>
                      <w:tab w:val="left" w:pos="420"/>
                    </w:tabs>
                    <w:snapToGrid/>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纬度</w:t>
                  </w:r>
                </w:p>
              </w:tc>
              <w:tc>
                <w:tcPr>
                  <w:tcW w:w="759" w:type="pct"/>
                  <w:tcBorders>
                    <w:tl2br w:val="nil"/>
                    <w:tr2bl w:val="nil"/>
                  </w:tcBorders>
                  <w:noWrap w:val="0"/>
                  <w:vAlign w:val="center"/>
                </w:tcPr>
                <w:p>
                  <w:pPr>
                    <w:pStyle w:val="20"/>
                    <w:pBdr>
                      <w:bottom w:val="none" w:color="auto" w:sz="0" w:space="0"/>
                    </w:pBdr>
                    <w:tabs>
                      <w:tab w:val="left" w:pos="420"/>
                    </w:tabs>
                    <w:snapToGrid/>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经度</w:t>
                  </w:r>
                </w:p>
              </w:tc>
              <w:tc>
                <w:tcPr>
                  <w:tcW w:w="545" w:type="pct"/>
                  <w:vMerge w:val="continue"/>
                  <w:tcBorders>
                    <w:tl2br w:val="nil"/>
                    <w:tr2bl w:val="nil"/>
                  </w:tcBorders>
                  <w:noWrap w:val="0"/>
                  <w:vAlign w:val="center"/>
                </w:tcPr>
                <w:p>
                  <w:pPr>
                    <w:widowControl/>
                    <w:jc w:val="left"/>
                    <w:rPr>
                      <w:rFonts w:hint="default" w:ascii="Times New Roman" w:hAnsi="Times New Roman" w:cs="Times New Roman"/>
                      <w:color w:val="auto"/>
                      <w:szCs w:val="21"/>
                    </w:rPr>
                  </w:pPr>
                </w:p>
              </w:tc>
              <w:tc>
                <w:tcPr>
                  <w:tcW w:w="435" w:type="pct"/>
                  <w:vMerge w:val="continue"/>
                  <w:tcBorders>
                    <w:tl2br w:val="nil"/>
                    <w:tr2bl w:val="nil"/>
                  </w:tcBorders>
                  <w:noWrap w:val="0"/>
                  <w:vAlign w:val="center"/>
                </w:tcPr>
                <w:p>
                  <w:pPr>
                    <w:widowControl/>
                    <w:jc w:val="left"/>
                    <w:rPr>
                      <w:rFonts w:hint="default" w:ascii="Times New Roman" w:hAnsi="Times New Roman" w:cs="Times New Roman"/>
                      <w:color w:val="auto"/>
                      <w:szCs w:val="21"/>
                    </w:rPr>
                  </w:pPr>
                </w:p>
              </w:tc>
              <w:tc>
                <w:tcPr>
                  <w:tcW w:w="626" w:type="pct"/>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443" w:type="pct"/>
                  <w:vMerge w:val="continue"/>
                  <w:tcBorders>
                    <w:tl2br w:val="nil"/>
                    <w:tr2bl w:val="nil"/>
                  </w:tcBorders>
                  <w:noWrap w:val="0"/>
                  <w:vAlign w:val="center"/>
                </w:tcPr>
                <w:p>
                  <w:pPr>
                    <w:widowControl/>
                    <w:jc w:val="left"/>
                    <w:rPr>
                      <w:rFonts w:hint="default" w:ascii="Times New Roman" w:hAnsi="Times New Roman" w:cs="Times New Roman"/>
                      <w:color w:val="auto"/>
                      <w:szCs w:val="21"/>
                    </w:rPr>
                  </w:pPr>
                </w:p>
              </w:tc>
              <w:tc>
                <w:tcPr>
                  <w:tcW w:w="1194" w:type="pct"/>
                  <w:vMerge w:val="continue"/>
                  <w:tcBorders>
                    <w:tl2br w:val="nil"/>
                    <w:tr2bl w:val="nil"/>
                  </w:tcBorders>
                  <w:noWrap w:val="0"/>
                  <w:vAlign w:val="center"/>
                </w:tcPr>
                <w:p>
                  <w:pPr>
                    <w:widowControl/>
                    <w:jc w:val="left"/>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29" w:type="pct"/>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w:t>
                  </w:r>
                </w:p>
              </w:tc>
              <w:tc>
                <w:tcPr>
                  <w:tcW w:w="666" w:type="pct"/>
                  <w:tcBorders>
                    <w:tl2br w:val="nil"/>
                    <w:tr2bl w:val="nil"/>
                  </w:tcBorders>
                  <w:noWrap w:val="0"/>
                  <w:vAlign w:val="center"/>
                </w:tcPr>
                <w:p>
                  <w:pPr>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34.491252°</w:t>
                  </w:r>
                </w:p>
              </w:tc>
              <w:tc>
                <w:tcPr>
                  <w:tcW w:w="759"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109.423764°</w:t>
                  </w:r>
                </w:p>
              </w:tc>
              <w:tc>
                <w:tcPr>
                  <w:tcW w:w="545"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kern w:val="0"/>
                      <w:sz w:val="21"/>
                      <w:szCs w:val="21"/>
                      <w:lang w:val="en-US" w:eastAsia="zh-CN" w:bidi="ar-SA"/>
                    </w:rPr>
                    <w:t>姚家村</w:t>
                  </w:r>
                </w:p>
              </w:tc>
              <w:tc>
                <w:tcPr>
                  <w:tcW w:w="435" w:type="pct"/>
                  <w:tcBorders>
                    <w:tl2br w:val="nil"/>
                    <w:tr2bl w:val="nil"/>
                  </w:tcBorders>
                  <w:noWrap w:val="0"/>
                  <w:vAlign w:val="center"/>
                </w:tcPr>
                <w:p>
                  <w:pPr>
                    <w:jc w:val="center"/>
                    <w:textAlignment w:val="baseline"/>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SE</w:t>
                  </w:r>
                </w:p>
              </w:tc>
              <w:tc>
                <w:tcPr>
                  <w:tcW w:w="626"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240</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1600</w:t>
                  </w:r>
                </w:p>
              </w:tc>
              <w:tc>
                <w:tcPr>
                  <w:tcW w:w="1194" w:type="pct"/>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《环境空气质量标准》（GB3095-2012）中二级标准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29" w:type="pct"/>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666" w:type="pct"/>
                  <w:tcBorders>
                    <w:tl2br w:val="nil"/>
                    <w:tr2bl w:val="nil"/>
                  </w:tcBorders>
                  <w:noWrap w:val="0"/>
                  <w:vAlign w:val="center"/>
                </w:tcPr>
                <w:p>
                  <w:pPr>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34.498870°</w:t>
                  </w:r>
                </w:p>
              </w:tc>
              <w:tc>
                <w:tcPr>
                  <w:tcW w:w="759" w:type="pct"/>
                  <w:tcBorders>
                    <w:tl2br w:val="nil"/>
                    <w:tr2bl w:val="nil"/>
                  </w:tcBorders>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109.417224</w:t>
                  </w:r>
                </w:p>
              </w:tc>
              <w:tc>
                <w:tcPr>
                  <w:tcW w:w="545"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highlight w:val="none"/>
                      <w:lang w:val="en-US" w:eastAsia="zh-CN" w:bidi="ar-SA"/>
                    </w:rPr>
                    <w:t>大闵村</w:t>
                  </w:r>
                </w:p>
              </w:tc>
              <w:tc>
                <w:tcPr>
                  <w:tcW w:w="435" w:type="pct"/>
                  <w:tcBorders>
                    <w:tl2br w:val="nil"/>
                    <w:tr2bl w:val="nil"/>
                  </w:tcBorders>
                  <w:noWrap w:val="0"/>
                  <w:vAlign w:val="center"/>
                </w:tcPr>
                <w:p>
                  <w:pPr>
                    <w:jc w:val="center"/>
                    <w:textAlignment w:val="baseline"/>
                    <w:rPr>
                      <w:rFonts w:hint="default" w:cs="Times New Roman"/>
                      <w:color w:val="auto"/>
                      <w:szCs w:val="21"/>
                      <w:lang w:val="en-US" w:eastAsia="zh-CN"/>
                    </w:rPr>
                  </w:pPr>
                  <w:r>
                    <w:rPr>
                      <w:rFonts w:hint="eastAsia" w:cs="Times New Roman"/>
                      <w:color w:val="auto"/>
                      <w:szCs w:val="21"/>
                      <w:lang w:val="en-US" w:eastAsia="zh-CN"/>
                    </w:rPr>
                    <w:t>NW</w:t>
                  </w:r>
                </w:p>
              </w:tc>
              <w:tc>
                <w:tcPr>
                  <w:tcW w:w="626" w:type="pct"/>
                  <w:tcBorders>
                    <w:tl2br w:val="nil"/>
                    <w:tr2bl w:val="nil"/>
                  </w:tcBorders>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425</w:t>
                  </w:r>
                </w:p>
              </w:tc>
              <w:tc>
                <w:tcPr>
                  <w:tcW w:w="443" w:type="pct"/>
                  <w:tcBorders>
                    <w:tl2br w:val="nil"/>
                    <w:tr2bl w:val="nil"/>
                  </w:tcBorders>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1986</w:t>
                  </w:r>
                </w:p>
              </w:tc>
              <w:tc>
                <w:tcPr>
                  <w:tcW w:w="1194" w:type="pct"/>
                  <w:vMerge w:val="continue"/>
                  <w:tcBorders>
                    <w:tl2br w:val="nil"/>
                    <w:tr2bl w:val="nil"/>
                  </w:tcBorders>
                  <w:noWrap w:val="0"/>
                  <w:vAlign w:val="center"/>
                </w:tcPr>
                <w:p>
                  <w:pPr>
                    <w:jc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29"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3475" w:type="pct"/>
                  <w:gridSpan w:val="6"/>
                  <w:tcBorders>
                    <w:tl2br w:val="nil"/>
                    <w:tr2bl w:val="nil"/>
                  </w:tcBorders>
                  <w:noWrap w:val="0"/>
                  <w:vAlign w:val="center"/>
                </w:tcPr>
                <w:p>
                  <w:pPr>
                    <w:pStyle w:val="87"/>
                    <w:spacing w:line="240" w:lineRule="auto"/>
                    <w:rPr>
                      <w:rFonts w:hint="default" w:ascii="Times New Roman" w:hAnsi="Times New Roman" w:cs="Times New Roman"/>
                      <w:color w:val="auto"/>
                      <w:szCs w:val="21"/>
                      <w:lang w:val="zh-CN"/>
                    </w:rPr>
                  </w:pPr>
                </w:p>
                <w:p>
                  <w:pPr>
                    <w:pStyle w:val="87"/>
                    <w:spacing w:line="240" w:lineRule="auto"/>
                    <w:rPr>
                      <w:rFonts w:hint="default" w:ascii="Times New Roman" w:hAnsi="Times New Roman" w:cs="Times New Roman"/>
                      <w:color w:val="auto"/>
                      <w:szCs w:val="21"/>
                      <w:lang w:val="zh-CN"/>
                    </w:rPr>
                  </w:pPr>
                  <w:r>
                    <w:rPr>
                      <w:rFonts w:hint="default" w:ascii="Times New Roman" w:hAnsi="Times New Roman" w:cs="Times New Roman"/>
                      <w:color w:val="auto"/>
                      <w:szCs w:val="21"/>
                    </w:rPr>
                    <w:t>项目地50m范围内无机关、学校、小区、医院等环境空气环境敏感目标。</w:t>
                  </w:r>
                </w:p>
                <w:p>
                  <w:pPr>
                    <w:jc w:val="center"/>
                    <w:rPr>
                      <w:rFonts w:hint="default" w:ascii="Times New Roman" w:hAnsi="Times New Roman" w:cs="Times New Roman"/>
                      <w:color w:val="auto"/>
                      <w:szCs w:val="21"/>
                    </w:rPr>
                  </w:pPr>
                </w:p>
              </w:tc>
              <w:tc>
                <w:tcPr>
                  <w:tcW w:w="1194" w:type="pct"/>
                  <w:tcBorders>
                    <w:tl2br w:val="nil"/>
                    <w:tr2bl w:val="nil"/>
                  </w:tcBorders>
                  <w:noWrap w:val="0"/>
                  <w:vAlign w:val="center"/>
                </w:tcPr>
                <w:p>
                  <w:pPr>
                    <w:pStyle w:val="87"/>
                    <w:spacing w:line="240" w:lineRule="auto"/>
                    <w:jc w:val="both"/>
                    <w:rPr>
                      <w:rFonts w:hint="default" w:ascii="Times New Roman" w:hAnsi="Times New Roman" w:cs="Times New Roman"/>
                      <w:color w:val="auto"/>
                      <w:szCs w:val="21"/>
                    </w:rPr>
                  </w:pPr>
                  <w:r>
                    <w:rPr>
                      <w:rFonts w:hint="default" w:ascii="Times New Roman" w:hAnsi="Times New Roman" w:cs="Times New Roman"/>
                      <w:color w:val="auto"/>
                      <w:szCs w:val="21"/>
                    </w:rPr>
                    <w:t>《声环境质量标准》</w:t>
                  </w:r>
                  <w:r>
                    <w:rPr>
                      <w:rFonts w:hint="eastAsia" w:cs="Times New Roman"/>
                      <w:color w:val="auto"/>
                      <w:szCs w:val="21"/>
                      <w:lang w:eastAsia="zh-CN"/>
                    </w:rPr>
                    <w:t>（</w:t>
                  </w:r>
                  <w:r>
                    <w:rPr>
                      <w:rFonts w:hint="default" w:ascii="Times New Roman" w:hAnsi="Times New Roman" w:cs="Times New Roman"/>
                      <w:color w:val="auto"/>
                      <w:szCs w:val="21"/>
                    </w:rPr>
                    <w:t>GB3096-2008</w:t>
                  </w:r>
                  <w:r>
                    <w:rPr>
                      <w:rFonts w:hint="eastAsia" w:cs="Times New Roman"/>
                      <w:color w:val="auto"/>
                      <w:szCs w:val="21"/>
                      <w:lang w:eastAsia="zh-CN"/>
                    </w:rPr>
                    <w:t>）</w:t>
                  </w:r>
                  <w:r>
                    <w:rPr>
                      <w:rFonts w:hint="eastAsia" w:cs="Times New Roman"/>
                      <w:color w:val="auto"/>
                      <w:szCs w:val="21"/>
                      <w:lang w:val="en-US" w:eastAsia="zh-CN"/>
                    </w:rPr>
                    <w:t>3</w:t>
                  </w:r>
                  <w:r>
                    <w:rPr>
                      <w:rFonts w:hint="default" w:ascii="Times New Roman" w:hAnsi="Times New Roman" w:cs="Times New Roman"/>
                      <w:color w:val="auto"/>
                      <w:szCs w:val="21"/>
                    </w:rPr>
                    <w:t>类标准</w:t>
                  </w:r>
                </w:p>
              </w:tc>
            </w:tr>
          </w:tbl>
          <w:p>
            <w:pPr>
              <w:adjustRightInd w:val="0"/>
              <w:snapToGrid w:val="0"/>
              <w:jc w:val="both"/>
              <w:rPr>
                <w:rFonts w:hint="eastAsia" w:ascii="宋体" w:hAnsi="宋体" w:eastAsia="宋体" w:cs="宋体"/>
                <w:color w:val="auto"/>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24" w:type="dxa"/>
            <w:tcMar>
              <w:left w:w="28" w:type="dxa"/>
              <w:right w:w="28" w:type="dxa"/>
            </w:tcMar>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污染</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物排</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放控</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制标</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637" w:type="dxa"/>
            <w:vAlign w:val="center"/>
          </w:tcPr>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lang w:eastAsia="zh-CN"/>
              </w:rPr>
            </w:pPr>
            <w:r>
              <w:rPr>
                <w:rFonts w:hint="eastAsia" w:cs="Times New Roman"/>
                <w:color w:val="auto"/>
                <w:sz w:val="24"/>
                <w:szCs w:val="24"/>
                <w:lang w:eastAsia="zh-CN"/>
              </w:rPr>
              <w:t>①施工期：施工废气执行《施工场界扬尘排放限值》（DB61/1078-2017）；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s="Times New Roman"/>
                <w:color w:val="auto"/>
                <w:sz w:val="24"/>
                <w:szCs w:val="24"/>
                <w:lang w:eastAsia="zh-CN"/>
              </w:rPr>
              <w:t>②</w:t>
            </w:r>
            <w:r>
              <w:rPr>
                <w:rFonts w:hint="default" w:ascii="Times New Roman" w:hAnsi="Times New Roman" w:cs="Times New Roman"/>
                <w:color w:val="auto"/>
                <w:sz w:val="24"/>
                <w:szCs w:val="24"/>
                <w:lang w:val="en-US" w:eastAsia="zh-CN"/>
              </w:rPr>
              <w:t>运营期</w:t>
            </w:r>
            <w:r>
              <w:rPr>
                <w:rFonts w:hint="eastAsia" w:cs="Times New Roman"/>
                <w:color w:val="auto"/>
                <w:sz w:val="24"/>
                <w:szCs w:val="24"/>
                <w:lang w:val="en-US" w:eastAsia="zh-CN"/>
              </w:rPr>
              <w:t>：</w:t>
            </w:r>
            <w:r>
              <w:rPr>
                <w:rFonts w:hint="eastAsia"/>
                <w:color w:val="auto"/>
                <w:sz w:val="24"/>
                <w:szCs w:val="24"/>
                <w:lang w:val="en-US" w:eastAsia="zh-CN"/>
              </w:rPr>
              <w:t>甲苯、非甲烷总烃有组织废气执行《大气污染物综合排放标准》（GB 16297-1996）表2中限值要求；臭气浓度有组织废气执行《恶臭污染物排放标准》（GB 14554-93）表2中限值要求、甲醇有组织废气执行《挥发性有机物排放控制标准》（DB61/ T1061-2017）中表1限值要求。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rPr>
            </w:pPr>
            <w:r>
              <w:rPr>
                <w:rFonts w:hint="eastAsia"/>
                <w:color w:val="auto"/>
                <w:sz w:val="24"/>
                <w:szCs w:val="24"/>
                <w:lang w:val="en-US" w:eastAsia="zh-CN"/>
              </w:rPr>
              <w:t>甲醇、非甲烷总烃无组织废气执行《挥发性有机物排放控制标准》（DB61/ T1061-2017）中表3限值要求；臭气浓度无组织废气执行《恶臭污染物排放标准》（GB 14554-93）中表1限值要求；甲苯无组织废气执行《大气污染物综合排放标准》（GB 16297-1996）中表2新扩改建限值要求。</w:t>
            </w:r>
          </w:p>
          <w:p>
            <w:pPr>
              <w:pStyle w:val="4"/>
              <w:spacing w:line="360" w:lineRule="auto"/>
              <w:jc w:val="center"/>
              <w:rPr>
                <w:rFonts w:hint="eastAsia" w:ascii="Times New Roman"/>
                <w:b/>
                <w:bCs/>
                <w:color w:val="auto"/>
                <w:sz w:val="24"/>
                <w:szCs w:val="24"/>
              </w:rPr>
            </w:pPr>
            <w:r>
              <w:rPr>
                <w:rFonts w:hint="eastAsia" w:ascii="Times New Roman"/>
                <w:b/>
                <w:bCs/>
                <w:color w:val="auto"/>
                <w:sz w:val="24"/>
                <w:szCs w:val="24"/>
              </w:rPr>
              <w:t>表</w:t>
            </w:r>
            <w:r>
              <w:rPr>
                <w:rFonts w:hint="eastAsia"/>
                <w:b/>
                <w:bCs/>
                <w:color w:val="auto"/>
                <w:sz w:val="24"/>
                <w:szCs w:val="24"/>
                <w:lang w:val="en-US" w:eastAsia="zh-CN"/>
              </w:rPr>
              <w:t>3-12</w:t>
            </w:r>
            <w:r>
              <w:rPr>
                <w:rFonts w:hint="eastAsia" w:ascii="Times New Roman"/>
                <w:b/>
                <w:bCs/>
                <w:color w:val="auto"/>
                <w:sz w:val="24"/>
                <w:szCs w:val="24"/>
              </w:rPr>
              <w:t xml:space="preserve">  废气排放标准一览表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801"/>
              <w:gridCol w:w="1349"/>
              <w:gridCol w:w="950"/>
              <w:gridCol w:w="1024"/>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23" w:type="pct"/>
                  <w:vMerge w:val="restart"/>
                  <w:noWrap w:val="0"/>
                  <w:vAlign w:val="center"/>
                </w:tcPr>
                <w:p>
                  <w:pPr>
                    <w:adjustRightInd w:val="0"/>
                    <w:snapToGrid w:val="0"/>
                    <w:spacing w:line="240" w:lineRule="exact"/>
                    <w:jc w:val="center"/>
                    <w:rPr>
                      <w:b/>
                      <w:bCs/>
                      <w:color w:val="auto"/>
                      <w:szCs w:val="21"/>
                      <w:lang w:bidi="ar"/>
                    </w:rPr>
                  </w:pPr>
                  <w:r>
                    <w:rPr>
                      <w:b/>
                      <w:bCs/>
                      <w:color w:val="auto"/>
                      <w:szCs w:val="21"/>
                      <w:lang w:bidi="ar"/>
                    </w:rPr>
                    <w:t>类别</w:t>
                  </w:r>
                </w:p>
              </w:tc>
              <w:tc>
                <w:tcPr>
                  <w:tcW w:w="1665" w:type="pct"/>
                  <w:vMerge w:val="restart"/>
                  <w:noWrap w:val="0"/>
                  <w:vAlign w:val="center"/>
                </w:tcPr>
                <w:p>
                  <w:pPr>
                    <w:adjustRightInd w:val="0"/>
                    <w:snapToGrid w:val="0"/>
                    <w:spacing w:line="240" w:lineRule="exact"/>
                    <w:jc w:val="center"/>
                    <w:rPr>
                      <w:rFonts w:hint="eastAsia"/>
                      <w:b/>
                      <w:bCs/>
                      <w:color w:val="auto"/>
                      <w:szCs w:val="21"/>
                      <w:lang w:bidi="ar"/>
                    </w:rPr>
                  </w:pPr>
                  <w:r>
                    <w:rPr>
                      <w:b/>
                      <w:bCs/>
                      <w:color w:val="auto"/>
                      <w:szCs w:val="21"/>
                      <w:lang w:bidi="ar"/>
                    </w:rPr>
                    <w:t>标准名称</w:t>
                  </w:r>
                </w:p>
              </w:tc>
              <w:tc>
                <w:tcPr>
                  <w:tcW w:w="2811" w:type="pct"/>
                  <w:gridSpan w:val="4"/>
                  <w:noWrap w:val="0"/>
                  <w:vAlign w:val="center"/>
                </w:tcPr>
                <w:p>
                  <w:pPr>
                    <w:adjustRightInd w:val="0"/>
                    <w:snapToGrid w:val="0"/>
                    <w:spacing w:line="240" w:lineRule="exact"/>
                    <w:jc w:val="center"/>
                    <w:rPr>
                      <w:b/>
                      <w:bCs/>
                      <w:color w:val="auto"/>
                      <w:szCs w:val="21"/>
                      <w:lang w:bidi="ar"/>
                    </w:rPr>
                  </w:pPr>
                  <w:r>
                    <w:rPr>
                      <w:b/>
                      <w:bCs/>
                      <w:color w:val="auto"/>
                      <w:szCs w:val="21"/>
                      <w:lang w:bidi="ar"/>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23" w:type="pct"/>
                  <w:vMerge w:val="continue"/>
                  <w:noWrap w:val="0"/>
                  <w:vAlign w:val="center"/>
                </w:tcPr>
                <w:p>
                  <w:pPr>
                    <w:adjustRightInd w:val="0"/>
                    <w:snapToGrid w:val="0"/>
                    <w:spacing w:line="240" w:lineRule="exact"/>
                    <w:jc w:val="center"/>
                    <w:rPr>
                      <w:b/>
                      <w:bCs/>
                      <w:color w:val="auto"/>
                      <w:szCs w:val="21"/>
                    </w:rPr>
                  </w:pPr>
                </w:p>
              </w:tc>
              <w:tc>
                <w:tcPr>
                  <w:tcW w:w="1665" w:type="pct"/>
                  <w:vMerge w:val="continue"/>
                  <w:noWrap w:val="0"/>
                  <w:vAlign w:val="center"/>
                </w:tcPr>
                <w:p>
                  <w:pPr>
                    <w:adjustRightInd w:val="0"/>
                    <w:snapToGrid w:val="0"/>
                    <w:spacing w:line="240" w:lineRule="exact"/>
                    <w:jc w:val="center"/>
                    <w:rPr>
                      <w:b/>
                      <w:bCs/>
                      <w:color w:val="auto"/>
                      <w:szCs w:val="21"/>
                    </w:rPr>
                  </w:pPr>
                </w:p>
              </w:tc>
              <w:tc>
                <w:tcPr>
                  <w:tcW w:w="1367" w:type="pct"/>
                  <w:gridSpan w:val="2"/>
                  <w:noWrap w:val="0"/>
                  <w:vAlign w:val="center"/>
                </w:tcPr>
                <w:p>
                  <w:pPr>
                    <w:adjustRightInd w:val="0"/>
                    <w:snapToGrid w:val="0"/>
                    <w:spacing w:line="240" w:lineRule="exact"/>
                    <w:jc w:val="center"/>
                    <w:rPr>
                      <w:rFonts w:hint="eastAsia"/>
                      <w:b/>
                      <w:bCs/>
                      <w:color w:val="auto"/>
                      <w:szCs w:val="21"/>
                      <w:lang w:bidi="ar"/>
                    </w:rPr>
                  </w:pPr>
                  <w:r>
                    <w:rPr>
                      <w:rFonts w:hint="eastAsia"/>
                      <w:b/>
                      <w:bCs/>
                      <w:color w:val="auto"/>
                      <w:szCs w:val="21"/>
                      <w:lang w:bidi="ar"/>
                    </w:rPr>
                    <w:t>指标</w:t>
                  </w:r>
                </w:p>
              </w:tc>
              <w:tc>
                <w:tcPr>
                  <w:tcW w:w="609" w:type="pct"/>
                  <w:noWrap w:val="0"/>
                  <w:vAlign w:val="center"/>
                </w:tcPr>
                <w:p>
                  <w:pPr>
                    <w:adjustRightInd w:val="0"/>
                    <w:snapToGrid w:val="0"/>
                    <w:spacing w:line="240" w:lineRule="exact"/>
                    <w:jc w:val="center"/>
                    <w:rPr>
                      <w:b/>
                      <w:bCs/>
                      <w:color w:val="auto"/>
                      <w:szCs w:val="21"/>
                      <w:lang w:bidi="ar"/>
                    </w:rPr>
                  </w:pPr>
                  <w:r>
                    <w:rPr>
                      <w:b/>
                      <w:bCs/>
                      <w:color w:val="auto"/>
                      <w:szCs w:val="21"/>
                      <w:lang w:bidi="ar"/>
                    </w:rPr>
                    <w:t>限值</w:t>
                  </w:r>
                </w:p>
              </w:tc>
              <w:tc>
                <w:tcPr>
                  <w:tcW w:w="834" w:type="pct"/>
                  <w:noWrap w:val="0"/>
                  <w:vAlign w:val="center"/>
                </w:tcPr>
                <w:p>
                  <w:pPr>
                    <w:adjustRightInd w:val="0"/>
                    <w:snapToGrid w:val="0"/>
                    <w:spacing w:line="240" w:lineRule="exact"/>
                    <w:jc w:val="center"/>
                    <w:rPr>
                      <w:b/>
                      <w:bCs/>
                      <w:color w:val="auto"/>
                      <w:szCs w:val="21"/>
                      <w:lang w:bidi="ar"/>
                    </w:rPr>
                  </w:pPr>
                  <w:r>
                    <w:rPr>
                      <w:b/>
                      <w:bCs/>
                      <w:color w:val="auto"/>
                      <w:szCs w:val="21"/>
                      <w:lang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23" w:type="pct"/>
                  <w:vMerge w:val="restart"/>
                  <w:noWrap w:val="0"/>
                  <w:vAlign w:val="center"/>
                </w:tcPr>
                <w:p>
                  <w:pPr>
                    <w:adjustRightInd w:val="0"/>
                    <w:snapToGrid w:val="0"/>
                    <w:spacing w:line="240" w:lineRule="exact"/>
                    <w:jc w:val="center"/>
                    <w:rPr>
                      <w:color w:val="auto"/>
                      <w:szCs w:val="21"/>
                      <w:lang w:bidi="ar"/>
                    </w:rPr>
                  </w:pPr>
                  <w:r>
                    <w:rPr>
                      <w:rFonts w:hint="eastAsia"/>
                      <w:color w:val="auto"/>
                      <w:szCs w:val="21"/>
                      <w:lang w:bidi="ar"/>
                    </w:rPr>
                    <w:t>废气</w:t>
                  </w:r>
                </w:p>
              </w:tc>
              <w:tc>
                <w:tcPr>
                  <w:tcW w:w="1665" w:type="pct"/>
                  <w:vMerge w:val="restart"/>
                  <w:noWrap w:val="0"/>
                  <w:vAlign w:val="center"/>
                </w:tcPr>
                <w:p>
                  <w:pPr>
                    <w:adjustRightInd w:val="0"/>
                    <w:snapToGrid w:val="0"/>
                    <w:spacing w:line="240" w:lineRule="exact"/>
                    <w:jc w:val="center"/>
                    <w:rPr>
                      <w:color w:val="auto"/>
                      <w:szCs w:val="21"/>
                    </w:rPr>
                  </w:pPr>
                  <w:r>
                    <w:rPr>
                      <w:color w:val="auto"/>
                      <w:szCs w:val="21"/>
                    </w:rPr>
                    <w:t>《施工场界扬尘排放限值》（DB61/1078-2017）</w:t>
                  </w:r>
                </w:p>
              </w:tc>
              <w:tc>
                <w:tcPr>
                  <w:tcW w:w="1367" w:type="pct"/>
                  <w:gridSpan w:val="2"/>
                  <w:vMerge w:val="restart"/>
                  <w:noWrap w:val="0"/>
                  <w:vAlign w:val="center"/>
                </w:tcPr>
                <w:p>
                  <w:pPr>
                    <w:adjustRightInd w:val="0"/>
                    <w:snapToGrid w:val="0"/>
                    <w:spacing w:line="240" w:lineRule="exact"/>
                    <w:jc w:val="center"/>
                    <w:rPr>
                      <w:rFonts w:hint="eastAsia"/>
                      <w:color w:val="auto"/>
                      <w:szCs w:val="21"/>
                      <w:lang w:bidi="ar"/>
                    </w:rPr>
                  </w:pPr>
                  <w:r>
                    <w:rPr>
                      <w:rFonts w:hint="eastAsia"/>
                      <w:color w:val="auto"/>
                      <w:szCs w:val="21"/>
                      <w:lang w:bidi="ar"/>
                    </w:rPr>
                    <w:t>颗粒物</w:t>
                  </w:r>
                </w:p>
              </w:tc>
              <w:tc>
                <w:tcPr>
                  <w:tcW w:w="609" w:type="pct"/>
                  <w:noWrap w:val="0"/>
                  <w:vAlign w:val="center"/>
                </w:tcPr>
                <w:p>
                  <w:pPr>
                    <w:adjustRightInd w:val="0"/>
                    <w:snapToGrid w:val="0"/>
                    <w:spacing w:line="240" w:lineRule="exact"/>
                    <w:jc w:val="center"/>
                    <w:rPr>
                      <w:rFonts w:hint="eastAsia"/>
                      <w:color w:val="auto"/>
                      <w:szCs w:val="21"/>
                      <w:lang w:bidi="ar"/>
                    </w:rPr>
                  </w:pPr>
                  <w:r>
                    <w:rPr>
                      <w:rFonts w:hint="eastAsia"/>
                      <w:color w:val="auto"/>
                      <w:szCs w:val="21"/>
                      <w:lang w:bidi="ar"/>
                    </w:rPr>
                    <w:t>≤0.8</w:t>
                  </w:r>
                </w:p>
              </w:tc>
              <w:tc>
                <w:tcPr>
                  <w:tcW w:w="834" w:type="pct"/>
                  <w:vMerge w:val="restart"/>
                  <w:noWrap w:val="0"/>
                  <w:vAlign w:val="center"/>
                </w:tcPr>
                <w:p>
                  <w:pPr>
                    <w:adjustRightInd w:val="0"/>
                    <w:snapToGrid w:val="0"/>
                    <w:spacing w:line="240" w:lineRule="exact"/>
                    <w:jc w:val="center"/>
                    <w:rPr>
                      <w:color w:val="auto"/>
                      <w:szCs w:val="21"/>
                      <w:lang w:bidi="ar"/>
                    </w:rPr>
                  </w:pPr>
                  <w:r>
                    <w:rPr>
                      <w:color w:val="auto"/>
                      <w:szCs w:val="21"/>
                      <w:lang w:bidi="ar"/>
                    </w:rPr>
                    <w:t>mg/m</w:t>
                  </w:r>
                  <w:r>
                    <w:rPr>
                      <w:color w:val="auto"/>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23" w:type="pct"/>
                  <w:vMerge w:val="continue"/>
                  <w:noWrap w:val="0"/>
                  <w:vAlign w:val="center"/>
                </w:tcPr>
                <w:p>
                  <w:pPr>
                    <w:adjustRightInd w:val="0"/>
                    <w:snapToGrid w:val="0"/>
                    <w:spacing w:line="240" w:lineRule="exact"/>
                    <w:jc w:val="center"/>
                    <w:rPr>
                      <w:color w:val="auto"/>
                      <w:szCs w:val="21"/>
                    </w:rPr>
                  </w:pPr>
                </w:p>
              </w:tc>
              <w:tc>
                <w:tcPr>
                  <w:tcW w:w="1665" w:type="pct"/>
                  <w:vMerge w:val="continue"/>
                  <w:noWrap w:val="0"/>
                  <w:vAlign w:val="center"/>
                </w:tcPr>
                <w:p>
                  <w:pPr>
                    <w:adjustRightInd w:val="0"/>
                    <w:snapToGrid w:val="0"/>
                    <w:spacing w:line="240" w:lineRule="exact"/>
                    <w:jc w:val="center"/>
                    <w:rPr>
                      <w:color w:val="auto"/>
                      <w:szCs w:val="21"/>
                    </w:rPr>
                  </w:pPr>
                </w:p>
              </w:tc>
              <w:tc>
                <w:tcPr>
                  <w:tcW w:w="1367" w:type="pct"/>
                  <w:gridSpan w:val="2"/>
                  <w:vMerge w:val="continue"/>
                  <w:noWrap w:val="0"/>
                  <w:vAlign w:val="center"/>
                </w:tcPr>
                <w:p>
                  <w:pPr>
                    <w:adjustRightInd w:val="0"/>
                    <w:snapToGrid w:val="0"/>
                    <w:spacing w:line="240" w:lineRule="exact"/>
                    <w:jc w:val="center"/>
                    <w:rPr>
                      <w:rFonts w:hint="eastAsia"/>
                      <w:color w:val="auto"/>
                      <w:szCs w:val="21"/>
                      <w:lang w:bidi="ar"/>
                    </w:rPr>
                  </w:pPr>
                </w:p>
              </w:tc>
              <w:tc>
                <w:tcPr>
                  <w:tcW w:w="609" w:type="pct"/>
                  <w:noWrap w:val="0"/>
                  <w:vAlign w:val="center"/>
                </w:tcPr>
                <w:p>
                  <w:pPr>
                    <w:adjustRightInd w:val="0"/>
                    <w:snapToGrid w:val="0"/>
                    <w:spacing w:line="240" w:lineRule="exact"/>
                    <w:jc w:val="center"/>
                    <w:rPr>
                      <w:color w:val="auto"/>
                      <w:szCs w:val="21"/>
                      <w:lang w:bidi="ar"/>
                    </w:rPr>
                  </w:pPr>
                  <w:r>
                    <w:rPr>
                      <w:rFonts w:hint="eastAsia"/>
                      <w:color w:val="auto"/>
                      <w:szCs w:val="21"/>
                      <w:lang w:bidi="ar"/>
                    </w:rPr>
                    <w:t>≤0.7</w:t>
                  </w:r>
                </w:p>
              </w:tc>
              <w:tc>
                <w:tcPr>
                  <w:tcW w:w="834" w:type="pct"/>
                  <w:vMerge w:val="continue"/>
                  <w:noWrap w:val="0"/>
                  <w:vAlign w:val="center"/>
                </w:tcPr>
                <w:p>
                  <w:pPr>
                    <w:adjustRightInd w:val="0"/>
                    <w:snapToGrid w:val="0"/>
                    <w:spacing w:line="240" w:lineRule="exact"/>
                    <w:jc w:val="center"/>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noWrap w:val="0"/>
                  <w:vAlign w:val="center"/>
                </w:tcPr>
                <w:p>
                  <w:pPr>
                    <w:adjustRightInd w:val="0"/>
                    <w:snapToGrid w:val="0"/>
                    <w:spacing w:line="240" w:lineRule="exact"/>
                    <w:jc w:val="center"/>
                    <w:rPr>
                      <w:color w:val="auto"/>
                      <w:szCs w:val="21"/>
                    </w:rPr>
                  </w:pPr>
                  <w:r>
                    <w:rPr>
                      <w:rFonts w:hint="eastAsia"/>
                      <w:color w:val="auto"/>
                      <w:szCs w:val="21"/>
                      <w:lang w:val="zh-CN" w:eastAsia="zh-CN"/>
                    </w:rPr>
                    <w:t>大气污染物综合排放标准》（GB 16297-1996）表2中限值要求</w:t>
                  </w:r>
                </w:p>
              </w:tc>
              <w:tc>
                <w:tcPr>
                  <w:tcW w:w="802" w:type="pct"/>
                  <w:vMerge w:val="restart"/>
                  <w:noWrap w:val="0"/>
                  <w:vAlign w:val="center"/>
                </w:tcPr>
                <w:p>
                  <w:pPr>
                    <w:adjustRightInd w:val="0"/>
                    <w:snapToGrid w:val="0"/>
                    <w:spacing w:line="240" w:lineRule="exact"/>
                    <w:jc w:val="center"/>
                    <w:rPr>
                      <w:rFonts w:hint="eastAsia" w:eastAsia="宋体"/>
                      <w:color w:val="auto"/>
                      <w:szCs w:val="21"/>
                      <w:highlight w:val="none"/>
                      <w:lang w:eastAsia="zh-CN" w:bidi="ar"/>
                    </w:rPr>
                  </w:pPr>
                  <w:r>
                    <w:rPr>
                      <w:rFonts w:hint="eastAsia"/>
                      <w:color w:val="auto"/>
                      <w:szCs w:val="21"/>
                      <w:highlight w:val="none"/>
                      <w:lang w:eastAsia="zh-CN" w:bidi="ar"/>
                    </w:rPr>
                    <w:t>非甲烷总烃</w:t>
                  </w: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有组织</w:t>
                  </w:r>
                </w:p>
              </w:tc>
              <w:tc>
                <w:tcPr>
                  <w:tcW w:w="609" w:type="pct"/>
                  <w:noWrap w:val="0"/>
                  <w:vAlign w:val="center"/>
                </w:tcPr>
                <w:p>
                  <w:pPr>
                    <w:adjustRightInd w:val="0"/>
                    <w:snapToGrid w:val="0"/>
                    <w:spacing w:line="240" w:lineRule="exact"/>
                    <w:jc w:val="center"/>
                    <w:rPr>
                      <w:rFonts w:hint="eastAsia"/>
                      <w:color w:val="auto"/>
                      <w:szCs w:val="21"/>
                      <w:highlight w:val="none"/>
                      <w:lang w:bidi="ar"/>
                    </w:rPr>
                  </w:pPr>
                  <w:r>
                    <w:rPr>
                      <w:rFonts w:hint="eastAsia"/>
                      <w:color w:val="auto"/>
                      <w:szCs w:val="21"/>
                      <w:highlight w:val="none"/>
                      <w:lang w:val="en-US" w:eastAsia="zh-CN"/>
                    </w:rPr>
                    <w:t>120</w:t>
                  </w:r>
                </w:p>
              </w:tc>
              <w:tc>
                <w:tcPr>
                  <w:tcW w:w="834" w:type="pct"/>
                  <w:vMerge w:val="restart"/>
                  <w:noWrap w:val="0"/>
                  <w:vAlign w:val="center"/>
                </w:tcPr>
                <w:p>
                  <w:pPr>
                    <w:adjustRightInd w:val="0"/>
                    <w:snapToGrid w:val="0"/>
                    <w:spacing w:line="240" w:lineRule="exact"/>
                    <w:jc w:val="center"/>
                    <w:rPr>
                      <w:color w:val="auto"/>
                      <w:szCs w:val="21"/>
                      <w:lang w:bidi="ar"/>
                    </w:rPr>
                  </w:pPr>
                  <w:r>
                    <w:rPr>
                      <w:color w:val="auto"/>
                      <w:szCs w:val="21"/>
                      <w:lang w:bidi="ar"/>
                    </w:rPr>
                    <w:t>mg/m</w:t>
                  </w:r>
                  <w:r>
                    <w:rPr>
                      <w:color w:val="auto"/>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noWrap w:val="0"/>
                  <w:vAlign w:val="center"/>
                </w:tcPr>
                <w:p>
                  <w:pPr>
                    <w:adjustRightInd w:val="0"/>
                    <w:snapToGrid w:val="0"/>
                    <w:spacing w:line="240" w:lineRule="exact"/>
                    <w:jc w:val="center"/>
                    <w:rPr>
                      <w:rFonts w:hint="eastAsia"/>
                      <w:color w:val="auto"/>
                      <w:szCs w:val="21"/>
                      <w:lang w:val="zh-CN"/>
                    </w:rPr>
                  </w:pPr>
                  <w:r>
                    <w:rPr>
                      <w:rFonts w:hint="eastAsia"/>
                      <w:color w:val="auto"/>
                      <w:szCs w:val="21"/>
                      <w:lang w:val="zh-CN"/>
                    </w:rPr>
                    <w:t>《挥发性有机物排放控制标准 》（DB61/T 1061-2017）</w:t>
                  </w:r>
                </w:p>
              </w:tc>
              <w:tc>
                <w:tcPr>
                  <w:tcW w:w="802" w:type="pct"/>
                  <w:vMerge w:val="continue"/>
                  <w:noWrap w:val="0"/>
                  <w:vAlign w:val="center"/>
                </w:tcPr>
                <w:p>
                  <w:pPr>
                    <w:adjustRightInd w:val="0"/>
                    <w:snapToGrid w:val="0"/>
                    <w:spacing w:line="240" w:lineRule="exact"/>
                    <w:jc w:val="center"/>
                    <w:rPr>
                      <w:rFonts w:hint="eastAsia"/>
                      <w:color w:val="auto"/>
                      <w:szCs w:val="21"/>
                      <w:highlight w:val="none"/>
                      <w:lang w:eastAsia="zh-CN" w:bidi="ar"/>
                    </w:rPr>
                  </w:pP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无组织</w:t>
                  </w:r>
                </w:p>
              </w:tc>
              <w:tc>
                <w:tcPr>
                  <w:tcW w:w="609" w:type="pct"/>
                  <w:noWrap w:val="0"/>
                  <w:vAlign w:val="center"/>
                </w:tcPr>
                <w:p>
                  <w:pPr>
                    <w:adjustRightInd w:val="0"/>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3.0</w:t>
                  </w:r>
                </w:p>
              </w:tc>
              <w:tc>
                <w:tcPr>
                  <w:tcW w:w="834" w:type="pct"/>
                  <w:vMerge w:val="continue"/>
                  <w:noWrap w:val="0"/>
                  <w:vAlign w:val="center"/>
                </w:tcPr>
                <w:p>
                  <w:pPr>
                    <w:adjustRightInd w:val="0"/>
                    <w:snapToGrid w:val="0"/>
                    <w:spacing w:line="240" w:lineRule="exact"/>
                    <w:jc w:val="center"/>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vMerge w:val="restart"/>
                  <w:noWrap w:val="0"/>
                  <w:vAlign w:val="center"/>
                </w:tcPr>
                <w:p>
                  <w:pPr>
                    <w:adjustRightInd w:val="0"/>
                    <w:snapToGrid w:val="0"/>
                    <w:spacing w:line="240" w:lineRule="exact"/>
                    <w:jc w:val="center"/>
                    <w:rPr>
                      <w:rFonts w:hint="eastAsia"/>
                      <w:color w:val="auto"/>
                      <w:szCs w:val="21"/>
                      <w:lang w:val="zh-CN"/>
                    </w:rPr>
                  </w:pPr>
                  <w:r>
                    <w:rPr>
                      <w:rFonts w:hint="eastAsia"/>
                      <w:color w:val="auto"/>
                      <w:szCs w:val="21"/>
                      <w:lang w:val="zh-CN" w:eastAsia="zh-CN"/>
                    </w:rPr>
                    <w:t>《大气污染物综合排放标准》（GB 16297-1996）中表2新扩改建限值要求</w:t>
                  </w:r>
                </w:p>
              </w:tc>
              <w:tc>
                <w:tcPr>
                  <w:tcW w:w="802" w:type="pct"/>
                  <w:vMerge w:val="restar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甲苯</w:t>
                  </w: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有组织</w:t>
                  </w:r>
                </w:p>
              </w:tc>
              <w:tc>
                <w:tcPr>
                  <w:tcW w:w="609" w:type="pct"/>
                  <w:noWrap w:val="0"/>
                  <w:vAlign w:val="center"/>
                </w:tcPr>
                <w:p>
                  <w:pPr>
                    <w:adjustRightInd w:val="0"/>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40</w:t>
                  </w:r>
                </w:p>
              </w:tc>
              <w:tc>
                <w:tcPr>
                  <w:tcW w:w="834" w:type="pct"/>
                  <w:vMerge w:val="restart"/>
                  <w:noWrap w:val="0"/>
                  <w:vAlign w:val="center"/>
                </w:tcPr>
                <w:p>
                  <w:pPr>
                    <w:adjustRightInd w:val="0"/>
                    <w:snapToGrid w:val="0"/>
                    <w:spacing w:line="240" w:lineRule="exact"/>
                    <w:jc w:val="center"/>
                    <w:rPr>
                      <w:color w:val="auto"/>
                      <w:szCs w:val="21"/>
                      <w:lang w:bidi="ar"/>
                    </w:rPr>
                  </w:pPr>
                  <w:r>
                    <w:rPr>
                      <w:color w:val="auto"/>
                      <w:szCs w:val="21"/>
                      <w:lang w:bidi="ar"/>
                    </w:rPr>
                    <w:t>mg/m</w:t>
                  </w:r>
                  <w:r>
                    <w:rPr>
                      <w:color w:val="auto"/>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vMerge w:val="continue"/>
                  <w:noWrap w:val="0"/>
                  <w:vAlign w:val="center"/>
                </w:tcPr>
                <w:p>
                  <w:pPr>
                    <w:adjustRightInd w:val="0"/>
                    <w:snapToGrid w:val="0"/>
                    <w:spacing w:line="240" w:lineRule="exact"/>
                    <w:jc w:val="center"/>
                    <w:rPr>
                      <w:rFonts w:hint="eastAsia"/>
                      <w:color w:val="auto"/>
                      <w:szCs w:val="21"/>
                      <w:lang w:val="zh-CN"/>
                    </w:rPr>
                  </w:pPr>
                </w:p>
              </w:tc>
              <w:tc>
                <w:tcPr>
                  <w:tcW w:w="802" w:type="pct"/>
                  <w:vMerge w:val="continue"/>
                  <w:noWrap w:val="0"/>
                  <w:vAlign w:val="center"/>
                </w:tcPr>
                <w:p>
                  <w:pPr>
                    <w:adjustRightInd w:val="0"/>
                    <w:snapToGrid w:val="0"/>
                    <w:spacing w:line="240" w:lineRule="exact"/>
                    <w:jc w:val="center"/>
                    <w:rPr>
                      <w:rFonts w:hint="eastAsia"/>
                      <w:color w:val="auto"/>
                      <w:szCs w:val="21"/>
                      <w:highlight w:val="none"/>
                      <w:lang w:eastAsia="zh-CN" w:bidi="ar"/>
                    </w:rPr>
                  </w:pP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无组织</w:t>
                  </w:r>
                </w:p>
              </w:tc>
              <w:tc>
                <w:tcPr>
                  <w:tcW w:w="609" w:type="pct"/>
                  <w:noWrap w:val="0"/>
                  <w:vAlign w:val="center"/>
                </w:tcPr>
                <w:p>
                  <w:pPr>
                    <w:adjustRightInd w:val="0"/>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2.4</w:t>
                  </w:r>
                </w:p>
              </w:tc>
              <w:tc>
                <w:tcPr>
                  <w:tcW w:w="834" w:type="pct"/>
                  <w:vMerge w:val="continue"/>
                  <w:noWrap w:val="0"/>
                  <w:vAlign w:val="center"/>
                </w:tcPr>
                <w:p>
                  <w:pPr>
                    <w:adjustRightInd w:val="0"/>
                    <w:snapToGrid w:val="0"/>
                    <w:spacing w:line="240" w:lineRule="exact"/>
                    <w:jc w:val="center"/>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noWrap w:val="0"/>
                  <w:vAlign w:val="center"/>
                </w:tcPr>
                <w:p>
                  <w:pPr>
                    <w:adjustRightInd w:val="0"/>
                    <w:snapToGrid w:val="0"/>
                    <w:spacing w:line="240" w:lineRule="exact"/>
                    <w:jc w:val="center"/>
                    <w:rPr>
                      <w:rFonts w:hint="eastAsia"/>
                      <w:color w:val="auto"/>
                      <w:szCs w:val="21"/>
                      <w:lang w:val="zh-CN"/>
                    </w:rPr>
                  </w:pPr>
                  <w:r>
                    <w:rPr>
                      <w:rFonts w:hint="eastAsia"/>
                      <w:color w:val="auto"/>
                      <w:szCs w:val="21"/>
                      <w:lang w:val="zh-CN" w:eastAsia="zh-CN"/>
                    </w:rPr>
                    <w:t>《挥发性有机物排放控制标准》（DB61/ T1061-2017）中表1限值要求</w:t>
                  </w:r>
                </w:p>
              </w:tc>
              <w:tc>
                <w:tcPr>
                  <w:tcW w:w="802" w:type="pct"/>
                  <w:vMerge w:val="restar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甲醇</w:t>
                  </w: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有组织</w:t>
                  </w:r>
                </w:p>
              </w:tc>
              <w:tc>
                <w:tcPr>
                  <w:tcW w:w="609" w:type="pct"/>
                  <w:noWrap w:val="0"/>
                  <w:vAlign w:val="center"/>
                </w:tcPr>
                <w:p>
                  <w:pPr>
                    <w:adjustRightInd w:val="0"/>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60</w:t>
                  </w:r>
                </w:p>
              </w:tc>
              <w:tc>
                <w:tcPr>
                  <w:tcW w:w="834" w:type="pct"/>
                  <w:vMerge w:val="restart"/>
                  <w:noWrap w:val="0"/>
                  <w:vAlign w:val="center"/>
                </w:tcPr>
                <w:p>
                  <w:pPr>
                    <w:adjustRightInd w:val="0"/>
                    <w:snapToGrid w:val="0"/>
                    <w:spacing w:line="240" w:lineRule="exact"/>
                    <w:jc w:val="center"/>
                    <w:rPr>
                      <w:color w:val="auto"/>
                      <w:szCs w:val="21"/>
                      <w:lang w:bidi="ar"/>
                    </w:rPr>
                  </w:pPr>
                  <w:r>
                    <w:rPr>
                      <w:color w:val="auto"/>
                      <w:szCs w:val="21"/>
                      <w:lang w:bidi="ar"/>
                    </w:rPr>
                    <w:t>mg/m</w:t>
                  </w:r>
                  <w:r>
                    <w:rPr>
                      <w:color w:val="auto"/>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noWrap w:val="0"/>
                  <w:vAlign w:val="center"/>
                </w:tcPr>
                <w:p>
                  <w:pPr>
                    <w:adjustRightInd w:val="0"/>
                    <w:snapToGrid w:val="0"/>
                    <w:spacing w:line="240" w:lineRule="exact"/>
                    <w:jc w:val="center"/>
                    <w:rPr>
                      <w:rFonts w:hint="eastAsia"/>
                      <w:color w:val="auto"/>
                      <w:szCs w:val="21"/>
                      <w:lang w:val="zh-CN"/>
                    </w:rPr>
                  </w:pPr>
                  <w:r>
                    <w:rPr>
                      <w:rFonts w:hint="eastAsia"/>
                      <w:color w:val="auto"/>
                      <w:szCs w:val="21"/>
                      <w:lang w:val="zh-CN" w:eastAsia="zh-CN"/>
                    </w:rPr>
                    <w:t>挥发性有机物排放控制标准》（DB61/ T1061-2017）中表3限值要求</w:t>
                  </w:r>
                </w:p>
              </w:tc>
              <w:tc>
                <w:tcPr>
                  <w:tcW w:w="802" w:type="pct"/>
                  <w:vMerge w:val="continue"/>
                  <w:noWrap w:val="0"/>
                  <w:vAlign w:val="center"/>
                </w:tcPr>
                <w:p>
                  <w:pPr>
                    <w:adjustRightInd w:val="0"/>
                    <w:snapToGrid w:val="0"/>
                    <w:spacing w:line="240" w:lineRule="exact"/>
                    <w:jc w:val="center"/>
                    <w:rPr>
                      <w:rFonts w:hint="eastAsia"/>
                      <w:color w:val="auto"/>
                      <w:szCs w:val="21"/>
                      <w:highlight w:val="none"/>
                      <w:lang w:eastAsia="zh-CN" w:bidi="ar"/>
                    </w:rPr>
                  </w:pP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无组织</w:t>
                  </w:r>
                </w:p>
              </w:tc>
              <w:tc>
                <w:tcPr>
                  <w:tcW w:w="609" w:type="pct"/>
                  <w:noWrap w:val="0"/>
                  <w:vAlign w:val="center"/>
                </w:tcPr>
                <w:p>
                  <w:pPr>
                    <w:adjustRightInd w:val="0"/>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834" w:type="pct"/>
                  <w:vMerge w:val="continue"/>
                  <w:noWrap w:val="0"/>
                  <w:vAlign w:val="center"/>
                </w:tcPr>
                <w:p>
                  <w:pPr>
                    <w:adjustRightInd w:val="0"/>
                    <w:snapToGrid w:val="0"/>
                    <w:spacing w:line="240" w:lineRule="exact"/>
                    <w:jc w:val="center"/>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rPr>
                  </w:pPr>
                </w:p>
                <w:p>
                  <w:pPr>
                    <w:pStyle w:val="4"/>
                    <w:rPr>
                      <w:rFonts w:hint="eastAsia"/>
                      <w:color w:val="auto"/>
                    </w:rPr>
                  </w:pPr>
                </w:p>
              </w:tc>
              <w:tc>
                <w:tcPr>
                  <w:tcW w:w="1665" w:type="pct"/>
                  <w:vMerge w:val="restart"/>
                  <w:noWrap w:val="0"/>
                  <w:vAlign w:val="center"/>
                </w:tcPr>
                <w:p>
                  <w:pPr>
                    <w:adjustRightInd w:val="0"/>
                    <w:snapToGrid w:val="0"/>
                    <w:spacing w:line="240" w:lineRule="exact"/>
                    <w:jc w:val="center"/>
                    <w:rPr>
                      <w:rFonts w:hint="eastAsia"/>
                      <w:color w:val="auto"/>
                      <w:szCs w:val="21"/>
                      <w:lang w:val="zh-CN"/>
                    </w:rPr>
                  </w:pPr>
                  <w:r>
                    <w:rPr>
                      <w:rFonts w:hint="eastAsia"/>
                      <w:color w:val="auto"/>
                      <w:szCs w:val="21"/>
                    </w:rPr>
                    <w:t>《恶臭污染物排放标准》</w:t>
                  </w:r>
                  <w:r>
                    <w:rPr>
                      <w:rFonts w:hint="eastAsia"/>
                      <w:color w:val="auto"/>
                      <w:szCs w:val="21"/>
                      <w:lang w:eastAsia="zh-CN"/>
                    </w:rPr>
                    <w:t>（</w:t>
                  </w:r>
                  <w:r>
                    <w:rPr>
                      <w:rFonts w:hint="eastAsia"/>
                      <w:color w:val="auto"/>
                      <w:szCs w:val="21"/>
                    </w:rPr>
                    <w:t>GB14554-93</w:t>
                  </w:r>
                  <w:r>
                    <w:rPr>
                      <w:rFonts w:hint="eastAsia"/>
                      <w:color w:val="auto"/>
                      <w:szCs w:val="21"/>
                      <w:lang w:eastAsia="zh-CN"/>
                    </w:rPr>
                    <w:t>）</w:t>
                  </w:r>
                </w:p>
              </w:tc>
              <w:tc>
                <w:tcPr>
                  <w:tcW w:w="802" w:type="pct"/>
                  <w:vMerge w:val="restar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臭气浓度</w:t>
                  </w: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有组织</w:t>
                  </w:r>
                </w:p>
              </w:tc>
              <w:tc>
                <w:tcPr>
                  <w:tcW w:w="609" w:type="pct"/>
                  <w:noWrap w:val="0"/>
                  <w:vAlign w:val="center"/>
                </w:tcPr>
                <w:p>
                  <w:pPr>
                    <w:adjustRightInd w:val="0"/>
                    <w:snapToGrid w:val="0"/>
                    <w:spacing w:line="240" w:lineRule="exact"/>
                    <w:jc w:val="center"/>
                    <w:rPr>
                      <w:rFonts w:hint="default"/>
                      <w:color w:val="auto"/>
                      <w:szCs w:val="21"/>
                      <w:highlight w:val="none"/>
                      <w:lang w:val="en-US" w:eastAsia="zh-CN"/>
                    </w:rPr>
                  </w:pPr>
                  <w:r>
                    <w:rPr>
                      <w:rFonts w:hint="eastAsia"/>
                      <w:color w:val="auto"/>
                      <w:szCs w:val="21"/>
                      <w:highlight w:val="none"/>
                      <w:lang w:val="en-US" w:eastAsia="zh-CN"/>
                    </w:rPr>
                    <w:t>2000</w:t>
                  </w:r>
                </w:p>
              </w:tc>
              <w:tc>
                <w:tcPr>
                  <w:tcW w:w="834" w:type="pct"/>
                  <w:vMerge w:val="restart"/>
                  <w:noWrap w:val="0"/>
                  <w:vAlign w:val="center"/>
                </w:tcPr>
                <w:p>
                  <w:pPr>
                    <w:adjustRightInd w:val="0"/>
                    <w:snapToGrid w:val="0"/>
                    <w:spacing w:line="240" w:lineRule="exact"/>
                    <w:jc w:val="center"/>
                    <w:rPr>
                      <w:color w:val="auto"/>
                      <w:szCs w:val="21"/>
                      <w:lang w:bidi="ar"/>
                    </w:rPr>
                  </w:pPr>
                  <w:r>
                    <w:rPr>
                      <w:rFonts w:hint="eastAsia" w:ascii="宋体" w:hAnsi="宋体" w:cs="宋体"/>
                      <w:color w:val="auto"/>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pStyle w:val="4"/>
                    <w:rPr>
                      <w:rFonts w:hint="eastAsia"/>
                      <w:color w:val="auto"/>
                    </w:rPr>
                  </w:pPr>
                </w:p>
              </w:tc>
              <w:tc>
                <w:tcPr>
                  <w:tcW w:w="1665" w:type="pct"/>
                  <w:vMerge w:val="continue"/>
                  <w:noWrap w:val="0"/>
                  <w:vAlign w:val="center"/>
                </w:tcPr>
                <w:p>
                  <w:pPr>
                    <w:adjustRightInd w:val="0"/>
                    <w:snapToGrid w:val="0"/>
                    <w:spacing w:line="240" w:lineRule="exact"/>
                    <w:jc w:val="center"/>
                    <w:rPr>
                      <w:rFonts w:hint="eastAsia"/>
                      <w:color w:val="auto"/>
                      <w:szCs w:val="21"/>
                      <w:lang w:val="zh-CN"/>
                    </w:rPr>
                  </w:pPr>
                </w:p>
              </w:tc>
              <w:tc>
                <w:tcPr>
                  <w:tcW w:w="802" w:type="pct"/>
                  <w:vMerge w:val="continue"/>
                  <w:noWrap w:val="0"/>
                  <w:vAlign w:val="center"/>
                </w:tcPr>
                <w:p>
                  <w:pPr>
                    <w:adjustRightInd w:val="0"/>
                    <w:snapToGrid w:val="0"/>
                    <w:spacing w:line="240" w:lineRule="exact"/>
                    <w:jc w:val="center"/>
                    <w:rPr>
                      <w:rFonts w:hint="eastAsia"/>
                      <w:color w:val="auto"/>
                      <w:szCs w:val="21"/>
                      <w:highlight w:val="none"/>
                      <w:lang w:eastAsia="zh-CN" w:bidi="ar"/>
                    </w:rPr>
                  </w:pP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无组织</w:t>
                  </w:r>
                </w:p>
              </w:tc>
              <w:tc>
                <w:tcPr>
                  <w:tcW w:w="609" w:type="pct"/>
                  <w:noWrap w:val="0"/>
                  <w:vAlign w:val="center"/>
                </w:tcPr>
                <w:p>
                  <w:pPr>
                    <w:adjustRightInd w:val="0"/>
                    <w:snapToGrid w:val="0"/>
                    <w:spacing w:line="240" w:lineRule="exact"/>
                    <w:jc w:val="center"/>
                    <w:rPr>
                      <w:rFonts w:hint="default"/>
                      <w:color w:val="auto"/>
                      <w:szCs w:val="21"/>
                      <w:highlight w:val="none"/>
                      <w:lang w:val="en-US" w:eastAsia="zh-CN"/>
                    </w:rPr>
                  </w:pPr>
                  <w:r>
                    <w:rPr>
                      <w:rFonts w:hint="eastAsia"/>
                      <w:color w:val="auto"/>
                      <w:szCs w:val="21"/>
                      <w:highlight w:val="none"/>
                      <w:lang w:val="en-US" w:eastAsia="zh-CN"/>
                    </w:rPr>
                    <w:t>20</w:t>
                  </w:r>
                </w:p>
              </w:tc>
              <w:tc>
                <w:tcPr>
                  <w:tcW w:w="834" w:type="pct"/>
                  <w:vMerge w:val="continue"/>
                  <w:noWrap w:val="0"/>
                  <w:vAlign w:val="center"/>
                </w:tcPr>
                <w:p>
                  <w:pPr>
                    <w:adjustRightInd w:val="0"/>
                    <w:snapToGrid w:val="0"/>
                    <w:spacing w:line="240" w:lineRule="exact"/>
                    <w:jc w:val="center"/>
                    <w:rPr>
                      <w:color w:val="auto"/>
                      <w:szCs w:val="21"/>
                      <w:lang w:bidi="ar"/>
                    </w:rPr>
                  </w:pPr>
                </w:p>
              </w:tc>
            </w:tr>
          </w:tbl>
          <w:p>
            <w:pPr>
              <w:keepNext w:val="0"/>
              <w:keepLines w:val="0"/>
              <w:pageBreakBefore w:val="0"/>
              <w:widowControl w:val="0"/>
              <w:kinsoku/>
              <w:wordWrap w:val="0"/>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b/>
                <w:bCs/>
                <w:color w:val="auto"/>
                <w:sz w:val="24"/>
                <w:szCs w:val="24"/>
                <w:lang w:val="en-US"/>
              </w:rPr>
            </w:pPr>
            <w:r>
              <w:rPr>
                <w:rFonts w:hint="eastAsia"/>
                <w:color w:val="auto"/>
                <w:sz w:val="24"/>
                <w:szCs w:val="24"/>
              </w:rPr>
              <w:t>2、废水：</w:t>
            </w:r>
            <w:r>
              <w:rPr>
                <w:rFonts w:hint="eastAsia"/>
                <w:color w:val="auto"/>
                <w:sz w:val="24"/>
                <w:szCs w:val="24"/>
                <w:lang w:eastAsia="zh-CN"/>
              </w:rPr>
              <w:t>施工期废水沉淀全部泼洒抑尘回用。</w:t>
            </w:r>
            <w:r>
              <w:rPr>
                <w:rFonts w:hint="eastAsia"/>
                <w:color w:val="auto"/>
                <w:sz w:val="24"/>
                <w:szCs w:val="24"/>
                <w:lang w:val="en-US" w:eastAsia="zh-CN"/>
              </w:rPr>
              <w:t>本项目运营过程中无废水产生。</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auto"/>
                <w:sz w:val="24"/>
                <w:szCs w:val="24"/>
              </w:rPr>
            </w:pPr>
            <w:r>
              <w:rPr>
                <w:rFonts w:hint="eastAsia"/>
                <w:color w:val="auto"/>
                <w:sz w:val="24"/>
                <w:szCs w:val="24"/>
              </w:rPr>
              <w:t>3</w:t>
            </w:r>
            <w:r>
              <w:rPr>
                <w:color w:val="auto"/>
                <w:sz w:val="24"/>
                <w:szCs w:val="24"/>
              </w:rPr>
              <w:t>、</w:t>
            </w:r>
            <w:r>
              <w:rPr>
                <w:rFonts w:hint="eastAsia"/>
                <w:color w:val="auto"/>
                <w:sz w:val="24"/>
                <w:szCs w:val="24"/>
              </w:rPr>
              <w:t>噪声：施工期执行《建筑施工场界环境噪声排放标准》（GB12523-2011）中规定限值；</w:t>
            </w:r>
            <w:r>
              <w:rPr>
                <w:color w:val="auto"/>
                <w:sz w:val="24"/>
                <w:szCs w:val="24"/>
              </w:rPr>
              <w:t>运营期</w:t>
            </w:r>
            <w:r>
              <w:rPr>
                <w:rFonts w:hint="eastAsia"/>
                <w:color w:val="auto"/>
                <w:sz w:val="24"/>
                <w:szCs w:val="24"/>
              </w:rPr>
              <w:t>厂界噪声</w:t>
            </w:r>
            <w:r>
              <w:rPr>
                <w:color w:val="auto"/>
                <w:sz w:val="24"/>
                <w:szCs w:val="24"/>
              </w:rPr>
              <w:t>执行《工业企业厂界环境噪声排放标准》（GB12348-2008）中</w:t>
            </w:r>
            <w:r>
              <w:rPr>
                <w:rFonts w:hint="eastAsia"/>
                <w:color w:val="auto"/>
                <w:sz w:val="24"/>
                <w:szCs w:val="24"/>
                <w:lang w:val="en-US" w:eastAsia="zh-CN"/>
              </w:rPr>
              <w:t>3</w:t>
            </w:r>
            <w:r>
              <w:rPr>
                <w:color w:val="auto"/>
                <w:sz w:val="24"/>
                <w:szCs w:val="24"/>
              </w:rPr>
              <w:t>类标准</w:t>
            </w:r>
            <w:r>
              <w:rPr>
                <w:rFonts w:hint="eastAsia"/>
                <w:color w:val="auto"/>
                <w:sz w:val="24"/>
                <w:szCs w:val="24"/>
              </w:rPr>
              <w:t>。</w:t>
            </w:r>
          </w:p>
          <w:p>
            <w:pPr>
              <w:spacing w:line="360" w:lineRule="auto"/>
              <w:jc w:val="center"/>
              <w:rPr>
                <w:color w:val="auto"/>
                <w:sz w:val="24"/>
                <w:szCs w:val="24"/>
              </w:rPr>
            </w:pPr>
            <w:r>
              <w:rPr>
                <w:b/>
                <w:bCs/>
                <w:color w:val="auto"/>
                <w:sz w:val="24"/>
                <w:szCs w:val="24"/>
              </w:rPr>
              <w:t>表3-</w:t>
            </w:r>
            <w:r>
              <w:rPr>
                <w:rFonts w:hint="eastAsia"/>
                <w:b/>
                <w:bCs/>
                <w:color w:val="auto"/>
                <w:sz w:val="24"/>
                <w:szCs w:val="24"/>
                <w:lang w:val="en-US" w:eastAsia="zh-CN"/>
              </w:rPr>
              <w:t>13</w:t>
            </w:r>
            <w:r>
              <w:rPr>
                <w:b/>
                <w:bCs/>
                <w:color w:val="auto"/>
                <w:sz w:val="24"/>
                <w:szCs w:val="24"/>
              </w:rPr>
              <w:t xml:space="preserve"> 噪声排放标准一览表</w:t>
            </w:r>
          </w:p>
          <w:tbl>
            <w:tblPr>
              <w:tblStyle w:val="31"/>
              <w:tblW w:w="4998"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422"/>
              <w:gridCol w:w="921"/>
              <w:gridCol w:w="10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8" w:hRule="atLeast"/>
              </w:trPr>
              <w:tc>
                <w:tcPr>
                  <w:tcW w:w="3821" w:type="pct"/>
                  <w:vMerge w:val="restart"/>
                  <w:tcBorders>
                    <w:tl2br w:val="nil"/>
                    <w:tr2bl w:val="nil"/>
                  </w:tcBorders>
                  <w:vAlign w:val="center"/>
                </w:tcPr>
                <w:p>
                  <w:pPr>
                    <w:jc w:val="center"/>
                    <w:rPr>
                      <w:b/>
                      <w:color w:val="auto"/>
                      <w:szCs w:val="21"/>
                    </w:rPr>
                  </w:pPr>
                  <w:r>
                    <w:rPr>
                      <w:b/>
                      <w:color w:val="auto"/>
                      <w:szCs w:val="21"/>
                    </w:rPr>
                    <w:t>执行标准</w:t>
                  </w:r>
                </w:p>
              </w:tc>
              <w:tc>
                <w:tcPr>
                  <w:tcW w:w="1178" w:type="pct"/>
                  <w:gridSpan w:val="2"/>
                  <w:tcBorders>
                    <w:tl2br w:val="nil"/>
                    <w:tr2bl w:val="nil"/>
                  </w:tcBorders>
                  <w:vAlign w:val="center"/>
                </w:tcPr>
                <w:p>
                  <w:pPr>
                    <w:jc w:val="center"/>
                    <w:rPr>
                      <w:b/>
                      <w:color w:val="auto"/>
                      <w:szCs w:val="21"/>
                    </w:rPr>
                  </w:pPr>
                  <w:r>
                    <w:rPr>
                      <w:b/>
                      <w:color w:val="auto"/>
                      <w:szCs w:val="21"/>
                    </w:rPr>
                    <w:t>标准值[dB(A)]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3821" w:type="pct"/>
                  <w:vMerge w:val="continue"/>
                  <w:tcBorders>
                    <w:tl2br w:val="nil"/>
                    <w:tr2bl w:val="nil"/>
                  </w:tcBorders>
                  <w:vAlign w:val="center"/>
                </w:tcPr>
                <w:p>
                  <w:pPr>
                    <w:jc w:val="center"/>
                    <w:rPr>
                      <w:b/>
                      <w:color w:val="auto"/>
                      <w:szCs w:val="21"/>
                    </w:rPr>
                  </w:pPr>
                </w:p>
              </w:tc>
              <w:tc>
                <w:tcPr>
                  <w:tcW w:w="548" w:type="pct"/>
                  <w:tcBorders>
                    <w:tl2br w:val="nil"/>
                    <w:tr2bl w:val="nil"/>
                  </w:tcBorders>
                  <w:vAlign w:val="center"/>
                </w:tcPr>
                <w:p>
                  <w:pPr>
                    <w:jc w:val="center"/>
                    <w:rPr>
                      <w:b/>
                      <w:color w:val="auto"/>
                      <w:szCs w:val="21"/>
                    </w:rPr>
                  </w:pPr>
                  <w:r>
                    <w:rPr>
                      <w:b/>
                      <w:color w:val="auto"/>
                      <w:szCs w:val="21"/>
                    </w:rPr>
                    <w:t>昼间</w:t>
                  </w:r>
                </w:p>
              </w:tc>
              <w:tc>
                <w:tcPr>
                  <w:tcW w:w="630" w:type="pct"/>
                  <w:tcBorders>
                    <w:tl2br w:val="nil"/>
                    <w:tr2bl w:val="nil"/>
                  </w:tcBorders>
                  <w:vAlign w:val="center"/>
                </w:tcPr>
                <w:p>
                  <w:pPr>
                    <w:jc w:val="center"/>
                    <w:rPr>
                      <w:b/>
                      <w:color w:val="auto"/>
                      <w:szCs w:val="21"/>
                    </w:rPr>
                  </w:pPr>
                  <w:r>
                    <w:rPr>
                      <w:b/>
                      <w:color w:val="auto"/>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trPr>
              <w:tc>
                <w:tcPr>
                  <w:tcW w:w="3821" w:type="pct"/>
                  <w:tcBorders>
                    <w:tl2br w:val="nil"/>
                    <w:tr2bl w:val="nil"/>
                  </w:tcBorders>
                  <w:vAlign w:val="center"/>
                </w:tcPr>
                <w:p>
                  <w:pPr>
                    <w:jc w:val="center"/>
                    <w:rPr>
                      <w:color w:val="auto"/>
                      <w:szCs w:val="21"/>
                    </w:rPr>
                  </w:pPr>
                  <w:r>
                    <w:rPr>
                      <w:rFonts w:hint="eastAsia"/>
                      <w:color w:val="auto"/>
                      <w:szCs w:val="21"/>
                    </w:rPr>
                    <w:t>《建筑施工场界环境噪声排放标准》（GB12523-2011）中规定限值</w:t>
                  </w:r>
                </w:p>
              </w:tc>
              <w:tc>
                <w:tcPr>
                  <w:tcW w:w="548" w:type="pct"/>
                  <w:tcBorders>
                    <w:tl2br w:val="nil"/>
                    <w:tr2bl w:val="nil"/>
                  </w:tcBorders>
                  <w:vAlign w:val="center"/>
                </w:tcPr>
                <w:p>
                  <w:pPr>
                    <w:jc w:val="center"/>
                    <w:rPr>
                      <w:color w:val="auto"/>
                      <w:szCs w:val="21"/>
                    </w:rPr>
                  </w:pPr>
                  <w:r>
                    <w:rPr>
                      <w:rFonts w:hint="eastAsia"/>
                      <w:color w:val="auto"/>
                      <w:szCs w:val="21"/>
                    </w:rPr>
                    <w:t>70</w:t>
                  </w:r>
                </w:p>
              </w:tc>
              <w:tc>
                <w:tcPr>
                  <w:tcW w:w="630" w:type="pct"/>
                  <w:tcBorders>
                    <w:tl2br w:val="nil"/>
                    <w:tr2bl w:val="nil"/>
                  </w:tcBorders>
                  <w:vAlign w:val="center"/>
                </w:tcPr>
                <w:p>
                  <w:pPr>
                    <w:jc w:val="center"/>
                    <w:rPr>
                      <w:color w:val="auto"/>
                      <w:szCs w:val="21"/>
                    </w:rPr>
                  </w:pPr>
                  <w:r>
                    <w:rPr>
                      <w:rFonts w:hint="eastAsia"/>
                      <w:color w:val="auto"/>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3821" w:type="pct"/>
                  <w:tcBorders>
                    <w:tl2br w:val="nil"/>
                    <w:tr2bl w:val="nil"/>
                  </w:tcBorders>
                  <w:vAlign w:val="center"/>
                </w:tcPr>
                <w:p>
                  <w:pPr>
                    <w:jc w:val="center"/>
                    <w:rPr>
                      <w:b/>
                      <w:bCs/>
                      <w:color w:val="auto"/>
                      <w:szCs w:val="21"/>
                    </w:rPr>
                  </w:pPr>
                  <w:r>
                    <w:rPr>
                      <w:color w:val="auto"/>
                      <w:szCs w:val="21"/>
                    </w:rPr>
                    <w:t>《工业企业厂界环境噪声排放标准》（GB12348-2008）中</w:t>
                  </w:r>
                  <w:r>
                    <w:rPr>
                      <w:rFonts w:hint="eastAsia"/>
                      <w:color w:val="auto"/>
                      <w:szCs w:val="21"/>
                      <w:lang w:val="en-US" w:eastAsia="zh-CN"/>
                    </w:rPr>
                    <w:t>3</w:t>
                  </w:r>
                  <w:r>
                    <w:rPr>
                      <w:color w:val="auto"/>
                      <w:szCs w:val="21"/>
                    </w:rPr>
                    <w:t>类标准</w:t>
                  </w:r>
                </w:p>
              </w:tc>
              <w:tc>
                <w:tcPr>
                  <w:tcW w:w="548" w:type="pct"/>
                  <w:tcBorders>
                    <w:tl2br w:val="nil"/>
                    <w:tr2bl w:val="nil"/>
                  </w:tcBorders>
                  <w:vAlign w:val="center"/>
                </w:tcPr>
                <w:p>
                  <w:pPr>
                    <w:jc w:val="center"/>
                    <w:rPr>
                      <w:rFonts w:hint="eastAsia" w:eastAsia="宋体"/>
                      <w:color w:val="auto"/>
                      <w:szCs w:val="21"/>
                      <w:lang w:eastAsia="zh-CN"/>
                    </w:rPr>
                  </w:pPr>
                  <w:r>
                    <w:rPr>
                      <w:rFonts w:hint="eastAsia"/>
                      <w:color w:val="auto"/>
                      <w:szCs w:val="21"/>
                    </w:rPr>
                    <w:t>6</w:t>
                  </w:r>
                  <w:r>
                    <w:rPr>
                      <w:rFonts w:hint="eastAsia"/>
                      <w:color w:val="auto"/>
                      <w:szCs w:val="21"/>
                      <w:lang w:val="en-US" w:eastAsia="zh-CN"/>
                    </w:rPr>
                    <w:t>5</w:t>
                  </w:r>
                </w:p>
              </w:tc>
              <w:tc>
                <w:tcPr>
                  <w:tcW w:w="630" w:type="pct"/>
                  <w:tcBorders>
                    <w:tl2br w:val="nil"/>
                    <w:tr2bl w:val="nil"/>
                  </w:tcBorders>
                  <w:vAlign w:val="center"/>
                </w:tcPr>
                <w:p>
                  <w:pPr>
                    <w:jc w:val="center"/>
                    <w:rPr>
                      <w:rFonts w:hint="eastAsia" w:eastAsia="宋体"/>
                      <w:color w:val="auto"/>
                      <w:szCs w:val="21"/>
                      <w:lang w:eastAsia="zh-CN"/>
                    </w:rPr>
                  </w:pPr>
                  <w:r>
                    <w:rPr>
                      <w:rFonts w:hint="eastAsia"/>
                      <w:color w:val="auto"/>
                      <w:szCs w:val="21"/>
                    </w:rPr>
                    <w:t>5</w:t>
                  </w:r>
                  <w:r>
                    <w:rPr>
                      <w:rFonts w:hint="eastAsia"/>
                      <w:color w:val="auto"/>
                      <w:szCs w:val="21"/>
                      <w:lang w:val="en-US" w:eastAsia="zh-CN"/>
                    </w:rPr>
                    <w:t>5</w:t>
                  </w:r>
                </w:p>
              </w:tc>
            </w:tr>
          </w:tbl>
          <w:p>
            <w:pPr>
              <w:keepNext w:val="0"/>
              <w:keepLines w:val="0"/>
              <w:pageBreakBefore w:val="0"/>
              <w:widowControl w:val="0"/>
              <w:numPr>
                <w:ilvl w:val="0"/>
                <w:numId w:val="16"/>
              </w:numPr>
              <w:kinsoku/>
              <w:wordWrap/>
              <w:overflowPunct/>
              <w:topLinePunct w:val="0"/>
              <w:autoSpaceDE/>
              <w:autoSpaceDN/>
              <w:bidi w:val="0"/>
              <w:adjustRightInd w:val="0"/>
              <w:snapToGrid w:val="0"/>
              <w:spacing w:before="157" w:beforeLines="50" w:line="360" w:lineRule="auto"/>
              <w:ind w:left="0" w:leftChars="0" w:firstLine="480" w:firstLineChars="200"/>
              <w:textAlignment w:val="auto"/>
              <w:rPr>
                <w:color w:val="auto"/>
                <w:sz w:val="24"/>
                <w:szCs w:val="24"/>
              </w:rPr>
            </w:pPr>
            <w:r>
              <w:rPr>
                <w:color w:val="auto"/>
                <w:sz w:val="24"/>
                <w:szCs w:val="24"/>
              </w:rPr>
              <w:t>固体废物：</w:t>
            </w:r>
            <w:r>
              <w:rPr>
                <w:rFonts w:hint="eastAsia"/>
                <w:color w:val="auto"/>
                <w:sz w:val="24"/>
                <w:szCs w:val="24"/>
                <w:lang w:eastAsia="zh-CN"/>
              </w:rPr>
              <w:t>施工期</w:t>
            </w:r>
            <w:r>
              <w:rPr>
                <w:rFonts w:hint="eastAsia" w:ascii="Times New Roman" w:hAnsi="Times New Roman" w:cs="Times New Roman"/>
                <w:color w:val="auto"/>
                <w:sz w:val="24"/>
                <w:szCs w:val="24"/>
                <w:lang w:eastAsia="zh-CN"/>
              </w:rPr>
              <w:t>建筑垃圾运往相关部门制定的建筑垃圾收集点</w:t>
            </w:r>
            <w:r>
              <w:rPr>
                <w:rFonts w:hint="eastAsia" w:cs="Times New Roman"/>
                <w:color w:val="auto"/>
                <w:sz w:val="24"/>
                <w:szCs w:val="24"/>
                <w:lang w:eastAsia="zh-CN"/>
              </w:rPr>
              <w:t>，生活垃圾交环卫部门处理</w:t>
            </w:r>
            <w:r>
              <w:rPr>
                <w:rFonts w:hint="eastAsia" w:ascii="Times New Roman" w:hAnsi="Times New Roman" w:cs="Times New Roman"/>
                <w:color w:val="auto"/>
                <w:sz w:val="24"/>
                <w:szCs w:val="24"/>
                <w:lang w:eastAsia="zh-CN"/>
              </w:rPr>
              <w:t>。</w:t>
            </w:r>
            <w:r>
              <w:rPr>
                <w:rFonts w:hint="eastAsia" w:cs="Times New Roman"/>
                <w:color w:val="auto"/>
                <w:sz w:val="24"/>
                <w:szCs w:val="24"/>
                <w:lang w:eastAsia="zh-CN"/>
              </w:rPr>
              <w:t>运营期</w:t>
            </w:r>
            <w:r>
              <w:rPr>
                <w:rFonts w:hint="eastAsia"/>
                <w:color w:val="auto"/>
                <w:sz w:val="24"/>
                <w:szCs w:val="24"/>
              </w:rPr>
              <w:t>危险废物贮存执行</w:t>
            </w:r>
            <w:r>
              <w:rPr>
                <w:rFonts w:hint="eastAsia"/>
                <w:color w:val="auto"/>
                <w:sz w:val="24"/>
                <w:szCs w:val="24"/>
                <w:lang w:val="en-US" w:eastAsia="zh-CN"/>
              </w:rPr>
              <w:t>《危险废物贮存污染控制标准》（GB 18597-2023）</w:t>
            </w:r>
            <w:r>
              <w:rPr>
                <w:rFonts w:hint="eastAsia"/>
                <w:color w:val="auto"/>
                <w:sz w:val="24"/>
                <w:szCs w:val="24"/>
              </w:rPr>
              <w:t>中相关规定</w:t>
            </w:r>
            <w:r>
              <w:rPr>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textAlignment w:val="auto"/>
              <w:rPr>
                <w:rFonts w:hint="eastAsia" w:ascii="宋体" w:hAnsi="宋体" w:eastAsia="宋体" w:cs="宋体"/>
                <w:color w:val="auto"/>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4"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总量</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控制</w:t>
            </w:r>
          </w:p>
          <w:p>
            <w:pPr>
              <w:adjustRightInd w:val="0"/>
              <w:snapToGrid w:val="0"/>
              <w:jc w:val="center"/>
              <w:rPr>
                <w:rFonts w:ascii="宋体" w:hAnsi="宋体" w:cs="宋体"/>
                <w:color w:val="auto"/>
                <w:kern w:val="0"/>
                <w:szCs w:val="21"/>
                <w:highlight w:val="yellow"/>
              </w:rPr>
            </w:pPr>
            <w:r>
              <w:rPr>
                <w:rFonts w:hint="eastAsia" w:ascii="宋体" w:hAnsi="宋体" w:cs="宋体"/>
                <w:color w:val="auto"/>
                <w:kern w:val="0"/>
                <w:szCs w:val="21"/>
                <w:highlight w:val="none"/>
              </w:rPr>
              <w:t>指标</w:t>
            </w:r>
          </w:p>
        </w:tc>
        <w:tc>
          <w:tcPr>
            <w:tcW w:w="8637" w:type="dxa"/>
            <w:vAlign w:val="center"/>
          </w:tcPr>
          <w:p>
            <w:pPr>
              <w:adjustRightInd w:val="0"/>
              <w:snapToGrid w:val="0"/>
              <w:jc w:val="center"/>
              <w:rPr>
                <w:rFonts w:hint="eastAsia"/>
                <w:color w:val="auto"/>
                <w:highlight w:val="yellow"/>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建设项目环境保护管理条例》中第三条规定：“建设产生污染的建设项目，必须遵守污染物排放的国家和地方标准；在实施重点污染物排放总量控制的区域内，还必须符合重点污染物排放总量控制的要求”。因此总量控制的目的就是为了有效地保护和改善环境质量，保证经济建设和环境保护协调发展，使环境质量不因经济发展而随之恶化，并逐步改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highlight w:val="yellow"/>
                <w:lang w:val="en-US" w:eastAsia="zh-CN"/>
              </w:rPr>
            </w:pPr>
            <w:r>
              <w:rPr>
                <w:color w:val="auto"/>
                <w:kern w:val="0"/>
                <w:sz w:val="24"/>
                <w:szCs w:val="20"/>
              </w:rPr>
              <w:t>根据“十</w:t>
            </w:r>
            <w:r>
              <w:rPr>
                <w:rFonts w:hint="eastAsia"/>
                <w:color w:val="auto"/>
                <w:kern w:val="0"/>
                <w:sz w:val="24"/>
                <w:szCs w:val="20"/>
              </w:rPr>
              <w:t>四</w:t>
            </w:r>
            <w:r>
              <w:rPr>
                <w:color w:val="auto"/>
                <w:kern w:val="0"/>
                <w:sz w:val="24"/>
                <w:szCs w:val="20"/>
              </w:rPr>
              <w:t>五”期间总量控制要求，“十</w:t>
            </w:r>
            <w:r>
              <w:rPr>
                <w:rFonts w:hint="eastAsia"/>
                <w:color w:val="auto"/>
                <w:kern w:val="0"/>
                <w:sz w:val="24"/>
                <w:szCs w:val="20"/>
              </w:rPr>
              <w:t>四</w:t>
            </w:r>
            <w:r>
              <w:rPr>
                <w:color w:val="auto"/>
                <w:kern w:val="0"/>
                <w:sz w:val="24"/>
                <w:szCs w:val="20"/>
              </w:rPr>
              <w:t>五”期间污染物控制指标为COD、NH</w:t>
            </w:r>
            <w:r>
              <w:rPr>
                <w:color w:val="auto"/>
                <w:kern w:val="0"/>
                <w:sz w:val="24"/>
                <w:szCs w:val="20"/>
                <w:vertAlign w:val="subscript"/>
              </w:rPr>
              <w:t>3</w:t>
            </w:r>
            <w:r>
              <w:rPr>
                <w:color w:val="auto"/>
                <w:kern w:val="0"/>
                <w:sz w:val="24"/>
                <w:szCs w:val="20"/>
              </w:rPr>
              <w:t>-N、VOC</w:t>
            </w:r>
            <w:r>
              <w:rPr>
                <w:color w:val="auto"/>
                <w:kern w:val="0"/>
                <w:sz w:val="24"/>
                <w:szCs w:val="20"/>
                <w:vertAlign w:val="subscript"/>
              </w:rPr>
              <w:t>s</w:t>
            </w:r>
            <w:r>
              <w:rPr>
                <w:rFonts w:hint="eastAsia"/>
                <w:color w:val="auto"/>
                <w:kern w:val="0"/>
                <w:sz w:val="24"/>
                <w:szCs w:val="20"/>
              </w:rPr>
              <w:t>、NO</w:t>
            </w:r>
            <w:r>
              <w:rPr>
                <w:rFonts w:hint="eastAsia"/>
                <w:color w:val="auto"/>
                <w:kern w:val="0"/>
                <w:sz w:val="24"/>
                <w:szCs w:val="20"/>
                <w:vertAlign w:val="subscript"/>
              </w:rPr>
              <w:t>x</w:t>
            </w:r>
            <w:r>
              <w:rPr>
                <w:color w:val="auto"/>
                <w:kern w:val="0"/>
                <w:sz w:val="24"/>
                <w:szCs w:val="20"/>
              </w:rPr>
              <w:t>。</w:t>
            </w:r>
            <w:r>
              <w:rPr>
                <w:rFonts w:hint="eastAsia"/>
                <w:bCs/>
                <w:color w:val="auto"/>
                <w:sz w:val="24"/>
                <w:szCs w:val="20"/>
              </w:rPr>
              <w:t>根据本项目</w:t>
            </w:r>
            <w:r>
              <w:rPr>
                <w:rFonts w:hint="eastAsia"/>
                <w:bCs/>
                <w:color w:val="auto"/>
                <w:sz w:val="24"/>
                <w:szCs w:val="20"/>
                <w:lang w:val="en-GB"/>
              </w:rPr>
              <w:t>运营期污染物排放情况，建议总量控制指标为</w:t>
            </w:r>
            <w:r>
              <w:rPr>
                <w:rFonts w:hint="eastAsia"/>
                <w:bCs/>
                <w:color w:val="auto"/>
                <w:sz w:val="24"/>
                <w:szCs w:val="20"/>
                <w:lang w:val="en-US" w:eastAsia="zh-CN"/>
              </w:rPr>
              <w:t>VOC</w:t>
            </w:r>
            <w:r>
              <w:rPr>
                <w:rFonts w:hint="eastAsia"/>
                <w:bCs/>
                <w:color w:val="auto"/>
                <w:sz w:val="24"/>
                <w:szCs w:val="20"/>
                <w:vertAlign w:val="subscript"/>
                <w:lang w:val="en-US" w:eastAsia="zh-CN"/>
              </w:rPr>
              <w:t>s</w:t>
            </w:r>
            <w:r>
              <w:rPr>
                <w:rFonts w:hint="eastAsia"/>
                <w:bCs/>
                <w:color w:val="auto"/>
                <w:sz w:val="24"/>
                <w:szCs w:val="20"/>
                <w:lang w:val="en-US" w:eastAsia="zh-CN"/>
              </w:rPr>
              <w:t>：</w:t>
            </w:r>
            <w:r>
              <w:rPr>
                <w:rFonts w:hint="eastAsia"/>
                <w:color w:val="auto"/>
                <w:kern w:val="0"/>
                <w:sz w:val="24"/>
                <w:szCs w:val="20"/>
                <w:lang w:val="en-US" w:eastAsia="zh-CN"/>
              </w:rPr>
              <w:t>2.1</w:t>
            </w:r>
            <w:r>
              <w:rPr>
                <w:rFonts w:hint="eastAsia"/>
                <w:color w:val="auto"/>
                <w:kern w:val="0"/>
                <w:sz w:val="24"/>
                <w:szCs w:val="20"/>
              </w:rPr>
              <w:t>t/a</w:t>
            </w:r>
            <w:r>
              <w:rPr>
                <w:rFonts w:hint="eastAsia"/>
                <w:color w:val="auto"/>
                <w:kern w:val="0"/>
                <w:sz w:val="24"/>
                <w:szCs w:val="20"/>
                <w:lang w:eastAsia="zh-CN"/>
              </w:rPr>
              <w:t>（非甲烷总烃</w:t>
            </w:r>
            <w:r>
              <w:rPr>
                <w:rFonts w:hint="eastAsia"/>
                <w:color w:val="auto"/>
                <w:kern w:val="0"/>
                <w:sz w:val="24"/>
                <w:szCs w:val="20"/>
              </w:rPr>
              <w:t>：</w:t>
            </w:r>
            <w:r>
              <w:rPr>
                <w:rFonts w:hint="eastAsia"/>
                <w:color w:val="auto"/>
                <w:kern w:val="0"/>
                <w:sz w:val="24"/>
                <w:szCs w:val="20"/>
                <w:lang w:val="en-US" w:eastAsia="zh-CN"/>
              </w:rPr>
              <w:t>1.66</w:t>
            </w:r>
            <w:r>
              <w:rPr>
                <w:rFonts w:hint="eastAsia"/>
                <w:color w:val="auto"/>
                <w:kern w:val="0"/>
                <w:sz w:val="24"/>
                <w:szCs w:val="20"/>
              </w:rPr>
              <w:t>t/a，</w:t>
            </w:r>
            <w:r>
              <w:rPr>
                <w:rFonts w:hint="eastAsia"/>
                <w:color w:val="auto"/>
                <w:kern w:val="0"/>
                <w:sz w:val="24"/>
                <w:szCs w:val="20"/>
                <w:lang w:eastAsia="zh-CN"/>
              </w:rPr>
              <w:t>甲苯</w:t>
            </w:r>
            <w:r>
              <w:rPr>
                <w:rFonts w:hint="eastAsia"/>
                <w:color w:val="auto"/>
                <w:kern w:val="0"/>
                <w:sz w:val="24"/>
                <w:szCs w:val="20"/>
              </w:rPr>
              <w:t>：</w:t>
            </w:r>
            <w:r>
              <w:rPr>
                <w:rFonts w:hint="eastAsia"/>
                <w:color w:val="auto"/>
                <w:kern w:val="0"/>
                <w:sz w:val="24"/>
                <w:szCs w:val="20"/>
                <w:lang w:val="en-US" w:eastAsia="zh-CN"/>
              </w:rPr>
              <w:t>0.032122</w:t>
            </w:r>
            <w:r>
              <w:rPr>
                <w:rFonts w:hint="eastAsia"/>
                <w:color w:val="auto"/>
                <w:kern w:val="0"/>
                <w:sz w:val="24"/>
                <w:szCs w:val="20"/>
              </w:rPr>
              <w:t>t/a，</w:t>
            </w:r>
            <w:r>
              <w:rPr>
                <w:rFonts w:hint="eastAsia"/>
                <w:color w:val="auto"/>
                <w:kern w:val="0"/>
                <w:sz w:val="24"/>
                <w:szCs w:val="20"/>
                <w:lang w:eastAsia="zh-CN"/>
              </w:rPr>
              <w:t>甲</w:t>
            </w:r>
            <w:r>
              <w:rPr>
                <w:rFonts w:hint="eastAsia"/>
                <w:color w:val="auto"/>
                <w:kern w:val="0"/>
                <w:sz w:val="24"/>
                <w:szCs w:val="24"/>
                <w:lang w:eastAsia="zh-CN"/>
              </w:rPr>
              <w:t>醇</w:t>
            </w:r>
            <w:r>
              <w:rPr>
                <w:rFonts w:hint="eastAsia"/>
                <w:bCs/>
                <w:color w:val="auto"/>
                <w:sz w:val="24"/>
                <w:szCs w:val="24"/>
                <w:lang w:val="en-GB"/>
              </w:rPr>
              <w:t>：</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388</w:t>
            </w:r>
            <w:r>
              <w:rPr>
                <w:rFonts w:hint="eastAsia"/>
                <w:color w:val="auto"/>
                <w:kern w:val="0"/>
                <w:sz w:val="24"/>
                <w:szCs w:val="24"/>
              </w:rPr>
              <w:t>t/a</w:t>
            </w:r>
            <w:r>
              <w:rPr>
                <w:rFonts w:hint="eastAsia"/>
                <w:color w:val="auto"/>
                <w:kern w:val="0"/>
                <w:sz w:val="24"/>
                <w:szCs w:val="20"/>
                <w:lang w:eastAsia="zh-CN"/>
              </w:rPr>
              <w:t>）</w:t>
            </w:r>
            <w:r>
              <w:rPr>
                <w:bCs/>
                <w:color w:val="auto"/>
                <w:sz w:val="24"/>
                <w:szCs w:val="24"/>
                <w:lang w:val="en-GB"/>
              </w:rPr>
              <w:t>。</w:t>
            </w: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both"/>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both"/>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ind w:firstLine="630" w:firstLineChars="300"/>
              <w:jc w:val="both"/>
              <w:rPr>
                <w:rFonts w:hint="eastAsia"/>
                <w:color w:val="auto"/>
                <w:highlight w:val="yellow"/>
                <w:lang w:val="en-US" w:eastAsia="zh-CN"/>
              </w:rPr>
            </w:pPr>
          </w:p>
          <w:p>
            <w:pPr>
              <w:pStyle w:val="4"/>
              <w:rPr>
                <w:rFonts w:hint="eastAsia"/>
                <w:color w:val="auto"/>
                <w:highlight w:val="yellow"/>
                <w:lang w:val="en-US" w:eastAsia="zh-CN"/>
              </w:rPr>
            </w:pPr>
          </w:p>
          <w:p>
            <w:pPr>
              <w:rPr>
                <w:rFonts w:hint="eastAsia"/>
                <w:color w:val="auto"/>
                <w:highlight w:val="yellow"/>
                <w:lang w:val="en-US" w:eastAsia="zh-CN"/>
              </w:rPr>
            </w:pPr>
          </w:p>
          <w:p>
            <w:pPr>
              <w:rPr>
                <w:rFonts w:hint="eastAsia"/>
                <w:color w:val="auto"/>
                <w:highlight w:val="yellow"/>
                <w:lang w:val="en-US" w:eastAsia="zh-CN"/>
              </w:rPr>
            </w:pPr>
          </w:p>
        </w:tc>
      </w:tr>
    </w:tbl>
    <w:p>
      <w:pPr>
        <w:pStyle w:val="27"/>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13" w:name="_Toc2148"/>
      <w:r>
        <w:rPr>
          <w:rFonts w:hint="eastAsia" w:ascii="黑体" w:hAnsi="黑体" w:eastAsia="黑体"/>
          <w:snapToGrid w:val="0"/>
          <w:color w:val="auto"/>
          <w:sz w:val="30"/>
          <w:szCs w:val="30"/>
        </w:rPr>
        <w:t>四、主要环境影响和保护措施</w:t>
      </w:r>
      <w:bookmarkEnd w:id="13"/>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8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50"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施工</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期环</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境保</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护措</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施</w:t>
            </w:r>
          </w:p>
        </w:tc>
        <w:tc>
          <w:tcPr>
            <w:tcW w:w="8510" w:type="dxa"/>
            <w:vAlign w:val="center"/>
          </w:tcPr>
          <w:p>
            <w:pPr>
              <w:pStyle w:val="92"/>
              <w:keepNext w:val="0"/>
              <w:keepLines w:val="0"/>
              <w:pageBreakBefore w:val="0"/>
              <w:widowControl w:val="0"/>
              <w:kinsoku/>
              <w:wordWrap/>
              <w:overflowPunct/>
              <w:topLinePunct w:val="0"/>
              <w:bidi w:val="0"/>
              <w:spacing w:line="360" w:lineRule="auto"/>
              <w:ind w:firstLine="439" w:firstLineChars="183"/>
              <w:textAlignment w:val="auto"/>
              <w:rPr>
                <w:color w:val="auto"/>
                <w:sz w:val="24"/>
                <w:szCs w:val="24"/>
              </w:rPr>
            </w:pPr>
            <w:r>
              <w:rPr>
                <w:color w:val="auto"/>
                <w:sz w:val="24"/>
                <w:szCs w:val="24"/>
              </w:rPr>
              <w:t>项目施工期较短，施工量较小，</w:t>
            </w:r>
            <w:r>
              <w:rPr>
                <w:rFonts w:hint="eastAsia"/>
                <w:color w:val="auto"/>
                <w:sz w:val="24"/>
                <w:szCs w:val="24"/>
              </w:rPr>
              <w:t>主要为</w:t>
            </w:r>
            <w:r>
              <w:rPr>
                <w:rFonts w:hint="eastAsia"/>
                <w:color w:val="auto"/>
                <w:sz w:val="24"/>
                <w:szCs w:val="24"/>
                <w:lang w:eastAsia="zh-CN"/>
              </w:rPr>
              <w:t>墙面粉刷、地面防渗改造、</w:t>
            </w:r>
            <w:r>
              <w:rPr>
                <w:rFonts w:hint="eastAsia"/>
                <w:color w:val="auto"/>
                <w:sz w:val="24"/>
                <w:szCs w:val="24"/>
              </w:rPr>
              <w:t>设备安装等，</w:t>
            </w:r>
            <w:r>
              <w:rPr>
                <w:color w:val="auto"/>
                <w:sz w:val="24"/>
                <w:szCs w:val="24"/>
              </w:rPr>
              <w:t>施工结束后污染也随之消失，对</w:t>
            </w:r>
            <w:r>
              <w:rPr>
                <w:rFonts w:hint="eastAsia"/>
                <w:color w:val="auto"/>
                <w:sz w:val="24"/>
                <w:szCs w:val="24"/>
              </w:rPr>
              <w:t>周围</w:t>
            </w:r>
            <w:r>
              <w:rPr>
                <w:color w:val="auto"/>
                <w:sz w:val="24"/>
                <w:szCs w:val="24"/>
              </w:rPr>
              <w:t>环境影响较小。</w:t>
            </w:r>
          </w:p>
          <w:p>
            <w:pPr>
              <w:pStyle w:val="92"/>
              <w:keepNext w:val="0"/>
              <w:keepLines w:val="0"/>
              <w:pageBreakBefore w:val="0"/>
              <w:widowControl w:val="0"/>
              <w:kinsoku/>
              <w:wordWrap/>
              <w:overflowPunct/>
              <w:topLinePunct w:val="0"/>
              <w:bidi w:val="0"/>
              <w:spacing w:line="360" w:lineRule="auto"/>
              <w:ind w:firstLine="439" w:firstLineChars="183"/>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1、</w:t>
            </w:r>
            <w:r>
              <w:rPr>
                <w:rFonts w:hint="eastAsia"/>
                <w:color w:val="auto"/>
                <w:sz w:val="24"/>
                <w:szCs w:val="24"/>
                <w:lang w:eastAsia="zh-CN"/>
              </w:rPr>
              <w:t>地面及墙裙防渗、导流槽建设</w:t>
            </w:r>
          </w:p>
          <w:p>
            <w:pPr>
              <w:pStyle w:val="92"/>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）对现有危废暂存间地面和墙面裙脚交汇处、墙面裙脚</w:t>
            </w:r>
            <w:r>
              <w:rPr>
                <w:rFonts w:hint="eastAsia" w:ascii="Times New Roman" w:hAnsi="Times New Roman" w:cs="Times New Roman"/>
                <w:color w:val="auto"/>
                <w:sz w:val="24"/>
                <w:szCs w:val="24"/>
                <w:lang w:val="en-US" w:eastAsia="zh-CN"/>
              </w:rPr>
              <w:t>采取表面防渗措施</w:t>
            </w:r>
            <w:r>
              <w:rPr>
                <w:rFonts w:hint="eastAsia" w:ascii="Times New Roman" w:hAnsi="Times New Roman" w:cs="Times New Roman"/>
                <w:color w:val="auto"/>
                <w:sz w:val="24"/>
                <w:szCs w:val="24"/>
                <w:lang w:eastAsia="zh-CN"/>
              </w:rPr>
              <w:t>进行加固防渗，</w:t>
            </w:r>
            <w:r>
              <w:rPr>
                <w:rFonts w:hint="eastAsia" w:ascii="Times New Roman" w:hAnsi="Times New Roman" w:cs="Times New Roman"/>
                <w:color w:val="auto"/>
                <w:sz w:val="24"/>
                <w:szCs w:val="24"/>
                <w:lang w:val="en-US" w:eastAsia="zh-CN"/>
              </w:rPr>
              <w:t>表面防渗材料应与所接触的物料或污染物相容，可采用抗渗混凝土、高密度聚乙烯膜、钠基膨润土防水毯或其他防渗性能等效的材料。</w:t>
            </w:r>
          </w:p>
          <w:p>
            <w:pPr>
              <w:pStyle w:val="92"/>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）本次扩建危废暂存间为利用现有仓库改造，对地面和墙面裙脚交汇处、墙面裙脚</w:t>
            </w:r>
            <w:r>
              <w:rPr>
                <w:rFonts w:hint="eastAsia" w:ascii="Times New Roman" w:hAnsi="Times New Roman" w:cs="Times New Roman"/>
                <w:color w:val="auto"/>
                <w:sz w:val="24"/>
                <w:szCs w:val="24"/>
                <w:lang w:val="en-US" w:eastAsia="zh-CN"/>
              </w:rPr>
              <w:t>采取表面防渗措施</w:t>
            </w:r>
            <w:r>
              <w:rPr>
                <w:rFonts w:hint="eastAsia" w:ascii="Times New Roman" w:hAnsi="Times New Roman" w:cs="Times New Roman"/>
                <w:color w:val="auto"/>
                <w:sz w:val="24"/>
                <w:szCs w:val="24"/>
                <w:lang w:eastAsia="zh-CN"/>
              </w:rPr>
              <w:t>进行加固防渗；对地面进行改造防渗。</w:t>
            </w:r>
            <w:r>
              <w:rPr>
                <w:rFonts w:hint="eastAsia" w:ascii="Times New Roman" w:hAnsi="Times New Roman" w:cs="Times New Roman"/>
                <w:color w:val="auto"/>
                <w:sz w:val="24"/>
                <w:szCs w:val="24"/>
                <w:lang w:val="en-US" w:eastAsia="zh-CN"/>
              </w:rPr>
              <w:t>表面防渗材料应与所接触的物料或污染物相容，可采用抗渗混凝土、高密度聚乙烯膜、钠基膨润土防水毯或其他防渗性能等效的材料。</w:t>
            </w:r>
          </w:p>
          <w:p>
            <w:pPr>
              <w:pStyle w:val="92"/>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施工过程中会产生少量粉尘、</w:t>
            </w:r>
            <w:r>
              <w:rPr>
                <w:rFonts w:hint="eastAsia" w:ascii="Times New Roman" w:hAnsi="Times New Roman" w:cs="Times New Roman"/>
                <w:color w:val="auto"/>
                <w:sz w:val="24"/>
                <w:szCs w:val="24"/>
                <w:lang w:eastAsia="zh-CN"/>
              </w:rPr>
              <w:t>废水、</w:t>
            </w:r>
            <w:r>
              <w:rPr>
                <w:rFonts w:hint="default" w:ascii="Times New Roman" w:hAnsi="Times New Roman" w:cs="Times New Roman"/>
                <w:color w:val="auto"/>
                <w:sz w:val="24"/>
                <w:szCs w:val="24"/>
              </w:rPr>
              <w:t>噪声及</w:t>
            </w:r>
            <w:r>
              <w:rPr>
                <w:rFonts w:hint="eastAsia" w:ascii="Times New Roman" w:hAnsi="Times New Roman" w:cs="Times New Roman"/>
                <w:color w:val="auto"/>
                <w:sz w:val="24"/>
                <w:szCs w:val="24"/>
                <w:lang w:eastAsia="zh-CN"/>
              </w:rPr>
              <w:t>建筑垃圾。</w:t>
            </w:r>
          </w:p>
          <w:p>
            <w:pPr>
              <w:pStyle w:val="92"/>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施工时粉尘产生量小，且在室内，同时进行必要洒水抑尘，对大气环境影响较小；</w:t>
            </w:r>
            <w:r>
              <w:rPr>
                <w:rFonts w:hint="default" w:ascii="Times New Roman" w:hAnsi="Times New Roman" w:cs="Times New Roman"/>
                <w:color w:val="auto"/>
                <w:sz w:val="24"/>
                <w:szCs w:val="24"/>
              </w:rPr>
              <w:t>在</w:t>
            </w:r>
            <w:r>
              <w:rPr>
                <w:rFonts w:hint="eastAsia" w:ascii="Times New Roman" w:hAnsi="Times New Roman" w:cs="Times New Roman"/>
                <w:color w:val="auto"/>
                <w:sz w:val="24"/>
                <w:szCs w:val="24"/>
                <w:lang w:eastAsia="zh-CN"/>
              </w:rPr>
              <w:t>施工区</w:t>
            </w:r>
            <w:r>
              <w:rPr>
                <w:rFonts w:hint="default" w:ascii="Times New Roman" w:hAnsi="Times New Roman" w:cs="Times New Roman"/>
                <w:color w:val="auto"/>
                <w:sz w:val="24"/>
                <w:szCs w:val="24"/>
              </w:rPr>
              <w:t>设置</w:t>
            </w:r>
            <w:r>
              <w:rPr>
                <w:rFonts w:hint="eastAsia" w:ascii="Times New Roman" w:hAnsi="Times New Roman" w:cs="Times New Roman"/>
                <w:color w:val="auto"/>
                <w:sz w:val="24"/>
                <w:szCs w:val="24"/>
                <w:lang w:eastAsia="zh-CN"/>
              </w:rPr>
              <w:t>移动</w:t>
            </w:r>
            <w:r>
              <w:rPr>
                <w:rFonts w:hint="default" w:ascii="Times New Roman" w:hAnsi="Times New Roman" w:cs="Times New Roman"/>
                <w:color w:val="auto"/>
                <w:sz w:val="24"/>
                <w:szCs w:val="24"/>
              </w:rPr>
              <w:t>临时沉淀池对废水进行收集</w:t>
            </w:r>
            <w:r>
              <w:rPr>
                <w:rFonts w:hint="eastAsia" w:ascii="Times New Roman" w:hAnsi="Times New Roman" w:cs="Times New Roman"/>
                <w:color w:val="auto"/>
                <w:sz w:val="24"/>
                <w:szCs w:val="24"/>
                <w:lang w:eastAsia="zh-CN"/>
              </w:rPr>
              <w:t>沉淀，</w:t>
            </w:r>
            <w:r>
              <w:rPr>
                <w:rFonts w:hint="default" w:ascii="Times New Roman" w:hAnsi="Times New Roman" w:cs="Times New Roman"/>
                <w:color w:val="auto"/>
                <w:sz w:val="24"/>
                <w:szCs w:val="24"/>
              </w:rPr>
              <w:t>然后</w:t>
            </w:r>
            <w:r>
              <w:rPr>
                <w:rFonts w:hint="eastAsia" w:ascii="Times New Roman" w:hAnsi="Times New Roman" w:cs="Times New Roman"/>
                <w:color w:val="auto"/>
                <w:sz w:val="24"/>
                <w:szCs w:val="24"/>
                <w:lang w:eastAsia="zh-CN"/>
              </w:rPr>
              <w:t>回用施工以及地面抑尘</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噪声主要室内地面人工施工防渗，不涉及产噪大型设备，且在室内施工，对声环境影响较小；建筑垃圾运往相关部门制定的建筑垃圾收集点。</w:t>
            </w:r>
          </w:p>
          <w:p>
            <w:pPr>
              <w:pStyle w:val="92"/>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粉刷装饰</w:t>
            </w:r>
          </w:p>
          <w:p>
            <w:pPr>
              <w:pStyle w:val="92"/>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本项目主要是对</w:t>
            </w:r>
            <w:r>
              <w:rPr>
                <w:rFonts w:hint="eastAsia" w:ascii="Times New Roman" w:hAnsi="Times New Roman" w:cs="Times New Roman"/>
                <w:color w:val="auto"/>
                <w:sz w:val="24"/>
                <w:szCs w:val="24"/>
                <w:lang w:eastAsia="zh-CN"/>
              </w:rPr>
              <w:t>危废</w:t>
            </w:r>
            <w:r>
              <w:rPr>
                <w:rFonts w:hint="default" w:ascii="Times New Roman" w:hAnsi="Times New Roman" w:cs="Times New Roman"/>
                <w:color w:val="auto"/>
                <w:sz w:val="24"/>
                <w:szCs w:val="24"/>
              </w:rPr>
              <w:t>间进行</w:t>
            </w:r>
            <w:r>
              <w:rPr>
                <w:rFonts w:hint="eastAsia" w:ascii="Times New Roman" w:hAnsi="Times New Roman" w:cs="Times New Roman"/>
                <w:color w:val="auto"/>
                <w:sz w:val="24"/>
                <w:szCs w:val="24"/>
                <w:lang w:eastAsia="zh-CN"/>
              </w:rPr>
              <w:t>简单粉刷</w:t>
            </w:r>
            <w:r>
              <w:rPr>
                <w:rFonts w:hint="default" w:ascii="Times New Roman" w:hAnsi="Times New Roman" w:cs="Times New Roman"/>
                <w:color w:val="auto"/>
                <w:sz w:val="24"/>
                <w:szCs w:val="24"/>
              </w:rPr>
              <w:t>，主要产生少量粉尘和非甲烷总烃</w:t>
            </w:r>
            <w:r>
              <w:rPr>
                <w:rFonts w:hint="eastAsia" w:ascii="Times New Roman" w:hAnsi="Times New Roman" w:cs="Times New Roman"/>
                <w:color w:val="auto"/>
                <w:sz w:val="24"/>
                <w:szCs w:val="24"/>
                <w:lang w:eastAsia="zh-CN"/>
              </w:rPr>
              <w:t>和</w:t>
            </w:r>
            <w:r>
              <w:rPr>
                <w:rFonts w:hint="default" w:ascii="Times New Roman" w:hAnsi="Times New Roman" w:cs="Times New Roman"/>
                <w:color w:val="auto"/>
                <w:sz w:val="24"/>
                <w:szCs w:val="24"/>
              </w:rPr>
              <w:t>及少量的建筑垃圾。</w:t>
            </w:r>
          </w:p>
          <w:p>
            <w:pPr>
              <w:pStyle w:val="92"/>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粉刷过程中产生及少量粉尘和非甲烷总烃，区域空气扩散条件良好，不会对大气环境产生明显影响。建筑垃圾运往相关部门制定的建筑垃圾收集点。</w:t>
            </w:r>
          </w:p>
          <w:p>
            <w:pPr>
              <w:pStyle w:val="92"/>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设备</w:t>
            </w:r>
            <w:r>
              <w:rPr>
                <w:rFonts w:hint="default" w:ascii="Times New Roman" w:hAnsi="Times New Roman" w:cs="Times New Roman"/>
                <w:color w:val="auto"/>
                <w:sz w:val="24"/>
                <w:szCs w:val="24"/>
              </w:rPr>
              <w:t>安装</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主要对</w:t>
            </w:r>
            <w:r>
              <w:rPr>
                <w:rFonts w:hint="eastAsia" w:cs="Times New Roman"/>
                <w:color w:val="auto"/>
                <w:sz w:val="24"/>
                <w:szCs w:val="24"/>
                <w:lang w:eastAsia="zh-CN"/>
              </w:rPr>
              <w:t>本次改扩建的危废暂存间</w:t>
            </w:r>
            <w:r>
              <w:rPr>
                <w:rFonts w:hint="eastAsia" w:ascii="Times New Roman" w:hAnsi="Times New Roman" w:cs="Times New Roman"/>
                <w:color w:val="auto"/>
                <w:sz w:val="24"/>
                <w:szCs w:val="24"/>
                <w:lang w:eastAsia="zh-CN"/>
              </w:rPr>
              <w:t>安装集气罩和引风管道等，主要产生固废和噪声</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olor w:val="auto"/>
                <w:lang w:val="en-US" w:eastAsia="zh-CN"/>
              </w:rPr>
            </w:pPr>
            <w:r>
              <w:rPr>
                <w:rFonts w:hint="eastAsia" w:ascii="Times New Roman" w:hAnsi="Times New Roman" w:cs="Times New Roman"/>
                <w:color w:val="auto"/>
                <w:sz w:val="24"/>
                <w:szCs w:val="24"/>
                <w:lang w:eastAsia="zh-CN"/>
              </w:rPr>
              <w:t>固体废物主要为金属管道的边角料，外售，不外排。设施安装期间会产生一定的噪声影响，施工均在室内，且无大型产噪设备，施工短暂，不会对区域声环境产生明显影响。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运营</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期环</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境影</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响和</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保护</w:t>
            </w:r>
          </w:p>
          <w:p>
            <w:pPr>
              <w:adjustRightInd w:val="0"/>
              <w:snapToGrid w:val="0"/>
              <w:jc w:val="center"/>
              <w:rPr>
                <w:rFonts w:hint="eastAsia" w:ascii="宋体" w:hAnsi="宋体" w:cs="宋体"/>
                <w:color w:val="auto"/>
                <w:kern w:val="0"/>
                <w:szCs w:val="21"/>
                <w:vertAlign w:val="baseline"/>
              </w:rPr>
            </w:pPr>
            <w:r>
              <w:rPr>
                <w:rFonts w:hint="eastAsia" w:ascii="宋体" w:hAnsi="宋体" w:cs="宋体"/>
                <w:color w:val="auto"/>
                <w:kern w:val="0"/>
                <w:szCs w:val="21"/>
              </w:rPr>
              <w:t>措施</w:t>
            </w:r>
          </w:p>
        </w:tc>
        <w:tc>
          <w:tcPr>
            <w:tcW w:w="8510" w:type="dxa"/>
            <w:vAlign w:val="center"/>
          </w:tcPr>
          <w:p>
            <w:pPr>
              <w:spacing w:line="360" w:lineRule="auto"/>
              <w:ind w:firstLine="723" w:firstLineChars="300"/>
              <w:jc w:val="both"/>
              <w:rPr>
                <w:rFonts w:hint="eastAsia"/>
                <w:b/>
                <w:bCs/>
                <w:color w:val="auto"/>
                <w:sz w:val="24"/>
                <w:szCs w:val="24"/>
                <w:lang w:val="en-US" w:eastAsia="zh-CN"/>
              </w:rPr>
            </w:pPr>
            <w:r>
              <w:rPr>
                <w:rFonts w:hint="eastAsia"/>
                <w:b/>
                <w:bCs/>
                <w:color w:val="auto"/>
                <w:sz w:val="24"/>
                <w:szCs w:val="24"/>
                <w:lang w:val="en-US" w:eastAsia="zh-CN"/>
              </w:rPr>
              <w:t>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highlight w:val="none"/>
              </w:rPr>
              <w:t>本</w:t>
            </w:r>
            <w:r>
              <w:rPr>
                <w:rFonts w:hint="eastAsia"/>
                <w:color w:val="auto"/>
                <w:sz w:val="24"/>
                <w:szCs w:val="24"/>
                <w:highlight w:val="none"/>
                <w:lang w:eastAsia="zh-CN"/>
              </w:rPr>
              <w:t>次扩建危废暂存间</w:t>
            </w:r>
            <w:r>
              <w:rPr>
                <w:rFonts w:hint="eastAsia"/>
                <w:color w:val="auto"/>
                <w:sz w:val="24"/>
                <w:szCs w:val="24"/>
                <w:highlight w:val="none"/>
                <w:lang w:val="en-US" w:eastAsia="zh-CN"/>
              </w:rPr>
              <w:t>主要贮存固态危险废物，即将现有危废暂存间贮存的固态危险废物</w:t>
            </w:r>
            <w:r>
              <w:rPr>
                <w:rFonts w:hint="eastAsia"/>
                <w:color w:val="auto"/>
                <w:sz w:val="24"/>
                <w:szCs w:val="24"/>
                <w:highlight w:val="none"/>
                <w:lang w:eastAsia="zh-CN"/>
              </w:rPr>
              <w:t>转移至本次扩建的危废暂存间中贮存，分担</w:t>
            </w:r>
            <w:r>
              <w:rPr>
                <w:rFonts w:hint="eastAsia" w:cs="Times New Roman" w:eastAsiaTheme="minorEastAsia"/>
                <w:color w:val="auto"/>
                <w:kern w:val="0"/>
                <w:sz w:val="24"/>
                <w:szCs w:val="24"/>
                <w:highlight w:val="none"/>
                <w:lang w:val="en-US" w:eastAsia="zh-CN"/>
              </w:rPr>
              <w:t>现有危废暂存间贮存空间压力、避免危险废物因贮存空间减小导致不同种类的危险废物接触</w:t>
            </w:r>
            <w:r>
              <w:rPr>
                <w:rFonts w:hint="eastAsia"/>
                <w:color w:val="auto"/>
                <w:sz w:val="24"/>
                <w:szCs w:val="24"/>
                <w:highlight w:val="none"/>
              </w:rPr>
              <w:t>。</w:t>
            </w:r>
            <w:r>
              <w:rPr>
                <w:rFonts w:hint="eastAsia"/>
                <w:color w:val="auto"/>
                <w:sz w:val="24"/>
                <w:szCs w:val="24"/>
                <w:highlight w:val="none"/>
                <w:lang w:eastAsia="zh-CN"/>
              </w:rPr>
              <w:t>建设完成后，本次扩建危废暂存间和现有危废暂存间共同使用，现有危废暂存间贮存液态危险废物，用于</w:t>
            </w:r>
            <w:r>
              <w:rPr>
                <w:rFonts w:hint="eastAsia"/>
                <w:color w:val="auto"/>
                <w:sz w:val="24"/>
                <w:szCs w:val="24"/>
                <w:lang w:val="en-US" w:eastAsia="zh-CN"/>
              </w:rPr>
              <w:t>暂存渭南高新区海泰新型电子材料有限责任公司危险废物，定期交由有资质单位统一转运处置。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危险废物在暂存过程中会产生的废气主要包括非甲烷总烃、甲醇、甲苯、臭气浓度和车辆运输废气等。</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废气污染源源强核算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扩建完成后，现有危废暂存间和扩建危废暂存间产生的废气主要包括非甲烷总烃、甲醇、甲苯和臭气浓度， 产生的废气利用现有的废气收集和治理环保设施，即经集气罩收集（危废暂存间封闭管理）+经活性炭吸附装置处理，由17m高排气筒排放。无组织废气产生量按照总废气量的10%计算。</w:t>
            </w:r>
          </w:p>
          <w:p>
            <w:pPr>
              <w:numPr>
                <w:ilvl w:val="0"/>
                <w:numId w:val="0"/>
              </w:numPr>
              <w:spacing w:line="360" w:lineRule="auto"/>
              <w:ind w:firstLine="480" w:firstLineChars="200"/>
              <w:jc w:val="both"/>
              <w:rPr>
                <w:rFonts w:hint="default"/>
                <w:color w:val="auto"/>
                <w:sz w:val="24"/>
                <w:szCs w:val="24"/>
              </w:rPr>
            </w:pPr>
            <w:r>
              <w:rPr>
                <w:rFonts w:hint="eastAsia"/>
                <w:color w:val="auto"/>
                <w:sz w:val="24"/>
                <w:szCs w:val="24"/>
                <w:lang w:val="en-US" w:eastAsia="zh-CN"/>
              </w:rPr>
              <w:t xml:space="preserve"> 根据本次环评污染源监测数据可知，</w:t>
            </w:r>
            <w:r>
              <w:rPr>
                <w:rFonts w:hint="default"/>
                <w:color w:val="auto"/>
                <w:sz w:val="24"/>
                <w:szCs w:val="24"/>
                <w:lang w:val="en-US" w:eastAsia="zh-CN"/>
              </w:rPr>
              <w:t>运营期</w:t>
            </w:r>
            <w:r>
              <w:rPr>
                <w:rFonts w:hint="eastAsia"/>
                <w:color w:val="auto"/>
                <w:sz w:val="24"/>
                <w:szCs w:val="24"/>
                <w:lang w:val="en-US" w:eastAsia="zh-CN"/>
              </w:rPr>
              <w:t>有组织、无组织</w:t>
            </w:r>
            <w:r>
              <w:rPr>
                <w:rFonts w:hint="default"/>
                <w:color w:val="auto"/>
                <w:sz w:val="24"/>
                <w:szCs w:val="24"/>
                <w:lang w:val="en-US" w:eastAsia="zh-CN"/>
              </w:rPr>
              <w:t>废气污染源源强核算结果</w:t>
            </w:r>
            <w:r>
              <w:rPr>
                <w:rFonts w:hint="default"/>
                <w:color w:val="auto"/>
                <w:sz w:val="24"/>
                <w:szCs w:val="24"/>
              </w:rPr>
              <w:t>见表4-</w:t>
            </w:r>
            <w:r>
              <w:rPr>
                <w:rFonts w:hint="eastAsia"/>
                <w:color w:val="auto"/>
                <w:sz w:val="24"/>
                <w:szCs w:val="24"/>
                <w:lang w:val="en-US" w:eastAsia="zh-CN"/>
              </w:rPr>
              <w:t>1</w:t>
            </w:r>
            <w:r>
              <w:rPr>
                <w:rFonts w:hint="default"/>
                <w:color w:val="auto"/>
                <w:sz w:val="24"/>
                <w:szCs w:val="24"/>
              </w:rPr>
              <w:t>。</w:t>
            </w:r>
          </w:p>
          <w:p>
            <w:pPr>
              <w:spacing w:line="360" w:lineRule="auto"/>
              <w:jc w:val="center"/>
              <w:rPr>
                <w:rFonts w:hint="default"/>
                <w:b/>
                <w:bCs/>
                <w:color w:val="auto"/>
                <w:sz w:val="24"/>
                <w:szCs w:val="24"/>
                <w:highlight w:val="none"/>
                <w:lang w:val="en-US" w:eastAsia="zh-CN"/>
              </w:rPr>
            </w:pPr>
            <w:r>
              <w:rPr>
                <w:rFonts w:hint="default"/>
                <w:b/>
                <w:bCs/>
                <w:color w:val="auto"/>
                <w:sz w:val="24"/>
                <w:szCs w:val="24"/>
                <w:highlight w:val="none"/>
                <w:lang w:val="en-US" w:eastAsia="zh-CN"/>
              </w:rPr>
              <w:t>表4-</w:t>
            </w:r>
            <w:r>
              <w:rPr>
                <w:rFonts w:hint="eastAsia"/>
                <w:b/>
                <w:bCs/>
                <w:color w:val="auto"/>
                <w:sz w:val="24"/>
                <w:szCs w:val="24"/>
                <w:highlight w:val="none"/>
                <w:lang w:val="en-US" w:eastAsia="zh-CN"/>
              </w:rPr>
              <w:t>1</w:t>
            </w:r>
            <w:r>
              <w:rPr>
                <w:rFonts w:hint="default"/>
                <w:b/>
                <w:bCs/>
                <w:color w:val="auto"/>
                <w:sz w:val="24"/>
                <w:szCs w:val="24"/>
                <w:highlight w:val="none"/>
                <w:lang w:val="en-US" w:eastAsia="zh-CN"/>
              </w:rPr>
              <w:t xml:space="preserve"> 废气污染源源强核算结果一览表</w:t>
            </w:r>
          </w:p>
          <w:tbl>
            <w:tblPr>
              <w:tblStyle w:val="31"/>
              <w:tblW w:w="84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13"/>
              <w:gridCol w:w="411"/>
              <w:gridCol w:w="413"/>
              <w:gridCol w:w="1153"/>
              <w:gridCol w:w="950"/>
              <w:gridCol w:w="1122"/>
              <w:gridCol w:w="791"/>
              <w:gridCol w:w="962"/>
              <w:gridCol w:w="1088"/>
              <w:gridCol w:w="11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244" w:type="pct"/>
                  <w:vMerge w:val="restar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污染源</w:t>
                  </w:r>
                </w:p>
              </w:tc>
              <w:tc>
                <w:tcPr>
                  <w:tcW w:w="488" w:type="pct"/>
                  <w:gridSpan w:val="2"/>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污染物</w:t>
                  </w:r>
                </w:p>
              </w:tc>
              <w:tc>
                <w:tcPr>
                  <w:tcW w:w="191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污染物产生</w:t>
                  </w:r>
                </w:p>
              </w:tc>
              <w:tc>
                <w:tcPr>
                  <w:tcW w:w="4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治理措施</w:t>
                  </w:r>
                </w:p>
              </w:tc>
              <w:tc>
                <w:tcPr>
                  <w:tcW w:w="188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污染物排放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rPr>
                  </w:pPr>
                </w:p>
              </w:tc>
              <w:tc>
                <w:tcPr>
                  <w:tcW w:w="488" w:type="pct"/>
                  <w:gridSpan w:val="2"/>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产生量t</w:t>
                  </w:r>
                  <w:r>
                    <w:rPr>
                      <w:rFonts w:hint="default" w:cs="Times New Roman"/>
                      <w:b/>
                      <w:bCs/>
                      <w:color w:val="auto"/>
                      <w:sz w:val="21"/>
                      <w:szCs w:val="21"/>
                      <w:highlight w:val="none"/>
                      <w:lang w:val="en-US" w:eastAsia="zh-CN"/>
                    </w:rPr>
                    <w:t>/a</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产生速率kg/h</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产生浓度（mg/m</w:t>
                  </w:r>
                  <w:r>
                    <w:rPr>
                      <w:rFonts w:hint="eastAsia" w:cs="Times New Roman"/>
                      <w:b/>
                      <w:bCs/>
                      <w:color w:val="auto"/>
                      <w:sz w:val="21"/>
                      <w:szCs w:val="21"/>
                      <w:highlight w:val="none"/>
                      <w:vertAlign w:val="superscript"/>
                      <w:lang w:val="en-US" w:eastAsia="zh-CN"/>
                    </w:rPr>
                    <w:t>3</w:t>
                  </w:r>
                  <w:r>
                    <w:rPr>
                      <w:rFonts w:hint="eastAsia" w:cs="Times New Roman"/>
                      <w:b/>
                      <w:bCs/>
                      <w:color w:val="auto"/>
                      <w:sz w:val="21"/>
                      <w:szCs w:val="21"/>
                      <w:highlight w:val="none"/>
                      <w:lang w:val="en-US" w:eastAsia="zh-CN"/>
                    </w:rPr>
                    <w:t>）</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排放量</w:t>
                  </w:r>
                  <w:r>
                    <w:rPr>
                      <w:rFonts w:hint="eastAsia" w:cs="Times New Roman"/>
                      <w:b/>
                      <w:bCs/>
                      <w:color w:val="auto"/>
                      <w:sz w:val="21"/>
                      <w:szCs w:val="21"/>
                      <w:highlight w:val="none"/>
                      <w:lang w:val="en-US" w:eastAsia="zh-CN"/>
                    </w:rPr>
                    <w:t>t</w:t>
                  </w:r>
                  <w:r>
                    <w:rPr>
                      <w:rFonts w:hint="default" w:ascii="Times New Roman" w:hAnsi="Times New Roman" w:cs="Times New Roman"/>
                      <w:b/>
                      <w:bCs/>
                      <w:color w:val="auto"/>
                      <w:sz w:val="21"/>
                      <w:szCs w:val="21"/>
                      <w:highlight w:val="none"/>
                      <w:lang w:val="en-US" w:eastAsia="zh-CN"/>
                    </w:rPr>
                    <w:t>/a</w:t>
                  </w:r>
                </w:p>
              </w:tc>
              <w:tc>
                <w:tcPr>
                  <w:tcW w:w="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排放速率kg/h</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排放浓度（mg/m</w:t>
                  </w:r>
                  <w:r>
                    <w:rPr>
                      <w:rFonts w:hint="eastAsia" w:cs="Times New Roman"/>
                      <w:b/>
                      <w:bCs/>
                      <w:color w:val="auto"/>
                      <w:sz w:val="21"/>
                      <w:szCs w:val="21"/>
                      <w:highlight w:val="none"/>
                      <w:vertAlign w:val="superscript"/>
                      <w:lang w:val="en-US" w:eastAsia="zh-CN"/>
                    </w:rPr>
                    <w:t>3</w:t>
                  </w:r>
                  <w:r>
                    <w:rPr>
                      <w:rFonts w:hint="eastAsia" w:cs="Times New Roman"/>
                      <w:b/>
                      <w:bCs/>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4" w:type="pct"/>
                  <w:vMerge w:val="restar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危废暂存间</w:t>
                  </w:r>
                </w:p>
                <w:p>
                  <w:pPr>
                    <w:pStyle w:val="4"/>
                    <w:rPr>
                      <w:rFonts w:hint="default"/>
                      <w:color w:val="auto"/>
                      <w:sz w:val="21"/>
                      <w:szCs w:val="21"/>
                      <w:highlight w:val="none"/>
                      <w:lang w:val="en-US" w:eastAsia="zh-CN"/>
                    </w:rPr>
                  </w:pPr>
                </w:p>
              </w:tc>
              <w:tc>
                <w:tcPr>
                  <w:tcW w:w="243" w:type="pct"/>
                  <w:tcBorders>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24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2.98</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0.34</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53.6</w:t>
                  </w:r>
                </w:p>
              </w:tc>
              <w:tc>
                <w:tcPr>
                  <w:tcW w:w="4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集气罩收集（危废暂存间封闭管理）+</w:t>
                  </w:r>
                  <w:r>
                    <w:rPr>
                      <w:rFonts w:hint="eastAsia" w:cs="Times New Roman"/>
                      <w:color w:val="auto"/>
                      <w:sz w:val="21"/>
                      <w:szCs w:val="21"/>
                      <w:highlight w:val="none"/>
                      <w:lang w:val="en-US" w:eastAsia="zh-CN"/>
                    </w:rPr>
                    <w:t>经活性炭吸附装置处理</w:t>
                  </w:r>
                  <w:r>
                    <w:rPr>
                      <w:rFonts w:hint="default" w:ascii="Times New Roman" w:hAnsi="Times New Roman" w:cs="Times New Roman"/>
                      <w:color w:val="auto"/>
                      <w:sz w:val="21"/>
                      <w:szCs w:val="21"/>
                      <w:highlight w:val="none"/>
                      <w:lang w:val="en-US" w:eastAsia="zh-CN"/>
                    </w:rPr>
                    <w:t>，由17m高排气筒排放</w:t>
                  </w: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1.49</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0.17</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bidi="ar-SA"/>
                    </w:rPr>
                    <w:t>26.0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top w:val="single" w:color="auto" w:sz="4" w:space="0"/>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甲苯</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0.0544</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Cs w:val="21"/>
                      <w:lang w:val="en-US" w:eastAsia="zh-CN"/>
                    </w:rPr>
                    <w:t>6.21</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0.959</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0.02891</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3.3</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eastAsia="宋体" w:cs="Times New Roman"/>
                      <w:color w:val="auto"/>
                      <w:szCs w:val="21"/>
                      <w:highlight w:val="none"/>
                      <w:vertAlign w:val="superscript"/>
                      <w:lang w:val="en-US" w:eastAsia="zh-CN"/>
                    </w:rPr>
                    <w:t>3</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甲醇</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0.696</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ascii="Times New Roman" w:hAnsi="Times New Roman" w:cs="Times New Roman"/>
                      <w:color w:val="auto"/>
                      <w:kern w:val="0"/>
                      <w:szCs w:val="21"/>
                      <w:lang w:val="en-US" w:eastAsia="zh-CN"/>
                    </w:rPr>
                    <w:t>7.94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cs="Times New Roman"/>
                      <w:color w:val="auto"/>
                      <w:kern w:val="0"/>
                      <w:sz w:val="21"/>
                      <w:szCs w:val="21"/>
                      <w:highlight w:val="none"/>
                      <w:lang w:val="en-US" w:eastAsia="zh-CN" w:bidi="ar-SA"/>
                    </w:rPr>
                    <w:t>12.4</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0.349</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cs="Times New Roman"/>
                      <w:color w:val="auto"/>
                      <w:kern w:val="0"/>
                      <w:szCs w:val="21"/>
                      <w:highlight w:val="none"/>
                      <w:lang w:val="en-US" w:eastAsia="zh-CN"/>
                    </w:rPr>
                    <w:t>3.98</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cs="Times New Roman"/>
                      <w:color w:val="auto"/>
                      <w:szCs w:val="21"/>
                      <w:highlight w:val="none"/>
                      <w:vertAlign w:val="superscript"/>
                      <w:lang w:val="en-US" w:eastAsia="zh-CN"/>
                    </w:rPr>
                    <w:t>2</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臭气浓度</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977（无量纲）</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478（无量纲）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非甲烷总烃</w:t>
                  </w:r>
                </w:p>
              </w:tc>
              <w:tc>
                <w:tcPr>
                  <w:tcW w:w="24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1153" w:type="dxa"/>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c>
                <w:tcPr>
                  <w:tcW w:w="950" w:type="dxa"/>
                  <w:tcBorders>
                    <w:right w:val="single" w:color="auto" w:sz="4" w:space="0"/>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22" w:type="dxa"/>
                  <w:tcBorders>
                    <w:left w:val="single" w:color="auto" w:sz="4" w:space="0"/>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0.58</w:t>
                  </w:r>
                </w:p>
              </w:tc>
              <w:tc>
                <w:tcPr>
                  <w:tcW w:w="4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甲苯</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1153" w:type="dxa"/>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0.003212</w:t>
                  </w:r>
                </w:p>
              </w:tc>
              <w:tc>
                <w:tcPr>
                  <w:tcW w:w="950" w:type="dxa"/>
                  <w:tcBorders>
                    <w:right w:val="single" w:color="auto" w:sz="4" w:space="0"/>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22" w:type="dxa"/>
                  <w:tcBorders>
                    <w:left w:val="single" w:color="auto" w:sz="4" w:space="0"/>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0.0174</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0.003212</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0.0174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甲醇</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1153" w:type="dxa"/>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950" w:type="dxa"/>
                  <w:tcBorders>
                    <w:right w:val="single" w:color="auto" w:sz="4" w:space="0"/>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22" w:type="dxa"/>
                  <w:tcBorders>
                    <w:left w:val="single" w:color="auto" w:sz="4" w:space="0"/>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臭气浓度</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4（无量纲）</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4（无量纲）</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contextualSpacing/>
              <w:textAlignment w:val="auto"/>
              <w:rPr>
                <w:rFonts w:hint="eastAsia"/>
                <w:color w:val="auto"/>
                <w:sz w:val="24"/>
                <w:szCs w:val="24"/>
              </w:rPr>
            </w:pPr>
            <w:r>
              <w:rPr>
                <w:rFonts w:hint="eastAsia"/>
                <w:color w:val="auto"/>
                <w:sz w:val="24"/>
                <w:szCs w:val="24"/>
              </w:rPr>
              <w:t>（</w:t>
            </w:r>
            <w:r>
              <w:rPr>
                <w:rFonts w:hint="eastAsia"/>
                <w:color w:val="auto"/>
                <w:sz w:val="24"/>
                <w:szCs w:val="24"/>
                <w:lang w:val="en-US" w:eastAsia="zh-CN"/>
              </w:rPr>
              <w:t>2</w:t>
            </w:r>
            <w:r>
              <w:rPr>
                <w:rFonts w:hint="eastAsia"/>
                <w:color w:val="auto"/>
                <w:sz w:val="24"/>
                <w:szCs w:val="24"/>
              </w:rPr>
              <w:t>）</w:t>
            </w:r>
            <w:r>
              <w:rPr>
                <w:rFonts w:hint="eastAsia"/>
                <w:color w:val="auto"/>
                <w:sz w:val="24"/>
                <w:szCs w:val="24"/>
                <w:lang w:eastAsia="zh-CN"/>
              </w:rPr>
              <w:t>危废暂存间</w:t>
            </w:r>
            <w:r>
              <w:rPr>
                <w:rFonts w:hint="eastAsia"/>
                <w:color w:val="auto"/>
                <w:sz w:val="24"/>
                <w:szCs w:val="24"/>
              </w:rPr>
              <w:t>废气治理措施及技术可行性分析</w:t>
            </w:r>
          </w:p>
          <w:p>
            <w:pPr>
              <w:pStyle w:val="92"/>
              <w:ind w:firstLine="480"/>
              <w:rPr>
                <w:rFonts w:hint="eastAsia"/>
                <w:color w:val="auto"/>
              </w:rPr>
            </w:pPr>
            <w:r>
              <w:rPr>
                <w:rFonts w:hint="eastAsia"/>
                <w:color w:val="auto"/>
              </w:rPr>
              <w:t>①排气筒基本信息</w:t>
            </w:r>
          </w:p>
          <w:p>
            <w:pPr>
              <w:pStyle w:val="92"/>
              <w:ind w:firstLine="480"/>
              <w:rPr>
                <w:color w:val="auto"/>
              </w:rPr>
            </w:pPr>
            <w:r>
              <w:rPr>
                <w:rFonts w:hint="eastAsia"/>
                <w:color w:val="auto"/>
                <w:lang w:eastAsia="zh-CN"/>
              </w:rPr>
              <w:t>危废暂存间</w:t>
            </w:r>
            <w:r>
              <w:rPr>
                <w:color w:val="auto"/>
              </w:rPr>
              <w:t>废气排口的具体情况见表</w:t>
            </w:r>
            <w:r>
              <w:rPr>
                <w:rFonts w:hint="default" w:ascii="Times New Roman" w:hAnsi="Times New Roman" w:cs="Times New Roman"/>
                <w:color w:val="auto"/>
              </w:rPr>
              <w:t>4-</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pPr>
              <w:pStyle w:val="96"/>
              <w:ind w:firstLine="482" w:firstLineChars="200"/>
              <w:rPr>
                <w:color w:val="auto"/>
                <w:sz w:val="24"/>
                <w:szCs w:val="24"/>
              </w:rPr>
            </w:pPr>
            <w:r>
              <w:rPr>
                <w:rFonts w:hint="eastAsia"/>
                <w:color w:val="auto"/>
                <w:sz w:val="24"/>
                <w:szCs w:val="24"/>
              </w:rPr>
              <w:t>表</w:t>
            </w:r>
            <w:r>
              <w:rPr>
                <w:color w:val="auto"/>
                <w:sz w:val="24"/>
                <w:szCs w:val="24"/>
              </w:rPr>
              <w:t>4-</w:t>
            </w:r>
            <w:r>
              <w:rPr>
                <w:rFonts w:hint="eastAsia"/>
                <w:color w:val="auto"/>
                <w:sz w:val="24"/>
                <w:szCs w:val="24"/>
                <w:lang w:val="en-US" w:eastAsia="zh-CN"/>
              </w:rPr>
              <w:t>2</w:t>
            </w:r>
            <w:r>
              <w:rPr>
                <w:color w:val="auto"/>
                <w:sz w:val="24"/>
                <w:szCs w:val="24"/>
              </w:rPr>
              <w:t xml:space="preserve">  项目废气排放口设置情况</w:t>
            </w:r>
          </w:p>
          <w:tbl>
            <w:tblPr>
              <w:tblStyle w:val="31"/>
              <w:tblW w:w="4998"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592"/>
              <w:gridCol w:w="322"/>
              <w:gridCol w:w="1147"/>
              <w:gridCol w:w="1147"/>
              <w:gridCol w:w="211"/>
              <w:gridCol w:w="264"/>
              <w:gridCol w:w="565"/>
              <w:gridCol w:w="582"/>
              <w:gridCol w:w="776"/>
              <w:gridCol w:w="703"/>
              <w:gridCol w:w="555"/>
              <w:gridCol w:w="494"/>
              <w:gridCol w:w="390"/>
              <w:gridCol w:w="328"/>
              <w:gridCol w:w="21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786" w:hRule="atLeast"/>
                <w:jc w:val="center"/>
              </w:trPr>
              <w:tc>
                <w:tcPr>
                  <w:tcW w:w="357" w:type="pct"/>
                  <w:vMerge w:val="restart"/>
                  <w:noWrap w:val="0"/>
                  <w:vAlign w:val="center"/>
                </w:tcPr>
                <w:p>
                  <w:pPr>
                    <w:jc w:val="center"/>
                    <w:rPr>
                      <w:b/>
                      <w:color w:val="auto"/>
                      <w:szCs w:val="21"/>
                    </w:rPr>
                  </w:pPr>
                  <w:r>
                    <w:rPr>
                      <w:b/>
                      <w:color w:val="auto"/>
                      <w:szCs w:val="21"/>
                    </w:rPr>
                    <w:t>编</w:t>
                  </w:r>
                </w:p>
                <w:p>
                  <w:pPr>
                    <w:jc w:val="center"/>
                    <w:rPr>
                      <w:b/>
                      <w:color w:val="auto"/>
                      <w:szCs w:val="21"/>
                    </w:rPr>
                  </w:pPr>
                  <w:r>
                    <w:rPr>
                      <w:b/>
                      <w:color w:val="auto"/>
                      <w:szCs w:val="21"/>
                    </w:rPr>
                    <w:t>号</w:t>
                  </w:r>
                </w:p>
              </w:tc>
              <w:tc>
                <w:tcPr>
                  <w:tcW w:w="194" w:type="pct"/>
                  <w:vMerge w:val="restart"/>
                  <w:noWrap w:val="0"/>
                  <w:vAlign w:val="center"/>
                </w:tcPr>
                <w:p>
                  <w:pPr>
                    <w:jc w:val="center"/>
                    <w:rPr>
                      <w:b/>
                      <w:color w:val="auto"/>
                      <w:szCs w:val="21"/>
                    </w:rPr>
                  </w:pPr>
                  <w:r>
                    <w:rPr>
                      <w:b/>
                      <w:color w:val="auto"/>
                      <w:szCs w:val="21"/>
                    </w:rPr>
                    <w:t>点源名称</w:t>
                  </w:r>
                </w:p>
              </w:tc>
              <w:tc>
                <w:tcPr>
                  <w:tcW w:w="1384" w:type="pct"/>
                  <w:gridSpan w:val="2"/>
                  <w:tcBorders>
                    <w:right w:val="single" w:color="auto" w:sz="4" w:space="0"/>
                  </w:tcBorders>
                  <w:noWrap w:val="0"/>
                  <w:vAlign w:val="center"/>
                </w:tcPr>
                <w:p>
                  <w:pPr>
                    <w:jc w:val="center"/>
                    <w:rPr>
                      <w:b/>
                      <w:color w:val="auto"/>
                      <w:szCs w:val="21"/>
                    </w:rPr>
                  </w:pPr>
                  <w:r>
                    <w:rPr>
                      <w:rFonts w:hint="eastAsia"/>
                      <w:b/>
                      <w:color w:val="auto"/>
                      <w:szCs w:val="21"/>
                    </w:rPr>
                    <w:t>排气筒底部中心坐标（</w:t>
                  </w:r>
                  <w:r>
                    <w:rPr>
                      <w:b/>
                      <w:color w:val="auto"/>
                      <w:szCs w:val="21"/>
                      <w:vertAlign w:val="superscript"/>
                    </w:rPr>
                    <w:t>o</w:t>
                  </w:r>
                  <w:r>
                    <w:rPr>
                      <w:rFonts w:hint="eastAsia"/>
                      <w:b/>
                      <w:color w:val="auto"/>
                      <w:szCs w:val="21"/>
                    </w:rPr>
                    <w:t>）</w:t>
                  </w:r>
                </w:p>
              </w:tc>
              <w:tc>
                <w:tcPr>
                  <w:tcW w:w="286" w:type="pct"/>
                  <w:gridSpan w:val="2"/>
                  <w:tcBorders>
                    <w:left w:val="single" w:color="auto" w:sz="4" w:space="0"/>
                  </w:tcBorders>
                  <w:noWrap w:val="0"/>
                  <w:vAlign w:val="center"/>
                </w:tcPr>
                <w:p>
                  <w:pPr>
                    <w:jc w:val="center"/>
                    <w:rPr>
                      <w:b/>
                      <w:color w:val="auto"/>
                      <w:szCs w:val="21"/>
                    </w:rPr>
                  </w:pPr>
                  <w:r>
                    <w:rPr>
                      <w:b/>
                      <w:color w:val="auto"/>
                      <w:szCs w:val="21"/>
                    </w:rPr>
                    <w:t>排气筒</w:t>
                  </w:r>
                  <w:r>
                    <w:rPr>
                      <w:rFonts w:hint="eastAsia"/>
                      <w:b/>
                      <w:color w:val="auto"/>
                      <w:szCs w:val="21"/>
                    </w:rPr>
                    <w:t>参数</w:t>
                  </w:r>
                </w:p>
              </w:tc>
              <w:tc>
                <w:tcPr>
                  <w:tcW w:w="341" w:type="pct"/>
                  <w:vMerge w:val="restart"/>
                  <w:noWrap w:val="0"/>
                  <w:vAlign w:val="center"/>
                </w:tcPr>
                <w:p>
                  <w:pPr>
                    <w:jc w:val="center"/>
                    <w:rPr>
                      <w:b/>
                      <w:color w:val="auto"/>
                      <w:szCs w:val="21"/>
                    </w:rPr>
                  </w:pPr>
                  <w:r>
                    <w:rPr>
                      <w:b/>
                      <w:color w:val="auto"/>
                      <w:szCs w:val="21"/>
                    </w:rPr>
                    <w:t>废气温度（</w:t>
                  </w:r>
                  <w:r>
                    <w:rPr>
                      <w:rFonts w:hint="eastAsia"/>
                      <w:b/>
                      <w:color w:val="auto"/>
                      <w:szCs w:val="21"/>
                    </w:rPr>
                    <w:t>K</w:t>
                  </w:r>
                  <w:r>
                    <w:rPr>
                      <w:b/>
                      <w:color w:val="auto"/>
                      <w:szCs w:val="21"/>
                    </w:rPr>
                    <w:t>）</w:t>
                  </w:r>
                </w:p>
              </w:tc>
              <w:tc>
                <w:tcPr>
                  <w:tcW w:w="351" w:type="pct"/>
                  <w:vMerge w:val="restart"/>
                  <w:noWrap w:val="0"/>
                  <w:vAlign w:val="center"/>
                </w:tcPr>
                <w:p>
                  <w:pPr>
                    <w:jc w:val="center"/>
                    <w:rPr>
                      <w:rFonts w:hint="eastAsia"/>
                      <w:b/>
                      <w:color w:val="auto"/>
                      <w:szCs w:val="21"/>
                    </w:rPr>
                  </w:pPr>
                  <w:r>
                    <w:rPr>
                      <w:rFonts w:hint="eastAsia"/>
                      <w:b/>
                      <w:color w:val="auto"/>
                      <w:szCs w:val="21"/>
                    </w:rPr>
                    <w:t>年排放小时数（小时）</w:t>
                  </w:r>
                </w:p>
              </w:tc>
              <w:tc>
                <w:tcPr>
                  <w:tcW w:w="468" w:type="pct"/>
                  <w:vMerge w:val="restart"/>
                  <w:tcBorders>
                    <w:right w:val="single" w:color="auto" w:sz="4" w:space="0"/>
                  </w:tcBorders>
                  <w:noWrap w:val="0"/>
                  <w:vAlign w:val="center"/>
                </w:tcPr>
                <w:p>
                  <w:pPr>
                    <w:spacing w:line="280" w:lineRule="exact"/>
                    <w:jc w:val="center"/>
                    <w:rPr>
                      <w:rFonts w:hint="eastAsia"/>
                      <w:b/>
                      <w:color w:val="auto"/>
                      <w:szCs w:val="21"/>
                    </w:rPr>
                  </w:pPr>
                  <w:r>
                    <w:rPr>
                      <w:b/>
                      <w:color w:val="auto"/>
                      <w:szCs w:val="21"/>
                    </w:rPr>
                    <w:t>废气量</w:t>
                  </w:r>
                  <w:r>
                    <w:rPr>
                      <w:rFonts w:hint="eastAsia"/>
                      <w:b/>
                      <w:color w:val="auto"/>
                      <w:szCs w:val="21"/>
                    </w:rPr>
                    <w:t>（Nm</w:t>
                  </w:r>
                  <w:r>
                    <w:rPr>
                      <w:rFonts w:hint="eastAsia"/>
                      <w:b/>
                      <w:color w:val="auto"/>
                      <w:szCs w:val="21"/>
                      <w:vertAlign w:val="superscript"/>
                    </w:rPr>
                    <w:t>3</w:t>
                  </w:r>
                  <w:r>
                    <w:rPr>
                      <w:rFonts w:hint="eastAsia"/>
                      <w:b/>
                      <w:color w:val="auto"/>
                      <w:szCs w:val="21"/>
                    </w:rPr>
                    <w:t>/h）</w:t>
                  </w:r>
                </w:p>
              </w:tc>
              <w:tc>
                <w:tcPr>
                  <w:tcW w:w="424" w:type="pct"/>
                  <w:vMerge w:val="restart"/>
                  <w:tcBorders>
                    <w:left w:val="single" w:color="auto" w:sz="4" w:space="0"/>
                    <w:right w:val="single" w:color="auto" w:sz="4" w:space="0"/>
                  </w:tcBorders>
                  <w:noWrap w:val="0"/>
                  <w:vAlign w:val="center"/>
                </w:tcPr>
                <w:p>
                  <w:pPr>
                    <w:spacing w:line="280" w:lineRule="exact"/>
                    <w:jc w:val="center"/>
                    <w:rPr>
                      <w:b/>
                      <w:color w:val="auto"/>
                      <w:szCs w:val="21"/>
                    </w:rPr>
                  </w:pPr>
                  <w:r>
                    <w:rPr>
                      <w:rFonts w:hint="eastAsia"/>
                      <w:b/>
                      <w:color w:val="auto"/>
                      <w:szCs w:val="21"/>
                    </w:rPr>
                    <w:t>烟气流速</w:t>
                  </w:r>
                  <w:r>
                    <w:rPr>
                      <w:b/>
                      <w:color w:val="auto"/>
                      <w:szCs w:val="21"/>
                    </w:rPr>
                    <w:t>（</w:t>
                  </w:r>
                  <w:r>
                    <w:rPr>
                      <w:rFonts w:hint="eastAsia"/>
                      <w:b/>
                      <w:color w:val="auto"/>
                      <w:szCs w:val="21"/>
                    </w:rPr>
                    <w:t>m/s</w:t>
                  </w:r>
                  <w:r>
                    <w:rPr>
                      <w:b/>
                      <w:color w:val="auto"/>
                      <w:szCs w:val="21"/>
                    </w:rPr>
                    <w:t>）</w:t>
                  </w:r>
                </w:p>
              </w:tc>
              <w:tc>
                <w:tcPr>
                  <w:tcW w:w="1066" w:type="pct"/>
                  <w:gridSpan w:val="4"/>
                  <w:tcBorders>
                    <w:left w:val="single" w:color="auto" w:sz="4" w:space="0"/>
                  </w:tcBorders>
                  <w:noWrap w:val="0"/>
                  <w:vAlign w:val="center"/>
                </w:tcPr>
                <w:p>
                  <w:pPr>
                    <w:jc w:val="center"/>
                    <w:rPr>
                      <w:rFonts w:hint="eastAsia"/>
                      <w:b/>
                      <w:color w:val="auto"/>
                      <w:szCs w:val="21"/>
                    </w:rPr>
                  </w:pPr>
                  <w:r>
                    <w:rPr>
                      <w:b/>
                      <w:color w:val="auto"/>
                      <w:szCs w:val="21"/>
                    </w:rPr>
                    <w:t>评价因子源强（kg/h）</w:t>
                  </w:r>
                </w:p>
              </w:tc>
              <w:tc>
                <w:tcPr>
                  <w:tcW w:w="126" w:type="pct"/>
                  <w:vMerge w:val="restart"/>
                  <w:noWrap w:val="0"/>
                  <w:vAlign w:val="center"/>
                </w:tcPr>
                <w:p>
                  <w:pPr>
                    <w:jc w:val="center"/>
                    <w:rPr>
                      <w:rFonts w:hint="eastAsia"/>
                      <w:b/>
                      <w:color w:val="auto"/>
                      <w:szCs w:val="21"/>
                    </w:rPr>
                  </w:pPr>
                  <w:r>
                    <w:rPr>
                      <w:rFonts w:hint="eastAsia"/>
                      <w:b/>
                      <w:color w:val="auto"/>
                      <w:szCs w:val="21"/>
                    </w:rPr>
                    <w:t>排放口类型</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188" w:hRule="atLeast"/>
                <w:jc w:val="center"/>
              </w:trPr>
              <w:tc>
                <w:tcPr>
                  <w:tcW w:w="357" w:type="pct"/>
                  <w:vMerge w:val="continue"/>
                  <w:noWrap w:val="0"/>
                  <w:vAlign w:val="center"/>
                </w:tcPr>
                <w:p>
                  <w:pPr>
                    <w:jc w:val="center"/>
                    <w:rPr>
                      <w:b/>
                      <w:color w:val="auto"/>
                      <w:szCs w:val="21"/>
                    </w:rPr>
                  </w:pPr>
                </w:p>
              </w:tc>
              <w:tc>
                <w:tcPr>
                  <w:tcW w:w="194" w:type="pct"/>
                  <w:vMerge w:val="continue"/>
                  <w:noWrap w:val="0"/>
                  <w:vAlign w:val="center"/>
                </w:tcPr>
                <w:p>
                  <w:pPr>
                    <w:jc w:val="center"/>
                    <w:rPr>
                      <w:b/>
                      <w:color w:val="auto"/>
                      <w:szCs w:val="21"/>
                    </w:rPr>
                  </w:pPr>
                </w:p>
              </w:tc>
              <w:tc>
                <w:tcPr>
                  <w:tcW w:w="692" w:type="pct"/>
                  <w:tcBorders>
                    <w:right w:val="single" w:color="auto" w:sz="4" w:space="0"/>
                  </w:tcBorders>
                  <w:noWrap w:val="0"/>
                  <w:vAlign w:val="center"/>
                </w:tcPr>
                <w:p>
                  <w:pPr>
                    <w:jc w:val="center"/>
                    <w:rPr>
                      <w:rFonts w:hint="eastAsia"/>
                      <w:b/>
                      <w:color w:val="auto"/>
                      <w:szCs w:val="21"/>
                    </w:rPr>
                  </w:pPr>
                  <w:r>
                    <w:rPr>
                      <w:rFonts w:hint="eastAsia"/>
                      <w:b/>
                      <w:color w:val="auto"/>
                      <w:szCs w:val="21"/>
                    </w:rPr>
                    <w:t>经度</w:t>
                  </w:r>
                </w:p>
              </w:tc>
              <w:tc>
                <w:tcPr>
                  <w:tcW w:w="691" w:type="pct"/>
                  <w:tcBorders>
                    <w:left w:val="single" w:color="auto" w:sz="4" w:space="0"/>
                    <w:right w:val="single" w:color="auto" w:sz="4" w:space="0"/>
                  </w:tcBorders>
                  <w:noWrap w:val="0"/>
                  <w:vAlign w:val="center"/>
                </w:tcPr>
                <w:p>
                  <w:pPr>
                    <w:jc w:val="center"/>
                    <w:rPr>
                      <w:rFonts w:hint="eastAsia"/>
                      <w:b/>
                      <w:color w:val="auto"/>
                      <w:szCs w:val="21"/>
                    </w:rPr>
                  </w:pPr>
                  <w:r>
                    <w:rPr>
                      <w:rFonts w:hint="eastAsia"/>
                      <w:b/>
                      <w:color w:val="auto"/>
                      <w:szCs w:val="21"/>
                    </w:rPr>
                    <w:t>纬度</w:t>
                  </w:r>
                </w:p>
              </w:tc>
              <w:tc>
                <w:tcPr>
                  <w:tcW w:w="127" w:type="pct"/>
                  <w:tcBorders>
                    <w:left w:val="single" w:color="auto" w:sz="4" w:space="0"/>
                  </w:tcBorders>
                  <w:noWrap w:val="0"/>
                  <w:vAlign w:val="center"/>
                </w:tcPr>
                <w:p>
                  <w:pPr>
                    <w:jc w:val="center"/>
                    <w:rPr>
                      <w:b/>
                      <w:color w:val="auto"/>
                      <w:szCs w:val="21"/>
                    </w:rPr>
                  </w:pPr>
                  <w:r>
                    <w:rPr>
                      <w:rFonts w:hint="eastAsia"/>
                      <w:b/>
                      <w:color w:val="auto"/>
                      <w:szCs w:val="21"/>
                    </w:rPr>
                    <w:t>高度m</w:t>
                  </w:r>
                </w:p>
              </w:tc>
              <w:tc>
                <w:tcPr>
                  <w:tcW w:w="159" w:type="pct"/>
                  <w:noWrap w:val="0"/>
                  <w:vAlign w:val="center"/>
                </w:tcPr>
                <w:p>
                  <w:pPr>
                    <w:jc w:val="center"/>
                    <w:rPr>
                      <w:b/>
                      <w:color w:val="auto"/>
                      <w:szCs w:val="21"/>
                    </w:rPr>
                  </w:pPr>
                  <w:r>
                    <w:rPr>
                      <w:rFonts w:hint="eastAsia"/>
                      <w:b/>
                      <w:color w:val="auto"/>
                      <w:szCs w:val="21"/>
                    </w:rPr>
                    <w:t>内径m</w:t>
                  </w:r>
                </w:p>
              </w:tc>
              <w:tc>
                <w:tcPr>
                  <w:tcW w:w="341" w:type="pct"/>
                  <w:vMerge w:val="continue"/>
                  <w:noWrap w:val="0"/>
                  <w:vAlign w:val="center"/>
                </w:tcPr>
                <w:p>
                  <w:pPr>
                    <w:jc w:val="center"/>
                    <w:rPr>
                      <w:b/>
                      <w:color w:val="auto"/>
                      <w:szCs w:val="21"/>
                    </w:rPr>
                  </w:pPr>
                </w:p>
              </w:tc>
              <w:tc>
                <w:tcPr>
                  <w:tcW w:w="351" w:type="pct"/>
                  <w:vMerge w:val="continue"/>
                  <w:noWrap w:val="0"/>
                  <w:vAlign w:val="center"/>
                </w:tcPr>
                <w:p>
                  <w:pPr>
                    <w:jc w:val="center"/>
                    <w:rPr>
                      <w:b/>
                      <w:color w:val="auto"/>
                      <w:szCs w:val="21"/>
                    </w:rPr>
                  </w:pPr>
                </w:p>
              </w:tc>
              <w:tc>
                <w:tcPr>
                  <w:tcW w:w="468" w:type="pct"/>
                  <w:vMerge w:val="continue"/>
                  <w:tcBorders>
                    <w:right w:val="single" w:color="auto" w:sz="4" w:space="0"/>
                  </w:tcBorders>
                  <w:noWrap w:val="0"/>
                  <w:vAlign w:val="center"/>
                </w:tcPr>
                <w:p>
                  <w:pPr>
                    <w:jc w:val="center"/>
                    <w:rPr>
                      <w:b/>
                      <w:color w:val="auto"/>
                      <w:szCs w:val="21"/>
                    </w:rPr>
                  </w:pPr>
                </w:p>
              </w:tc>
              <w:tc>
                <w:tcPr>
                  <w:tcW w:w="424" w:type="pct"/>
                  <w:vMerge w:val="continue"/>
                  <w:tcBorders>
                    <w:left w:val="single" w:color="auto" w:sz="4" w:space="0"/>
                    <w:right w:val="single" w:color="auto" w:sz="4" w:space="0"/>
                  </w:tcBorders>
                  <w:noWrap w:val="0"/>
                  <w:vAlign w:val="center"/>
                </w:tcPr>
                <w:p>
                  <w:pPr>
                    <w:jc w:val="center"/>
                    <w:rPr>
                      <w:b/>
                      <w:color w:val="auto"/>
                      <w:szCs w:val="21"/>
                    </w:rPr>
                  </w:pPr>
                </w:p>
              </w:tc>
              <w:tc>
                <w:tcPr>
                  <w:tcW w:w="335" w:type="pct"/>
                  <w:tcBorders>
                    <w:left w:val="single" w:color="auto" w:sz="4" w:space="0"/>
                  </w:tcBorders>
                  <w:noWrap w:val="0"/>
                  <w:vAlign w:val="center"/>
                </w:tcPr>
                <w:p>
                  <w:pPr>
                    <w:jc w:val="center"/>
                    <w:rPr>
                      <w:b/>
                      <w:color w:val="auto"/>
                      <w:szCs w:val="21"/>
                    </w:rPr>
                  </w:pPr>
                  <w:r>
                    <w:rPr>
                      <w:rFonts w:hint="default"/>
                      <w:b/>
                      <w:color w:val="auto"/>
                      <w:szCs w:val="21"/>
                      <w:lang w:val="en-US" w:eastAsia="zh-CN"/>
                    </w:rPr>
                    <w:t>非甲烷总烃</w:t>
                  </w:r>
                </w:p>
              </w:tc>
              <w:tc>
                <w:tcPr>
                  <w:tcW w:w="298" w:type="pct"/>
                  <w:tcBorders>
                    <w:top w:val="single" w:color="auto" w:sz="4" w:space="0"/>
                  </w:tcBorders>
                  <w:noWrap w:val="0"/>
                  <w:vAlign w:val="center"/>
                </w:tcPr>
                <w:p>
                  <w:pPr>
                    <w:jc w:val="center"/>
                    <w:rPr>
                      <w:rFonts w:hint="eastAsia"/>
                      <w:b/>
                      <w:color w:val="auto"/>
                      <w:szCs w:val="21"/>
                    </w:rPr>
                  </w:pPr>
                  <w:r>
                    <w:rPr>
                      <w:rFonts w:hint="eastAsia"/>
                      <w:b/>
                      <w:color w:val="auto"/>
                      <w:szCs w:val="21"/>
                      <w:lang w:val="en-US" w:eastAsia="zh-CN"/>
                    </w:rPr>
                    <w:t>甲苯</w:t>
                  </w:r>
                </w:p>
              </w:tc>
              <w:tc>
                <w:tcPr>
                  <w:tcW w:w="235" w:type="pct"/>
                  <w:tcBorders>
                    <w:top w:val="single" w:color="auto" w:sz="4" w:space="0"/>
                    <w:right w:val="single" w:color="auto" w:sz="4" w:space="0"/>
                  </w:tcBorders>
                  <w:noWrap w:val="0"/>
                  <w:vAlign w:val="center"/>
                </w:tcPr>
                <w:p>
                  <w:pPr>
                    <w:jc w:val="center"/>
                    <w:rPr>
                      <w:rFonts w:hint="eastAsia"/>
                      <w:b/>
                      <w:color w:val="auto"/>
                      <w:szCs w:val="21"/>
                    </w:rPr>
                  </w:pPr>
                  <w:r>
                    <w:rPr>
                      <w:rFonts w:hint="eastAsia"/>
                      <w:b/>
                      <w:color w:val="auto"/>
                      <w:szCs w:val="21"/>
                      <w:lang w:val="en-US" w:eastAsia="zh-CN"/>
                    </w:rPr>
                    <w:t>甲醇</w:t>
                  </w:r>
                </w:p>
              </w:tc>
              <w:tc>
                <w:tcPr>
                  <w:tcW w:w="197" w:type="pct"/>
                  <w:tcBorders>
                    <w:top w:val="single" w:color="auto" w:sz="4" w:space="0"/>
                    <w:left w:val="single" w:color="auto" w:sz="4" w:space="0"/>
                  </w:tcBorders>
                  <w:noWrap w:val="0"/>
                  <w:vAlign w:val="center"/>
                </w:tcPr>
                <w:p>
                  <w:pPr>
                    <w:jc w:val="center"/>
                    <w:rPr>
                      <w:rFonts w:hint="eastAsia"/>
                      <w:b/>
                      <w:color w:val="auto"/>
                      <w:szCs w:val="21"/>
                      <w:lang w:val="en-US" w:eastAsia="zh-CN"/>
                    </w:rPr>
                  </w:pPr>
                  <w:r>
                    <w:rPr>
                      <w:rFonts w:hint="eastAsia"/>
                      <w:b/>
                      <w:color w:val="auto"/>
                      <w:szCs w:val="21"/>
                      <w:lang w:val="en-US" w:eastAsia="zh-CN"/>
                    </w:rPr>
                    <w:t>臭气浓度</w:t>
                  </w:r>
                </w:p>
              </w:tc>
              <w:tc>
                <w:tcPr>
                  <w:tcW w:w="126" w:type="pct"/>
                  <w:vMerge w:val="continue"/>
                  <w:noWrap w:val="0"/>
                  <w:vAlign w:val="center"/>
                </w:tcPr>
                <w:p>
                  <w:pPr>
                    <w:jc w:val="center"/>
                    <w:rPr>
                      <w:rFonts w:hint="eastAsia"/>
                      <w:b/>
                      <w:color w:val="auto"/>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01" w:hRule="atLeast"/>
                <w:jc w:val="center"/>
              </w:trPr>
              <w:tc>
                <w:tcPr>
                  <w:tcW w:w="357" w:type="pct"/>
                  <w:noWrap w:val="0"/>
                  <w:vAlign w:val="center"/>
                </w:tcPr>
                <w:p>
                  <w:pPr>
                    <w:jc w:val="center"/>
                    <w:rPr>
                      <w:rFonts w:hint="default" w:eastAsia="宋体"/>
                      <w:color w:val="auto"/>
                      <w:szCs w:val="21"/>
                      <w:lang w:val="en-US" w:eastAsia="zh-CN"/>
                    </w:rPr>
                  </w:pPr>
                  <w:r>
                    <w:rPr>
                      <w:color w:val="auto"/>
                      <w:szCs w:val="21"/>
                    </w:rPr>
                    <w:t>DA0</w:t>
                  </w:r>
                  <w:r>
                    <w:rPr>
                      <w:rFonts w:hint="eastAsia"/>
                      <w:color w:val="auto"/>
                      <w:szCs w:val="21"/>
                      <w:lang w:val="en-US" w:eastAsia="zh-CN"/>
                    </w:rPr>
                    <w:t>16</w:t>
                  </w:r>
                </w:p>
              </w:tc>
              <w:tc>
                <w:tcPr>
                  <w:tcW w:w="194" w:type="pct"/>
                  <w:noWrap w:val="0"/>
                  <w:vAlign w:val="center"/>
                </w:tcPr>
                <w:p>
                  <w:pPr>
                    <w:jc w:val="center"/>
                    <w:rPr>
                      <w:color w:val="auto"/>
                      <w:szCs w:val="21"/>
                    </w:rPr>
                  </w:pPr>
                  <w:r>
                    <w:rPr>
                      <w:rFonts w:hint="eastAsia"/>
                      <w:color w:val="auto"/>
                      <w:szCs w:val="21"/>
                      <w:lang w:eastAsia="zh-CN"/>
                    </w:rPr>
                    <w:t>危废暂存间</w:t>
                  </w:r>
                  <w:r>
                    <w:rPr>
                      <w:color w:val="auto"/>
                      <w:szCs w:val="21"/>
                    </w:rPr>
                    <w:t>排气筒</w:t>
                  </w:r>
                </w:p>
              </w:tc>
              <w:tc>
                <w:tcPr>
                  <w:tcW w:w="692" w:type="pct"/>
                  <w:tcBorders>
                    <w:right w:val="single" w:color="auto" w:sz="4" w:space="0"/>
                  </w:tcBorders>
                  <w:noWrap w:val="0"/>
                  <w:vAlign w:val="center"/>
                </w:tcPr>
                <w:p>
                  <w:pPr>
                    <w:jc w:val="center"/>
                    <w:rPr>
                      <w:color w:val="auto"/>
                      <w:szCs w:val="21"/>
                    </w:rPr>
                  </w:pPr>
                  <w:r>
                    <w:rPr>
                      <w:rFonts w:hint="eastAsia"/>
                      <w:color w:val="auto"/>
                      <w:szCs w:val="21"/>
                    </w:rPr>
                    <w:t>109°25'15.91"</w:t>
                  </w:r>
                </w:p>
              </w:tc>
              <w:tc>
                <w:tcPr>
                  <w:tcW w:w="691" w:type="pct"/>
                  <w:tcBorders>
                    <w:left w:val="single" w:color="auto" w:sz="4" w:space="0"/>
                    <w:right w:val="single" w:color="auto" w:sz="4" w:space="0"/>
                  </w:tcBorders>
                  <w:noWrap w:val="0"/>
                  <w:vAlign w:val="center"/>
                </w:tcPr>
                <w:p>
                  <w:pPr>
                    <w:jc w:val="center"/>
                    <w:rPr>
                      <w:color w:val="auto"/>
                      <w:szCs w:val="21"/>
                    </w:rPr>
                  </w:pPr>
                  <w:r>
                    <w:rPr>
                      <w:rFonts w:hint="eastAsia"/>
                      <w:color w:val="auto"/>
                      <w:szCs w:val="21"/>
                    </w:rPr>
                    <w:t>34°29'37.84"</w:t>
                  </w:r>
                </w:p>
              </w:tc>
              <w:tc>
                <w:tcPr>
                  <w:tcW w:w="127" w:type="pct"/>
                  <w:tcBorders>
                    <w:left w:val="single" w:color="auto" w:sz="4" w:space="0"/>
                  </w:tcBorders>
                  <w:noWrap w:val="0"/>
                  <w:vAlign w:val="center"/>
                </w:tcPr>
                <w:p>
                  <w:pPr>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7</w:t>
                  </w:r>
                </w:p>
              </w:tc>
              <w:tc>
                <w:tcPr>
                  <w:tcW w:w="159" w:type="pct"/>
                  <w:noWrap w:val="0"/>
                  <w:vAlign w:val="center"/>
                </w:tcPr>
                <w:p>
                  <w:pPr>
                    <w:jc w:val="center"/>
                    <w:rPr>
                      <w:rFonts w:hint="eastAsia" w:eastAsia="宋体"/>
                      <w:color w:val="auto"/>
                      <w:szCs w:val="21"/>
                      <w:lang w:eastAsia="zh-CN"/>
                    </w:rPr>
                  </w:pPr>
                  <w:r>
                    <w:rPr>
                      <w:color w:val="auto"/>
                      <w:szCs w:val="21"/>
                    </w:rPr>
                    <w:t>0.</w:t>
                  </w:r>
                  <w:r>
                    <w:rPr>
                      <w:rFonts w:hint="eastAsia"/>
                      <w:color w:val="auto"/>
                      <w:szCs w:val="21"/>
                      <w:lang w:val="en-US" w:eastAsia="zh-CN"/>
                    </w:rPr>
                    <w:t>4</w:t>
                  </w:r>
                </w:p>
              </w:tc>
              <w:tc>
                <w:tcPr>
                  <w:tcW w:w="341" w:type="pct"/>
                  <w:noWrap w:val="0"/>
                  <w:vAlign w:val="center"/>
                </w:tcPr>
                <w:p>
                  <w:pPr>
                    <w:jc w:val="center"/>
                    <w:rPr>
                      <w:color w:val="auto"/>
                      <w:szCs w:val="21"/>
                    </w:rPr>
                  </w:pPr>
                  <w:r>
                    <w:rPr>
                      <w:rFonts w:hint="eastAsia"/>
                      <w:color w:val="auto"/>
                      <w:szCs w:val="21"/>
                      <w:lang w:val="en-US" w:eastAsia="zh-CN"/>
                    </w:rPr>
                    <w:t>293</w:t>
                  </w:r>
                  <w:r>
                    <w:rPr>
                      <w:rFonts w:hint="eastAsia"/>
                      <w:color w:val="auto"/>
                      <w:szCs w:val="21"/>
                    </w:rPr>
                    <w:t>.15</w:t>
                  </w:r>
                </w:p>
              </w:tc>
              <w:tc>
                <w:tcPr>
                  <w:tcW w:w="351" w:type="pct"/>
                  <w:noWrap w:val="0"/>
                  <w:vAlign w:val="center"/>
                </w:tcPr>
                <w:p>
                  <w:pPr>
                    <w:jc w:val="center"/>
                    <w:rPr>
                      <w:rFonts w:hint="default" w:eastAsia="宋体"/>
                      <w:color w:val="auto"/>
                      <w:szCs w:val="21"/>
                      <w:lang w:val="en-US" w:eastAsia="zh-CN"/>
                    </w:rPr>
                  </w:pPr>
                  <w:r>
                    <w:rPr>
                      <w:rFonts w:hint="eastAsia"/>
                      <w:color w:val="auto"/>
                      <w:szCs w:val="21"/>
                      <w:lang w:val="en-US" w:eastAsia="zh-CN"/>
                    </w:rPr>
                    <w:t>8760</w:t>
                  </w:r>
                </w:p>
              </w:tc>
              <w:tc>
                <w:tcPr>
                  <w:tcW w:w="468" w:type="pct"/>
                  <w:tcBorders>
                    <w:right w:val="single" w:color="auto" w:sz="4" w:space="0"/>
                  </w:tcBorders>
                  <w:noWrap w:val="0"/>
                  <w:vAlign w:val="center"/>
                </w:tcPr>
                <w:p>
                  <w:pPr>
                    <w:jc w:val="center"/>
                    <w:rPr>
                      <w:rFonts w:hint="default"/>
                      <w:color w:val="auto"/>
                      <w:szCs w:val="21"/>
                      <w:highlight w:val="none"/>
                      <w:lang w:val="en-US"/>
                    </w:rPr>
                  </w:pPr>
                  <w:r>
                    <w:rPr>
                      <w:rFonts w:hint="eastAsia"/>
                      <w:color w:val="auto"/>
                      <w:szCs w:val="21"/>
                      <w:highlight w:val="none"/>
                      <w:lang w:val="en-US" w:eastAsia="zh-CN"/>
                    </w:rPr>
                    <w:t>7915</w:t>
                  </w:r>
                </w:p>
              </w:tc>
              <w:tc>
                <w:tcPr>
                  <w:tcW w:w="424" w:type="pct"/>
                  <w:tcBorders>
                    <w:left w:val="single" w:color="auto" w:sz="4" w:space="0"/>
                  </w:tcBorders>
                  <w:noWrap w:val="0"/>
                  <w:vAlign w:val="center"/>
                </w:tcPr>
                <w:p>
                  <w:pPr>
                    <w:jc w:val="center"/>
                    <w:rPr>
                      <w:rFonts w:hint="default"/>
                      <w:color w:val="auto"/>
                      <w:szCs w:val="21"/>
                      <w:highlight w:val="none"/>
                      <w:lang w:val="en-US"/>
                    </w:rPr>
                  </w:pPr>
                  <w:r>
                    <w:rPr>
                      <w:rFonts w:hint="eastAsia" w:cs="Times New Roman"/>
                      <w:color w:val="auto"/>
                      <w:szCs w:val="21"/>
                      <w:highlight w:val="none"/>
                      <w:lang w:val="en-US" w:eastAsia="zh-CN"/>
                    </w:rPr>
                    <w:t>17.49</w:t>
                  </w:r>
                </w:p>
              </w:tc>
              <w:tc>
                <w:tcPr>
                  <w:tcW w:w="335" w:type="pct"/>
                  <w:tcBorders>
                    <w:left w:val="single" w:color="auto" w:sz="4" w:space="0"/>
                  </w:tcBorders>
                  <w:noWrap w:val="0"/>
                  <w:vAlign w:val="center"/>
                </w:tcPr>
                <w:p>
                  <w:pPr>
                    <w:jc w:val="center"/>
                    <w:rPr>
                      <w:rFonts w:hint="default"/>
                      <w:color w:val="auto"/>
                      <w:szCs w:val="21"/>
                      <w:highlight w:val="yellow"/>
                      <w:lang w:val="en-US"/>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17</w:t>
                  </w:r>
                </w:p>
              </w:tc>
              <w:tc>
                <w:tcPr>
                  <w:tcW w:w="298" w:type="pct"/>
                  <w:tcBorders>
                    <w:left w:val="single" w:color="auto" w:sz="4" w:space="0"/>
                  </w:tcBorders>
                  <w:noWrap w:val="0"/>
                  <w:vAlign w:val="center"/>
                </w:tcPr>
                <w:p>
                  <w:pPr>
                    <w:jc w:val="center"/>
                    <w:rPr>
                      <w:rFonts w:hint="eastAsia"/>
                      <w:color w:val="auto"/>
                      <w:szCs w:val="21"/>
                      <w:highlight w:val="yellow"/>
                    </w:rPr>
                  </w:pPr>
                  <w:r>
                    <w:rPr>
                      <w:rFonts w:hint="eastAsia" w:ascii="Times New Roman" w:hAnsi="Times New Roman" w:eastAsia="宋体" w:cs="Times New Roman"/>
                      <w:color w:val="auto"/>
                      <w:szCs w:val="21"/>
                      <w:highlight w:val="none"/>
                      <w:lang w:val="en-US" w:eastAsia="zh-CN"/>
                    </w:rPr>
                    <w:t>3.3</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eastAsia="宋体" w:cs="Times New Roman"/>
                      <w:color w:val="auto"/>
                      <w:szCs w:val="21"/>
                      <w:highlight w:val="none"/>
                      <w:vertAlign w:val="superscript"/>
                      <w:lang w:val="en-US" w:eastAsia="zh-CN"/>
                    </w:rPr>
                    <w:t>3</w:t>
                  </w:r>
                </w:p>
              </w:tc>
              <w:tc>
                <w:tcPr>
                  <w:tcW w:w="235" w:type="pct"/>
                  <w:tcBorders>
                    <w:left w:val="single" w:color="auto" w:sz="4" w:space="0"/>
                    <w:right w:val="single" w:color="auto" w:sz="4" w:space="0"/>
                  </w:tcBorders>
                  <w:noWrap w:val="0"/>
                  <w:vAlign w:val="center"/>
                </w:tcPr>
                <w:p>
                  <w:pPr>
                    <w:jc w:val="center"/>
                    <w:rPr>
                      <w:rFonts w:hint="eastAsia"/>
                      <w:color w:val="auto"/>
                      <w:szCs w:val="21"/>
                      <w:highlight w:val="yellow"/>
                    </w:rPr>
                  </w:pPr>
                  <w:r>
                    <w:rPr>
                      <w:rFonts w:hint="eastAsia" w:cs="Times New Roman"/>
                      <w:color w:val="auto"/>
                      <w:kern w:val="0"/>
                      <w:szCs w:val="21"/>
                      <w:highlight w:val="none"/>
                      <w:lang w:val="en-US" w:eastAsia="zh-CN"/>
                    </w:rPr>
                    <w:t>3.98</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cs="Times New Roman"/>
                      <w:color w:val="auto"/>
                      <w:szCs w:val="21"/>
                      <w:highlight w:val="none"/>
                      <w:vertAlign w:val="superscript"/>
                      <w:lang w:val="en-US" w:eastAsia="zh-CN"/>
                    </w:rPr>
                    <w:t>2</w:t>
                  </w:r>
                </w:p>
              </w:tc>
              <w:tc>
                <w:tcPr>
                  <w:tcW w:w="197" w:type="pct"/>
                  <w:tcBorders>
                    <w:left w:val="single" w:color="auto" w:sz="4" w:space="0"/>
                  </w:tcBorders>
                  <w:noWrap w:val="0"/>
                  <w:vAlign w:val="center"/>
                </w:tcPr>
                <w:p>
                  <w:pPr>
                    <w:jc w:val="center"/>
                    <w:rPr>
                      <w:rFonts w:hint="eastAsia" w:eastAsia="宋体"/>
                      <w:color w:val="auto"/>
                      <w:lang w:val="en-US" w:eastAsia="zh-CN"/>
                    </w:rPr>
                  </w:pPr>
                  <w:r>
                    <w:rPr>
                      <w:rFonts w:hint="eastAsia"/>
                      <w:color w:val="auto"/>
                      <w:lang w:val="en-US" w:eastAsia="zh-CN"/>
                    </w:rPr>
                    <w:t>/</w:t>
                  </w:r>
                </w:p>
              </w:tc>
              <w:tc>
                <w:tcPr>
                  <w:tcW w:w="126" w:type="pct"/>
                  <w:tcBorders>
                    <w:left w:val="single" w:color="auto" w:sz="4" w:space="0"/>
                  </w:tcBorders>
                  <w:noWrap w:val="0"/>
                  <w:vAlign w:val="center"/>
                </w:tcPr>
                <w:p>
                  <w:pPr>
                    <w:jc w:val="center"/>
                    <w:rPr>
                      <w:rFonts w:hint="eastAsia"/>
                      <w:color w:val="auto"/>
                      <w:szCs w:val="21"/>
                    </w:rPr>
                  </w:pPr>
                  <w:r>
                    <w:rPr>
                      <w:rFonts w:hint="eastAsia"/>
                      <w:color w:val="auto"/>
                      <w:szCs w:val="21"/>
                    </w:rPr>
                    <w:t>一般排放口</w:t>
                  </w:r>
                </w:p>
              </w:tc>
            </w:tr>
          </w:tbl>
          <w:p>
            <w:pPr>
              <w:pStyle w:val="96"/>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highlight w:val="none"/>
              </w:rPr>
            </w:pPr>
            <w:r>
              <w:rPr>
                <w:rFonts w:hint="eastAsia"/>
                <w:b w:val="0"/>
                <w:bCs/>
                <w:color w:val="auto"/>
                <w:sz w:val="24"/>
                <w:szCs w:val="24"/>
                <w:highlight w:val="none"/>
              </w:rPr>
              <w:t>②</w:t>
            </w:r>
            <w:r>
              <w:rPr>
                <w:rFonts w:hint="eastAsia"/>
                <w:b w:val="0"/>
                <w:bCs/>
                <w:color w:val="auto"/>
                <w:sz w:val="24"/>
                <w:szCs w:val="24"/>
                <w:highlight w:val="none"/>
                <w:lang w:eastAsia="zh-CN"/>
              </w:rPr>
              <w:t>废气</w:t>
            </w:r>
            <w:r>
              <w:rPr>
                <w:rFonts w:hint="eastAsia"/>
                <w:b w:val="0"/>
                <w:bCs/>
                <w:color w:val="auto"/>
                <w:sz w:val="24"/>
                <w:szCs w:val="24"/>
                <w:highlight w:val="none"/>
              </w:rPr>
              <w:t>治理技术可行性分析</w:t>
            </w:r>
          </w:p>
          <w:p>
            <w:pPr>
              <w:pStyle w:val="96"/>
              <w:keepLines w:val="0"/>
              <w:pageBreakBefore w:val="0"/>
              <w:numPr>
                <w:ilvl w:val="0"/>
                <w:numId w:val="18"/>
              </w:numPr>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引风机风量可行性分析</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现有危废暂存间产生非甲烷总烃、甲苯、甲醇等挥发性有机物，经集气罩收集（危废暂存间封闭管理）+经活性炭吸附装置处理，由17m高排气筒排放，根据本次监测数据，污染物均达标排放。现有危废暂存间配套的引风机设计风量为10000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/h， 根据实际测量计算，建筑面积为44.5m</w:t>
            </w:r>
            <w:r>
              <w:rPr>
                <w:rFonts w:hint="eastAsia"/>
                <w:b w:val="0"/>
                <w:bCs/>
                <w:color w:val="auto"/>
                <w:sz w:val="24"/>
                <w:szCs w:val="24"/>
                <w:highlight w:val="none"/>
                <w:vertAlign w:val="superscript"/>
                <w:lang w:val="en-US" w:eastAsia="zh-CN"/>
              </w:rPr>
              <w:t>2</w:t>
            </w:r>
            <w:r>
              <w:rPr>
                <w:rFonts w:hint="eastAsia"/>
                <w:b w:val="0"/>
                <w:bCs/>
                <w:color w:val="auto"/>
                <w:sz w:val="24"/>
                <w:szCs w:val="24"/>
                <w:highlight w:val="none"/>
                <w:lang w:val="en-US" w:eastAsia="zh-CN"/>
              </w:rPr>
              <w:t>，高度为4.5m，体积为200m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。本次扩建危废暂存间建筑面积为83.5m</w:t>
            </w:r>
            <w:r>
              <w:rPr>
                <w:rFonts w:hint="eastAsia"/>
                <w:b w:val="0"/>
                <w:bCs/>
                <w:color w:val="auto"/>
                <w:sz w:val="24"/>
                <w:szCs w:val="24"/>
                <w:highlight w:val="none"/>
                <w:vertAlign w:val="superscript"/>
                <w:lang w:val="en-US" w:eastAsia="zh-CN"/>
              </w:rPr>
              <w:t>2</w:t>
            </w:r>
            <w:r>
              <w:rPr>
                <w:rFonts w:hint="eastAsia"/>
                <w:b w:val="0"/>
                <w:bCs/>
                <w:color w:val="auto"/>
                <w:sz w:val="24"/>
                <w:szCs w:val="24"/>
                <w:highlight w:val="none"/>
                <w:lang w:val="en-US" w:eastAsia="zh-CN"/>
              </w:rPr>
              <w:t>，高度为4.5m，体积为376m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。扩建完成后，扩建危废暂存间与现有的危废暂存间一起用于存储渭南高新区海泰新型电子材料有限责任公司危险废物，现有危废暂存间和扩建危废暂存间总面积128m</w:t>
            </w:r>
            <w:r>
              <w:rPr>
                <w:rFonts w:hint="eastAsia"/>
                <w:b w:val="0"/>
                <w:bCs/>
                <w:color w:val="auto"/>
                <w:sz w:val="24"/>
                <w:szCs w:val="24"/>
                <w:highlight w:val="none"/>
                <w:vertAlign w:val="superscript"/>
                <w:lang w:val="en-US" w:eastAsia="zh-CN"/>
              </w:rPr>
              <w:t>2</w:t>
            </w:r>
            <w:r>
              <w:rPr>
                <w:rFonts w:hint="eastAsia"/>
                <w:b w:val="0"/>
                <w:bCs/>
                <w:color w:val="auto"/>
                <w:sz w:val="24"/>
                <w:szCs w:val="24"/>
                <w:highlight w:val="none"/>
                <w:lang w:val="en-US" w:eastAsia="zh-CN"/>
              </w:rPr>
              <w:t>，总体积为576m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引风机风量核算：</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position w:val="-10"/>
                <w:sz w:val="24"/>
                <w:szCs w:val="24"/>
                <w:highlight w:val="none"/>
                <w:lang w:val="en-US" w:eastAsia="zh-CN"/>
              </w:rPr>
              <w:object>
                <v:shape id="_x0000_i1025" o:spt="75" type="#_x0000_t75" style="height:23.55pt;width:95.6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式中：Q-为风机风量；</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v-为建筑物体积（576m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n-为换气次数（8次，根据《化工企业采暖通风与空气调节设计规范》规定，事故排风和正常排风总量应不小于8次h）；</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N-为风机数量（1台）。</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default"/>
                <w:b w:val="0"/>
                <w:bCs/>
                <w:color w:val="auto"/>
                <w:sz w:val="24"/>
                <w:szCs w:val="24"/>
                <w:highlight w:val="none"/>
                <w:lang w:val="en-US" w:eastAsia="zh-CN"/>
              </w:rPr>
            </w:pPr>
            <w:r>
              <w:rPr>
                <w:rFonts w:hint="eastAsia"/>
                <w:b w:val="0"/>
                <w:bCs/>
                <w:color w:val="auto"/>
                <w:sz w:val="24"/>
                <w:szCs w:val="24"/>
                <w:highlight w:val="none"/>
                <w:lang w:val="en-US" w:eastAsia="zh-CN"/>
              </w:rPr>
              <w:t>本项目现有危废暂存间和扩建危废暂存间共用现有的1台风机和配套的环保设施，根据公式计算，需要的总风量为5530.55m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/h，小于现有风机的设计风量10000m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/h。因此，现有的风机风量可以满足现有危废暂存间和扩建危废暂存间总风量需求。</w:t>
            </w:r>
          </w:p>
          <w:p>
            <w:pPr>
              <w:pStyle w:val="96"/>
              <w:keepLines w:val="0"/>
              <w:pageBreakBefore w:val="0"/>
              <w:numPr>
                <w:ilvl w:val="0"/>
                <w:numId w:val="18"/>
              </w:numPr>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rPr>
            </w:pPr>
            <w:r>
              <w:rPr>
                <w:rFonts w:hint="eastAsia"/>
                <w:b w:val="0"/>
                <w:bCs/>
                <w:color w:val="auto"/>
                <w:sz w:val="24"/>
                <w:szCs w:val="24"/>
                <w:lang w:eastAsia="zh-CN"/>
              </w:rPr>
              <w:t>废气</w:t>
            </w:r>
            <w:r>
              <w:rPr>
                <w:rFonts w:hint="eastAsia"/>
                <w:b w:val="0"/>
                <w:bCs/>
                <w:color w:val="auto"/>
                <w:sz w:val="24"/>
                <w:szCs w:val="24"/>
              </w:rPr>
              <w:t>治理技术可行性分析</w:t>
            </w:r>
          </w:p>
          <w:p>
            <w:pPr>
              <w:pStyle w:val="96"/>
              <w:keepLines w:val="0"/>
              <w:pageBreakBefore w:val="0"/>
              <w:numPr>
                <w:ilvl w:val="0"/>
                <w:numId w:val="0"/>
              </w:numPr>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rPr>
            </w:pPr>
            <w:r>
              <w:rPr>
                <w:rFonts w:hint="eastAsia"/>
                <w:b w:val="0"/>
                <w:bCs/>
                <w:color w:val="auto"/>
                <w:sz w:val="24"/>
                <w:szCs w:val="24"/>
                <w:lang w:val="en-US" w:eastAsia="zh-CN"/>
              </w:rPr>
              <w:t>根据《排污许可证申请与核发技术规范-工业固体废物和危险废物治理》附录C废气治理可行技术参考表，未对危险废物（不含医疗废物）贮存环节建议可行性技术，活性炭吸附处理有机废气的可行性分析如下：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活性炭吸附装置：</w:t>
            </w:r>
            <w:r>
              <w:rPr>
                <w:rFonts w:hint="eastAsia" w:ascii="宋体" w:hAnsi="宋体" w:eastAsia="宋体" w:cs="宋体"/>
                <w:color w:val="auto"/>
                <w:kern w:val="0"/>
                <w:sz w:val="24"/>
                <w:szCs w:val="24"/>
                <w:lang w:val="en-US" w:eastAsia="zh-CN" w:bidi="ar"/>
              </w:rPr>
              <w:t>活性炭吸附法利用活性炭具有的吸附能力吸附有害成分而达到消除有害污染的目的。吸附法的优点在于去除效率高、能耗低、工艺成熟、脱附后溶剂可回收。吸附法其吸附效果主要取决于吸附剂性质、气相污染物种和吸附系统工艺条件（如操作温度、湿度等因素），因而吸附法的关键问题在于对吸附剂的选择。吸附剂要具有密集的细孔结构，内表面积大，吸附性能好，化学性质稳定，耐酸碱、耐水、耐高温高压，不宜破碎，对空气阻力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活性炭对废气吸附的特点：对于芳香族化合物的吸附优于对非芳香族化合物的吸附；对带有支键的烃类物的吸附优于对直链烃类物质的吸附；对有机物中含有无机集团物质的吸附总是低于不含无机基团的吸附；对分子量大和沸点高的化合物的吸附总是高于分子量小和沸点低的化合物的吸附；吸附物质浓度越高，吸附量也越高；吸附剂内表面积越大，吸附量越高。</w:t>
            </w:r>
          </w:p>
          <w:p>
            <w:pPr>
              <w:pStyle w:val="96"/>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lang w:val="en-US" w:eastAsia="zh-CN"/>
              </w:rPr>
            </w:pPr>
            <w:r>
              <w:rPr>
                <w:rFonts w:hint="eastAsia"/>
                <w:b w:val="0"/>
                <w:bCs/>
                <w:color w:val="auto"/>
                <w:sz w:val="24"/>
                <w:szCs w:val="24"/>
              </w:rPr>
              <w:t>本项目</w:t>
            </w:r>
            <w:r>
              <w:rPr>
                <w:rFonts w:hint="eastAsia"/>
                <w:b w:val="0"/>
                <w:bCs/>
                <w:color w:val="auto"/>
                <w:sz w:val="24"/>
                <w:szCs w:val="24"/>
                <w:lang w:eastAsia="zh-CN"/>
              </w:rPr>
              <w:t>废气</w:t>
            </w:r>
            <w:r>
              <w:rPr>
                <w:rFonts w:hint="eastAsia"/>
                <w:b w:val="0"/>
                <w:bCs/>
                <w:color w:val="auto"/>
                <w:sz w:val="24"/>
                <w:szCs w:val="24"/>
                <w:lang w:val="en-US" w:eastAsia="zh-CN"/>
              </w:rPr>
              <w:t>经集气罩收集（危废暂存间封闭管理）+经活性炭吸附装置处理，由17m高排气筒排放。根据本次环评污染源监测数据可知，</w:t>
            </w:r>
            <w:r>
              <w:rPr>
                <w:rFonts w:hint="eastAsia"/>
                <w:b w:val="0"/>
                <w:bCs/>
                <w:color w:val="auto"/>
                <w:sz w:val="24"/>
                <w:szCs w:val="24"/>
                <w:highlight w:val="none"/>
                <w:lang w:val="en-US" w:eastAsia="zh-CN"/>
              </w:rPr>
              <w:t>甲苯、非甲烷总烃有组监测结果均符合《大气污染物综合排放标准》（GB 16297-1996）表2中限值要求；</w:t>
            </w:r>
            <w:r>
              <w:rPr>
                <w:rFonts w:hint="eastAsia"/>
                <w:b w:val="0"/>
                <w:bCs/>
                <w:color w:val="auto"/>
                <w:sz w:val="24"/>
                <w:szCs w:val="24"/>
                <w:lang w:val="en-US" w:eastAsia="zh-CN"/>
              </w:rPr>
              <w:t>臭气浓度有组织监测结果符合《恶臭污染物排放标准》（GB 14554-93）表2中限值要求、甲醇监测结果符合《挥发性有机物排放控制标准》（DB61/ T1061-2017）中表1限值要求。</w:t>
            </w:r>
          </w:p>
          <w:p>
            <w:pPr>
              <w:pStyle w:val="96"/>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rPr>
            </w:pPr>
            <w:r>
              <w:rPr>
                <w:rFonts w:hint="eastAsia"/>
                <w:b w:val="0"/>
                <w:bCs/>
                <w:color w:val="auto"/>
                <w:sz w:val="24"/>
                <w:szCs w:val="24"/>
                <w:lang w:val="en-US" w:eastAsia="zh-CN"/>
              </w:rPr>
              <w:t>甲醇、非甲烷总烃无组织监测结果均符合《挥发性有机物排放控制标准》（DB61/ T1061-2017）中表3限值要求；臭气浓度监测结果符合《恶臭污染物排放标准》（GB 14554-93）中表1限值要求；甲苯监测结果符合《大气污染物综合排放标准》（GB 16297-1996）中表2新扩改建限值要求。</w:t>
            </w:r>
            <w:r>
              <w:rPr>
                <w:rFonts w:hint="eastAsia"/>
                <w:b w:val="0"/>
                <w:bCs/>
                <w:color w:val="auto"/>
                <w:sz w:val="24"/>
                <w:szCs w:val="24"/>
              </w:rPr>
              <w:t>废气治理技术属于污染防治可行技术。</w:t>
            </w:r>
          </w:p>
          <w:p>
            <w:pPr>
              <w:pStyle w:val="4"/>
              <w:keepLines w:val="0"/>
              <w:pageBreakBefore w:val="0"/>
              <w:kinsoku/>
              <w:wordWrap/>
              <w:overflowPunct/>
              <w:topLinePunct w:val="0"/>
              <w:autoSpaceDE/>
              <w:autoSpaceDN/>
              <w:bidi w:val="0"/>
              <w:adjustRightInd/>
              <w:spacing w:before="0" w:after="0" w:line="360" w:lineRule="auto"/>
              <w:ind w:firstLine="480" w:firstLineChars="200"/>
              <w:textAlignment w:val="auto"/>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color w:val="auto"/>
                <w:sz w:val="24"/>
                <w:szCs w:val="24"/>
              </w:rPr>
              <w:t>非正常工况</w:t>
            </w:r>
            <w:r>
              <w:rPr>
                <w:rFonts w:hint="eastAsia"/>
                <w:color w:val="auto"/>
                <w:sz w:val="24"/>
                <w:szCs w:val="24"/>
              </w:rPr>
              <w:t>影响分析：</w:t>
            </w:r>
          </w:p>
          <w:p>
            <w:pPr>
              <w:pStyle w:val="11"/>
              <w:keepLines w:val="0"/>
              <w:pageBreakBefore w:val="0"/>
              <w:kinsoku/>
              <w:wordWrap/>
              <w:overflowPunct/>
              <w:topLinePunct w:val="0"/>
              <w:autoSpaceDE/>
              <w:autoSpaceDN/>
              <w:bidi w:val="0"/>
              <w:adjustRightInd/>
              <w:spacing w:before="0" w:after="0" w:line="360" w:lineRule="auto"/>
              <w:ind w:right="0" w:firstLine="464" w:firstLineChars="200"/>
              <w:textAlignment w:val="auto"/>
              <w:rPr>
                <w:color w:val="auto"/>
                <w:sz w:val="24"/>
                <w:szCs w:val="24"/>
              </w:rPr>
            </w:pPr>
            <w:r>
              <w:rPr>
                <w:color w:val="auto"/>
                <w:spacing w:val="-4"/>
                <w:sz w:val="24"/>
                <w:szCs w:val="24"/>
              </w:rPr>
              <w:t>非正常工况排放指生产中开停车</w:t>
            </w:r>
            <w:r>
              <w:rPr>
                <w:color w:val="auto"/>
                <w:spacing w:val="-3"/>
                <w:sz w:val="24"/>
                <w:szCs w:val="24"/>
              </w:rPr>
              <w:t>（</w:t>
            </w:r>
            <w:r>
              <w:rPr>
                <w:color w:val="auto"/>
                <w:spacing w:val="-4"/>
                <w:sz w:val="24"/>
                <w:szCs w:val="24"/>
              </w:rPr>
              <w:t>工、炉</w:t>
            </w:r>
            <w:r>
              <w:rPr>
                <w:rFonts w:hint="eastAsia"/>
                <w:color w:val="auto"/>
                <w:spacing w:val="-4"/>
                <w:sz w:val="24"/>
                <w:szCs w:val="24"/>
              </w:rPr>
              <w:t>）</w:t>
            </w:r>
            <w:r>
              <w:rPr>
                <w:color w:val="auto"/>
                <w:spacing w:val="-5"/>
                <w:sz w:val="24"/>
                <w:szCs w:val="24"/>
              </w:rPr>
              <w:t>设备检修、工艺设备运转异常等非正常工</w:t>
            </w:r>
            <w:r>
              <w:rPr>
                <w:color w:val="auto"/>
                <w:spacing w:val="-4"/>
                <w:sz w:val="24"/>
                <w:szCs w:val="24"/>
              </w:rPr>
              <w:t>况下的污染物排放，以及污染排放控制措施达不到应有效率等情况下的排放。</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4"/>
              </w:rPr>
            </w:pPr>
            <w:r>
              <w:rPr>
                <w:rFonts w:hint="eastAsia"/>
                <w:color w:val="auto"/>
                <w:sz w:val="24"/>
                <w:szCs w:val="24"/>
                <w:lang w:eastAsia="zh-CN"/>
              </w:rPr>
              <w:t>危废暂存间环保设施</w:t>
            </w:r>
            <w:r>
              <w:rPr>
                <w:color w:val="auto"/>
                <w:sz w:val="24"/>
                <w:szCs w:val="24"/>
              </w:rPr>
              <w:t>出现故障，污染物直接排放定为非正常工况下的废气排放源强</w:t>
            </w:r>
            <w:r>
              <w:rPr>
                <w:rFonts w:hint="eastAsia"/>
                <w:color w:val="auto"/>
                <w:sz w:val="24"/>
                <w:szCs w:val="24"/>
              </w:rPr>
              <w:t>，废气超标排放，对大气环境产生污染影响</w:t>
            </w:r>
            <w:r>
              <w:rPr>
                <w:color w:val="auto"/>
                <w:sz w:val="24"/>
                <w:szCs w:val="24"/>
              </w:rPr>
              <w:t>。</w:t>
            </w:r>
          </w:p>
          <w:p>
            <w:pPr>
              <w:spacing w:line="480" w:lineRule="exact"/>
              <w:ind w:firstLine="482" w:firstLineChars="200"/>
              <w:jc w:val="center"/>
              <w:rPr>
                <w:b/>
                <w:bCs/>
                <w:color w:val="auto"/>
                <w:sz w:val="24"/>
              </w:rPr>
            </w:pPr>
            <w:r>
              <w:rPr>
                <w:b/>
                <w:bCs/>
                <w:color w:val="auto"/>
                <w:sz w:val="24"/>
              </w:rPr>
              <w:t>表</w:t>
            </w:r>
            <w:r>
              <w:rPr>
                <w:rFonts w:hint="eastAsia"/>
                <w:b/>
                <w:bCs/>
                <w:color w:val="auto"/>
                <w:sz w:val="24"/>
                <w:lang w:val="en-US" w:eastAsia="zh-CN"/>
              </w:rPr>
              <w:t xml:space="preserve">4-3 </w:t>
            </w:r>
            <w:r>
              <w:rPr>
                <w:b/>
                <w:bCs/>
                <w:color w:val="auto"/>
                <w:sz w:val="24"/>
              </w:rPr>
              <w:t xml:space="preserve"> 非正常排放废气排放情况</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500"/>
              <w:gridCol w:w="1172"/>
              <w:gridCol w:w="1465"/>
              <w:gridCol w:w="789"/>
              <w:gridCol w:w="910"/>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noWrap w:val="0"/>
                  <w:vAlign w:val="center"/>
                </w:tcPr>
                <w:p>
                  <w:pPr>
                    <w:jc w:val="center"/>
                    <w:rPr>
                      <w:b/>
                      <w:bCs/>
                      <w:color w:val="auto"/>
                    </w:rPr>
                  </w:pPr>
                  <w:r>
                    <w:rPr>
                      <w:b/>
                      <w:bCs/>
                      <w:color w:val="auto"/>
                    </w:rPr>
                    <w:t>非正常排放源</w:t>
                  </w:r>
                </w:p>
              </w:tc>
              <w:tc>
                <w:tcPr>
                  <w:tcW w:w="905" w:type="pct"/>
                  <w:noWrap w:val="0"/>
                  <w:vAlign w:val="center"/>
                </w:tcPr>
                <w:p>
                  <w:pPr>
                    <w:jc w:val="center"/>
                    <w:rPr>
                      <w:b/>
                      <w:bCs/>
                      <w:color w:val="auto"/>
                    </w:rPr>
                  </w:pPr>
                  <w:r>
                    <w:rPr>
                      <w:b/>
                      <w:bCs/>
                      <w:color w:val="auto"/>
                    </w:rPr>
                    <w:t>非正常排放原因</w:t>
                  </w:r>
                </w:p>
              </w:tc>
              <w:tc>
                <w:tcPr>
                  <w:tcW w:w="707" w:type="pct"/>
                  <w:noWrap w:val="0"/>
                  <w:vAlign w:val="center"/>
                </w:tcPr>
                <w:p>
                  <w:pPr>
                    <w:jc w:val="center"/>
                    <w:rPr>
                      <w:b/>
                      <w:bCs/>
                      <w:color w:val="auto"/>
                    </w:rPr>
                  </w:pPr>
                  <w:r>
                    <w:rPr>
                      <w:b/>
                      <w:bCs/>
                      <w:color w:val="auto"/>
                    </w:rPr>
                    <w:t>污染物</w:t>
                  </w:r>
                </w:p>
              </w:tc>
              <w:tc>
                <w:tcPr>
                  <w:tcW w:w="884" w:type="pct"/>
                  <w:noWrap w:val="0"/>
                  <w:vAlign w:val="center"/>
                </w:tcPr>
                <w:p>
                  <w:pPr>
                    <w:jc w:val="center"/>
                    <w:rPr>
                      <w:b/>
                      <w:bCs/>
                      <w:color w:val="auto"/>
                    </w:rPr>
                  </w:pPr>
                  <w:r>
                    <w:rPr>
                      <w:b/>
                      <w:bCs/>
                      <w:color w:val="auto"/>
                    </w:rPr>
                    <w:t>非正常排放浓度（mg/m</w:t>
                  </w:r>
                  <w:r>
                    <w:rPr>
                      <w:b/>
                      <w:bCs/>
                      <w:color w:val="auto"/>
                      <w:vertAlign w:val="superscript"/>
                    </w:rPr>
                    <w:t>3</w:t>
                  </w:r>
                  <w:r>
                    <w:rPr>
                      <w:b/>
                      <w:bCs/>
                      <w:color w:val="auto"/>
                    </w:rPr>
                    <w:t>）</w:t>
                  </w:r>
                </w:p>
              </w:tc>
              <w:tc>
                <w:tcPr>
                  <w:tcW w:w="476" w:type="pct"/>
                  <w:noWrap w:val="0"/>
                  <w:vAlign w:val="center"/>
                </w:tcPr>
                <w:p>
                  <w:pPr>
                    <w:jc w:val="center"/>
                    <w:rPr>
                      <w:b/>
                      <w:bCs/>
                      <w:color w:val="auto"/>
                    </w:rPr>
                  </w:pPr>
                  <w:r>
                    <w:rPr>
                      <w:b/>
                      <w:bCs/>
                      <w:color w:val="auto"/>
                    </w:rPr>
                    <w:t>持续时间/h</w:t>
                  </w:r>
                </w:p>
              </w:tc>
              <w:tc>
                <w:tcPr>
                  <w:tcW w:w="549" w:type="pct"/>
                  <w:noWrap w:val="0"/>
                  <w:vAlign w:val="center"/>
                </w:tcPr>
                <w:p>
                  <w:pPr>
                    <w:jc w:val="center"/>
                    <w:rPr>
                      <w:b/>
                      <w:bCs/>
                      <w:color w:val="auto"/>
                    </w:rPr>
                  </w:pPr>
                  <w:r>
                    <w:rPr>
                      <w:b/>
                      <w:bCs/>
                      <w:color w:val="auto"/>
                    </w:rPr>
                    <w:t>发生频次/年</w:t>
                  </w:r>
                </w:p>
              </w:tc>
              <w:tc>
                <w:tcPr>
                  <w:tcW w:w="731" w:type="pct"/>
                  <w:noWrap w:val="0"/>
                  <w:vAlign w:val="center"/>
                </w:tcPr>
                <w:p>
                  <w:pPr>
                    <w:jc w:val="center"/>
                    <w:rPr>
                      <w:b/>
                      <w:bCs/>
                      <w:color w:val="auto"/>
                    </w:rPr>
                  </w:pPr>
                  <w:r>
                    <w:rPr>
                      <w:b/>
                      <w:bCs/>
                      <w:color w:val="auto"/>
                    </w:rPr>
                    <w:t>非正常排放量</w:t>
                  </w:r>
                  <w:r>
                    <w:rPr>
                      <w:rFonts w:hint="eastAsia" w:cs="Times New Roman"/>
                      <w:b/>
                      <w:bCs/>
                      <w:color w:val="auto"/>
                      <w:sz w:val="21"/>
                      <w:szCs w:val="21"/>
                      <w:highlight w:val="none"/>
                      <w:lang w:val="en-US" w:eastAsia="zh-CN"/>
                    </w:rPr>
                    <w:t>kg</w:t>
                  </w:r>
                  <w:r>
                    <w:rPr>
                      <w:b/>
                      <w:bCs/>
                      <w:color w:val="auto"/>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44" w:type="pct"/>
                  <w:vMerge w:val="restart"/>
                  <w:noWrap w:val="0"/>
                  <w:vAlign w:val="center"/>
                </w:tcPr>
                <w:p>
                  <w:pPr>
                    <w:jc w:val="center"/>
                    <w:rPr>
                      <w:rFonts w:hint="eastAsia" w:eastAsia="宋体"/>
                      <w:color w:val="auto"/>
                      <w:lang w:eastAsia="zh-CN"/>
                    </w:rPr>
                  </w:pPr>
                  <w:r>
                    <w:rPr>
                      <w:rFonts w:hint="eastAsia"/>
                      <w:color w:val="auto"/>
                      <w:lang w:eastAsia="zh-CN"/>
                    </w:rPr>
                    <w:t>危废暂存间排气筒</w:t>
                  </w:r>
                </w:p>
              </w:tc>
              <w:tc>
                <w:tcPr>
                  <w:tcW w:w="905" w:type="pct"/>
                  <w:vMerge w:val="restart"/>
                  <w:noWrap w:val="0"/>
                  <w:vAlign w:val="center"/>
                </w:tcPr>
                <w:p>
                  <w:pPr>
                    <w:jc w:val="left"/>
                    <w:rPr>
                      <w:rFonts w:hint="eastAsia"/>
                      <w:color w:val="auto"/>
                      <w:lang w:val="en-US" w:eastAsia="zh-CN"/>
                    </w:rPr>
                  </w:pPr>
                  <w:r>
                    <w:rPr>
                      <w:rFonts w:hint="eastAsia"/>
                      <w:color w:val="auto"/>
                      <w:lang w:eastAsia="zh-CN"/>
                    </w:rPr>
                    <w:t>环保措施故障</w:t>
                  </w:r>
                  <w:r>
                    <w:rPr>
                      <w:rFonts w:hint="eastAsia"/>
                      <w:color w:val="auto"/>
                      <w:lang w:val="en-US" w:eastAsia="zh-CN"/>
                    </w:rPr>
                    <w:t xml:space="preserve">：现故障失效，处理效率 </w:t>
                  </w:r>
                </w:p>
                <w:p>
                  <w:pPr>
                    <w:jc w:val="left"/>
                    <w:rPr>
                      <w:rFonts w:hint="eastAsia"/>
                      <w:color w:val="auto"/>
                      <w:lang w:val="en-US" w:eastAsia="zh-CN"/>
                    </w:rPr>
                  </w:pPr>
                  <w:r>
                    <w:rPr>
                      <w:rFonts w:hint="eastAsia"/>
                      <w:color w:val="auto"/>
                      <w:lang w:val="en-US" w:eastAsia="zh-CN"/>
                    </w:rPr>
                    <w:t>为0%</w:t>
                  </w:r>
                </w:p>
                <w:p>
                  <w:pPr>
                    <w:jc w:val="center"/>
                    <w:rPr>
                      <w:rFonts w:hint="eastAsia" w:eastAsia="宋体"/>
                      <w:color w:val="auto"/>
                      <w:lang w:eastAsia="zh-CN"/>
                    </w:rPr>
                  </w:pPr>
                </w:p>
              </w:tc>
              <w:tc>
                <w:tcPr>
                  <w:tcW w:w="7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highlight w:val="none"/>
                      <w:lang w:val="en-US" w:eastAsia="zh-CN"/>
                    </w:rPr>
                    <w:t>非甲烷总烃</w:t>
                  </w:r>
                </w:p>
              </w:tc>
              <w:tc>
                <w:tcPr>
                  <w:tcW w:w="88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highlight w:val="none"/>
                      <w:lang w:val="en-US" w:eastAsia="zh-CN"/>
                    </w:rPr>
                  </w:pPr>
                  <w:r>
                    <w:rPr>
                      <w:rFonts w:hint="eastAsia" w:cs="Times New Roman"/>
                      <w:color w:val="auto"/>
                      <w:kern w:val="0"/>
                      <w:szCs w:val="21"/>
                      <w:highlight w:val="none"/>
                      <w:lang w:val="en-US" w:eastAsia="zh-CN"/>
                    </w:rPr>
                    <w:t>53.6</w:t>
                  </w:r>
                </w:p>
              </w:tc>
              <w:tc>
                <w:tcPr>
                  <w:tcW w:w="476" w:type="pct"/>
                  <w:noWrap w:val="0"/>
                  <w:vAlign w:val="center"/>
                </w:tcPr>
                <w:p>
                  <w:pPr>
                    <w:jc w:val="center"/>
                    <w:rPr>
                      <w:color w:val="auto"/>
                    </w:rPr>
                  </w:pPr>
                  <w:r>
                    <w:rPr>
                      <w:color w:val="auto"/>
                    </w:rPr>
                    <w:t>1</w:t>
                  </w:r>
                </w:p>
              </w:tc>
              <w:tc>
                <w:tcPr>
                  <w:tcW w:w="549" w:type="pct"/>
                  <w:noWrap w:val="0"/>
                  <w:vAlign w:val="center"/>
                </w:tcPr>
                <w:p>
                  <w:pPr>
                    <w:jc w:val="center"/>
                    <w:rPr>
                      <w:color w:val="auto"/>
                    </w:rPr>
                  </w:pPr>
                  <w:r>
                    <w:rPr>
                      <w:color w:val="auto"/>
                    </w:rPr>
                    <w:t>1</w:t>
                  </w:r>
                </w:p>
              </w:tc>
              <w:tc>
                <w:tcPr>
                  <w:tcW w:w="121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s="Times New Roman"/>
                      <w:color w:val="auto"/>
                      <w:sz w:val="21"/>
                      <w:szCs w:val="21"/>
                      <w:highlight w:val="none"/>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44" w:type="pct"/>
                  <w:vMerge w:val="continue"/>
                  <w:noWrap w:val="0"/>
                  <w:vAlign w:val="center"/>
                </w:tcPr>
                <w:p>
                  <w:pPr>
                    <w:jc w:val="center"/>
                    <w:rPr>
                      <w:color w:val="auto"/>
                    </w:rPr>
                  </w:pPr>
                </w:p>
              </w:tc>
              <w:tc>
                <w:tcPr>
                  <w:tcW w:w="905" w:type="pct"/>
                  <w:vMerge w:val="continue"/>
                  <w:noWrap w:val="0"/>
                  <w:vAlign w:val="center"/>
                </w:tcPr>
                <w:p>
                  <w:pPr>
                    <w:jc w:val="center"/>
                    <w:rPr>
                      <w:color w:val="auto"/>
                    </w:rPr>
                  </w:pPr>
                </w:p>
              </w:tc>
              <w:tc>
                <w:tcPr>
                  <w:tcW w:w="7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highlight w:val="none"/>
                      <w:lang w:val="en-US" w:eastAsia="zh-CN"/>
                    </w:rPr>
                    <w:t>甲苯</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rPr>
                  </w:pPr>
                  <w:r>
                    <w:rPr>
                      <w:rFonts w:hint="eastAsia" w:cs="Times New Roman"/>
                      <w:color w:val="auto"/>
                      <w:kern w:val="0"/>
                      <w:sz w:val="21"/>
                      <w:szCs w:val="21"/>
                      <w:highlight w:val="none"/>
                      <w:lang w:val="en-US" w:eastAsia="zh-CN" w:bidi="ar-SA"/>
                    </w:rPr>
                    <w:t>0.959</w:t>
                  </w:r>
                </w:p>
              </w:tc>
              <w:tc>
                <w:tcPr>
                  <w:tcW w:w="476" w:type="pct"/>
                  <w:noWrap w:val="0"/>
                  <w:vAlign w:val="center"/>
                </w:tcPr>
                <w:p>
                  <w:pPr>
                    <w:jc w:val="center"/>
                    <w:rPr>
                      <w:color w:val="auto"/>
                    </w:rPr>
                  </w:pPr>
                  <w:r>
                    <w:rPr>
                      <w:color w:val="auto"/>
                    </w:rPr>
                    <w:t>1</w:t>
                  </w:r>
                </w:p>
              </w:tc>
              <w:tc>
                <w:tcPr>
                  <w:tcW w:w="549" w:type="pct"/>
                  <w:noWrap w:val="0"/>
                  <w:vAlign w:val="center"/>
                </w:tcPr>
                <w:p>
                  <w:pPr>
                    <w:jc w:val="center"/>
                    <w:rPr>
                      <w:color w:val="auto"/>
                    </w:rPr>
                  </w:pPr>
                  <w:r>
                    <w:rPr>
                      <w:color w:val="auto"/>
                    </w:rPr>
                    <w:t>1</w:t>
                  </w:r>
                </w:p>
              </w:tc>
              <w:tc>
                <w:tcPr>
                  <w:tcW w:w="121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ascii="Times New Roman" w:hAnsi="Times New Roman" w:cs="Times New Roman"/>
                      <w:color w:val="auto"/>
                      <w:kern w:val="0"/>
                      <w:szCs w:val="21"/>
                      <w:lang w:val="en-US" w:eastAsia="zh-CN"/>
                    </w:rPr>
                    <w:t>6.21</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44" w:type="pct"/>
                  <w:vMerge w:val="continue"/>
                  <w:noWrap w:val="0"/>
                  <w:vAlign w:val="center"/>
                </w:tcPr>
                <w:p>
                  <w:pPr>
                    <w:jc w:val="center"/>
                    <w:rPr>
                      <w:color w:val="auto"/>
                    </w:rPr>
                  </w:pPr>
                </w:p>
              </w:tc>
              <w:tc>
                <w:tcPr>
                  <w:tcW w:w="905" w:type="pct"/>
                  <w:vMerge w:val="continue"/>
                  <w:noWrap w:val="0"/>
                  <w:vAlign w:val="center"/>
                </w:tcPr>
                <w:p>
                  <w:pPr>
                    <w:jc w:val="center"/>
                    <w:rPr>
                      <w:color w:val="auto"/>
                    </w:rPr>
                  </w:pPr>
                </w:p>
              </w:tc>
              <w:tc>
                <w:tcPr>
                  <w:tcW w:w="7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highlight w:val="none"/>
                      <w:lang w:val="en-US" w:eastAsia="zh-CN"/>
                    </w:rPr>
                    <w:t>甲醇</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highlight w:val="none"/>
                      <w:lang w:val="en-US" w:eastAsia="zh-CN"/>
                    </w:rPr>
                  </w:pPr>
                  <w:r>
                    <w:rPr>
                      <w:rFonts w:hint="eastAsia" w:cs="Times New Roman"/>
                      <w:color w:val="auto"/>
                      <w:kern w:val="0"/>
                      <w:sz w:val="21"/>
                      <w:szCs w:val="21"/>
                      <w:highlight w:val="none"/>
                      <w:lang w:val="en-US" w:eastAsia="zh-CN" w:bidi="ar-SA"/>
                    </w:rPr>
                    <w:t>12.4</w:t>
                  </w:r>
                </w:p>
              </w:tc>
              <w:tc>
                <w:tcPr>
                  <w:tcW w:w="476" w:type="pct"/>
                  <w:noWrap w:val="0"/>
                  <w:vAlign w:val="center"/>
                </w:tcPr>
                <w:p>
                  <w:pPr>
                    <w:jc w:val="center"/>
                    <w:rPr>
                      <w:color w:val="auto"/>
                    </w:rPr>
                  </w:pPr>
                </w:p>
              </w:tc>
              <w:tc>
                <w:tcPr>
                  <w:tcW w:w="549" w:type="pct"/>
                  <w:noWrap w:val="0"/>
                  <w:vAlign w:val="center"/>
                </w:tcPr>
                <w:p>
                  <w:pPr>
                    <w:jc w:val="center"/>
                    <w:rPr>
                      <w:color w:val="auto"/>
                    </w:rPr>
                  </w:pPr>
                </w:p>
              </w:tc>
              <w:tc>
                <w:tcPr>
                  <w:tcW w:w="121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rPr>
                  </w:pPr>
                  <w:r>
                    <w:rPr>
                      <w:rFonts w:hint="eastAsia" w:ascii="Times New Roman" w:hAnsi="Times New Roman" w:cs="Times New Roman"/>
                      <w:color w:val="auto"/>
                      <w:kern w:val="0"/>
                      <w:szCs w:val="21"/>
                      <w:lang w:val="en-US" w:eastAsia="zh-CN"/>
                    </w:rPr>
                    <w:t>7.94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744" w:type="pct"/>
                  <w:vMerge w:val="continue"/>
                  <w:noWrap w:val="0"/>
                  <w:vAlign w:val="center"/>
                </w:tcPr>
                <w:p>
                  <w:pPr>
                    <w:jc w:val="center"/>
                    <w:rPr>
                      <w:color w:val="auto"/>
                    </w:rPr>
                  </w:pPr>
                </w:p>
              </w:tc>
              <w:tc>
                <w:tcPr>
                  <w:tcW w:w="905" w:type="pct"/>
                  <w:vMerge w:val="continue"/>
                  <w:noWrap w:val="0"/>
                  <w:vAlign w:val="center"/>
                </w:tcPr>
                <w:p>
                  <w:pPr>
                    <w:jc w:val="center"/>
                    <w:rPr>
                      <w:color w:val="auto"/>
                    </w:rPr>
                  </w:pPr>
                </w:p>
              </w:tc>
              <w:tc>
                <w:tcPr>
                  <w:tcW w:w="7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highlight w:val="none"/>
                      <w:lang w:val="en-US" w:eastAsia="zh-CN"/>
                    </w:rPr>
                    <w:t>臭气浓度</w:t>
                  </w:r>
                </w:p>
              </w:tc>
              <w:tc>
                <w:tcPr>
                  <w:tcW w:w="88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highlight w:val="none"/>
                      <w:lang w:val="en-US" w:eastAsia="zh-CN"/>
                    </w:rPr>
                  </w:pPr>
                  <w:r>
                    <w:rPr>
                      <w:rFonts w:hint="eastAsia"/>
                      <w:color w:val="auto"/>
                      <w:sz w:val="21"/>
                      <w:szCs w:val="21"/>
                      <w:highlight w:val="none"/>
                      <w:lang w:val="en-US" w:eastAsia="zh-CN"/>
                    </w:rPr>
                    <w:t>977（无量纲）</w:t>
                  </w:r>
                </w:p>
              </w:tc>
              <w:tc>
                <w:tcPr>
                  <w:tcW w:w="476" w:type="pct"/>
                  <w:noWrap w:val="0"/>
                  <w:vAlign w:val="center"/>
                </w:tcPr>
                <w:p>
                  <w:pPr>
                    <w:jc w:val="center"/>
                    <w:rPr>
                      <w:color w:val="auto"/>
                    </w:rPr>
                  </w:pPr>
                  <w:r>
                    <w:rPr>
                      <w:color w:val="auto"/>
                    </w:rPr>
                    <w:t>1</w:t>
                  </w:r>
                </w:p>
              </w:tc>
              <w:tc>
                <w:tcPr>
                  <w:tcW w:w="549" w:type="pct"/>
                  <w:noWrap w:val="0"/>
                  <w:vAlign w:val="center"/>
                </w:tcPr>
                <w:p>
                  <w:pPr>
                    <w:jc w:val="center"/>
                    <w:rPr>
                      <w:color w:val="auto"/>
                    </w:rPr>
                  </w:pPr>
                  <w:r>
                    <w:rPr>
                      <w:color w:val="auto"/>
                    </w:rPr>
                    <w:t>1</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sz w:val="21"/>
                      <w:szCs w:val="21"/>
                      <w:highlight w:val="none"/>
                      <w:lang w:val="en-US" w:eastAsia="zh-CN"/>
                    </w:rPr>
                    <w:t>977（无量纲）</w:t>
                  </w:r>
                </w:p>
              </w:tc>
            </w:tr>
          </w:tbl>
          <w:p>
            <w:pPr>
              <w:pStyle w:val="7"/>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auto"/>
                <w:sz w:val="24"/>
              </w:rPr>
            </w:pPr>
            <w:r>
              <w:rPr>
                <w:rFonts w:hint="eastAsia"/>
                <w:color w:val="auto"/>
                <w:sz w:val="24"/>
              </w:rPr>
              <w:t>非正常工况采取措施：</w:t>
            </w:r>
          </w:p>
          <w:p>
            <w:pPr>
              <w:pStyle w:val="7"/>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auto"/>
                <w:sz w:val="24"/>
              </w:rPr>
            </w:pPr>
            <w:r>
              <w:rPr>
                <w:rFonts w:hint="eastAsia"/>
                <w:color w:val="auto"/>
                <w:sz w:val="24"/>
              </w:rPr>
              <w:t>①制定环保设备例行检查制度，加强定期维护保养，发现处理设施故障、损坏或排风管道破损时，应立即停止生产活动，对设备或管道进行维修，待恢复正常后方正常运行。</w:t>
            </w:r>
          </w:p>
          <w:p>
            <w:pPr>
              <w:pStyle w:val="7"/>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auto"/>
                <w:sz w:val="24"/>
              </w:rPr>
            </w:pPr>
            <w:r>
              <w:rPr>
                <w:rFonts w:hint="eastAsia"/>
                <w:color w:val="auto"/>
                <w:sz w:val="24"/>
              </w:rPr>
              <w:t>②定期检修</w:t>
            </w:r>
            <w:r>
              <w:rPr>
                <w:rFonts w:hint="eastAsia"/>
                <w:color w:val="auto"/>
                <w:sz w:val="24"/>
                <w:lang w:eastAsia="zh-CN"/>
              </w:rPr>
              <w:t>集气罩、活性炭吸附</w:t>
            </w:r>
            <w:r>
              <w:rPr>
                <w:rFonts w:hint="eastAsia"/>
                <w:color w:val="auto"/>
                <w:sz w:val="24"/>
              </w:rPr>
              <w:t>装置</w:t>
            </w:r>
            <w:r>
              <w:rPr>
                <w:rFonts w:hint="eastAsia"/>
                <w:color w:val="auto"/>
                <w:sz w:val="24"/>
                <w:lang w:eastAsia="zh-CN"/>
              </w:rPr>
              <w:t>、风机</w:t>
            </w:r>
            <w:r>
              <w:rPr>
                <w:rFonts w:hint="eastAsia"/>
                <w:color w:val="auto"/>
                <w:sz w:val="24"/>
              </w:rPr>
              <w:t>，确保处理效率符合要求；检修时应停止生产活动运行，杜绝废气未经处理直接排放。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cs="Times New Roman"/>
                <w:color w:val="auto"/>
                <w:spacing w:val="0"/>
                <w:kern w:val="2"/>
                <w:sz w:val="24"/>
                <w:szCs w:val="24"/>
                <w:lang w:val="en-US" w:eastAsia="zh-CN" w:bidi="ar-SA"/>
              </w:rPr>
            </w:pPr>
            <w:r>
              <w:rPr>
                <w:rFonts w:hint="eastAsia"/>
                <w:color w:val="auto"/>
                <w:sz w:val="24"/>
              </w:rPr>
              <w:t>③设环保管理专员，对环保管理人员及技术人员进行岗位培训，委托具有专业资质的环境检测单位对项目排放的各类废气污染物进行定期监测。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color w:val="auto"/>
                <w:sz w:val="24"/>
                <w:lang w:eastAsia="zh-CN"/>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）车辆运输废气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color w:val="auto"/>
                <w:sz w:val="24"/>
                <w:lang w:eastAsia="zh-CN"/>
              </w:rPr>
            </w:pPr>
            <w:r>
              <w:rPr>
                <w:rFonts w:hint="eastAsia"/>
                <w:color w:val="auto"/>
                <w:sz w:val="24"/>
                <w:lang w:val="en-US" w:eastAsia="zh-CN"/>
              </w:rPr>
              <w:t>本项目设置有运输通道，危险废物由第三方有资质单位运输车辆运输转运走，会产生少量汽车尾气，由于厂区 内运输路程较短，尾气产生量极少区域扩散条件良好，不会对环境生产影响，故本项目仅作定性分析。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cs="Times New Roman"/>
                <w:b/>
                <w:bCs/>
                <w:color w:val="auto"/>
                <w:spacing w:val="0"/>
                <w:kern w:val="2"/>
                <w:sz w:val="24"/>
                <w:szCs w:val="24"/>
                <w:lang w:val="en-US" w:eastAsia="zh-CN" w:bidi="ar-SA"/>
              </w:rPr>
            </w:pPr>
            <w:r>
              <w:rPr>
                <w:rFonts w:hint="eastAsia"/>
                <w:color w:val="auto"/>
                <w:sz w:val="24"/>
                <w:lang w:eastAsia="zh-CN"/>
              </w:rPr>
              <w:t>（</w:t>
            </w:r>
            <w:r>
              <w:rPr>
                <w:rFonts w:hint="eastAsia"/>
                <w:color w:val="auto"/>
                <w:sz w:val="24"/>
                <w:lang w:val="en-US" w:eastAsia="zh-CN"/>
              </w:rPr>
              <w:t>5</w:t>
            </w:r>
            <w:r>
              <w:rPr>
                <w:rFonts w:hint="eastAsia"/>
                <w:color w:val="auto"/>
                <w:sz w:val="24"/>
                <w:lang w:eastAsia="zh-CN"/>
              </w:rPr>
              <w:t>）</w:t>
            </w:r>
            <w:r>
              <w:rPr>
                <w:rFonts w:hint="eastAsia" w:cs="Times New Roman"/>
                <w:b w:val="0"/>
                <w:bCs w:val="0"/>
                <w:color w:val="auto"/>
                <w:spacing w:val="0"/>
                <w:kern w:val="2"/>
                <w:sz w:val="24"/>
                <w:szCs w:val="24"/>
                <w:lang w:val="en-US" w:eastAsia="zh-CN" w:bidi="ar-SA"/>
              </w:rPr>
              <w:t>废气跟踪监测计划</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olor w:val="auto"/>
                <w:sz w:val="24"/>
                <w:szCs w:val="24"/>
                <w:lang w:eastAsia="zh-CN"/>
              </w:rPr>
            </w:pPr>
            <w:r>
              <w:rPr>
                <w:rFonts w:hint="default"/>
                <w:b w:val="0"/>
                <w:bCs w:val="0"/>
                <w:color w:val="auto"/>
                <w:sz w:val="24"/>
                <w:szCs w:val="24"/>
                <w:lang w:eastAsia="zh-CN"/>
              </w:rPr>
              <w:t>根据</w:t>
            </w:r>
            <w:r>
              <w:rPr>
                <w:rFonts w:hint="default"/>
                <w:b w:val="0"/>
                <w:bCs w:val="0"/>
                <w:color w:val="auto"/>
                <w:sz w:val="24"/>
                <w:szCs w:val="24"/>
                <w:lang w:val="en-US" w:eastAsia="zh-CN"/>
              </w:rPr>
              <w:t>《排污许可证申请与核发技术规范 工业固体废物和危险废物治理》（HJ 1033</w:t>
            </w:r>
            <w:r>
              <w:rPr>
                <w:rFonts w:hint="eastAsia"/>
                <w:b w:val="0"/>
                <w:bCs w:val="0"/>
                <w:color w:val="auto"/>
                <w:sz w:val="24"/>
                <w:szCs w:val="24"/>
                <w:lang w:val="en-US" w:eastAsia="zh-CN"/>
              </w:rPr>
              <w:t>-</w:t>
            </w:r>
            <w:r>
              <w:rPr>
                <w:rFonts w:hint="default"/>
                <w:b w:val="0"/>
                <w:bCs w:val="0"/>
                <w:color w:val="auto"/>
                <w:sz w:val="24"/>
                <w:szCs w:val="24"/>
                <w:lang w:val="en-US" w:eastAsia="zh-CN"/>
              </w:rPr>
              <w:t>2019）</w:t>
            </w:r>
            <w:r>
              <w:rPr>
                <w:rFonts w:hint="eastAsia"/>
                <w:b w:val="0"/>
                <w:bCs w:val="0"/>
                <w:color w:val="auto"/>
                <w:sz w:val="24"/>
                <w:szCs w:val="24"/>
                <w:lang w:val="en-US" w:eastAsia="zh-CN"/>
              </w:rPr>
              <w:t>、</w:t>
            </w:r>
            <w:r>
              <w:rPr>
                <w:rFonts w:hint="default"/>
                <w:b w:val="0"/>
                <w:bCs w:val="0"/>
                <w:color w:val="auto"/>
                <w:sz w:val="24"/>
                <w:szCs w:val="24"/>
                <w:lang w:val="en-US" w:eastAsia="zh-CN"/>
              </w:rPr>
              <w:t>《排污许可证申请与核发技术规范 总则》（HJ 942）</w:t>
            </w:r>
            <w:r>
              <w:rPr>
                <w:rFonts w:hint="eastAsia"/>
                <w:b w:val="0"/>
                <w:bCs w:val="0"/>
                <w:color w:val="auto"/>
                <w:sz w:val="24"/>
                <w:szCs w:val="24"/>
                <w:lang w:val="en-US" w:eastAsia="zh-CN"/>
              </w:rPr>
              <w:t>、</w:t>
            </w:r>
            <w:r>
              <w:rPr>
                <w:rFonts w:hint="eastAsia"/>
                <w:b w:val="0"/>
                <w:bCs w:val="0"/>
                <w:color w:val="auto"/>
                <w:sz w:val="24"/>
                <w:szCs w:val="24"/>
                <w:lang w:eastAsia="zh-CN"/>
              </w:rPr>
              <w:t>《排污单位自行监测技术指南 总则》（HJ819-2017）中的相关监测要求，并结合</w:t>
            </w:r>
            <w:r>
              <w:rPr>
                <w:rFonts w:hint="default"/>
                <w:b w:val="0"/>
                <w:bCs w:val="0"/>
                <w:color w:val="auto"/>
                <w:sz w:val="24"/>
                <w:szCs w:val="24"/>
                <w:lang w:eastAsia="zh-CN"/>
              </w:rPr>
              <w:t>本项目运营期</w:t>
            </w:r>
            <w:r>
              <w:rPr>
                <w:rFonts w:hint="eastAsia"/>
                <w:b w:val="0"/>
                <w:bCs w:val="0"/>
                <w:color w:val="auto"/>
                <w:sz w:val="24"/>
                <w:szCs w:val="24"/>
                <w:lang w:eastAsia="zh-CN"/>
              </w:rPr>
              <w:t>各项污染物的</w:t>
            </w:r>
            <w:r>
              <w:rPr>
                <w:rFonts w:hint="default"/>
                <w:b w:val="0"/>
                <w:bCs w:val="0"/>
                <w:color w:val="auto"/>
                <w:sz w:val="24"/>
                <w:szCs w:val="24"/>
                <w:lang w:eastAsia="zh-CN"/>
              </w:rPr>
              <w:t>污染特点，</w:t>
            </w:r>
            <w:r>
              <w:rPr>
                <w:rFonts w:hint="default"/>
                <w:color w:val="auto"/>
                <w:sz w:val="24"/>
                <w:szCs w:val="24"/>
                <w:lang w:eastAsia="zh-CN"/>
              </w:rPr>
              <w:t>制定了本项目</w:t>
            </w:r>
            <w:r>
              <w:rPr>
                <w:rFonts w:hint="eastAsia"/>
                <w:color w:val="auto"/>
                <w:sz w:val="24"/>
                <w:szCs w:val="24"/>
                <w:lang w:val="en-US" w:eastAsia="zh-CN"/>
              </w:rPr>
              <w:t>废气</w:t>
            </w:r>
            <w:r>
              <w:rPr>
                <w:rFonts w:hint="eastAsia"/>
                <w:color w:val="auto"/>
                <w:sz w:val="24"/>
                <w:szCs w:val="24"/>
                <w:lang w:eastAsia="zh-CN"/>
              </w:rPr>
              <w:t>运营期</w:t>
            </w:r>
            <w:r>
              <w:rPr>
                <w:rFonts w:hint="default"/>
                <w:color w:val="auto"/>
                <w:sz w:val="24"/>
                <w:szCs w:val="24"/>
                <w:lang w:eastAsia="zh-CN"/>
              </w:rPr>
              <w:t>污染源与环境监测计划表，见表</w:t>
            </w:r>
            <w:r>
              <w:rPr>
                <w:rFonts w:hint="eastAsia"/>
                <w:color w:val="auto"/>
                <w:sz w:val="24"/>
                <w:szCs w:val="24"/>
                <w:lang w:eastAsia="zh-CN"/>
              </w:rPr>
              <w:t>4-</w:t>
            </w:r>
            <w:r>
              <w:rPr>
                <w:rFonts w:hint="eastAsia"/>
                <w:color w:val="auto"/>
                <w:sz w:val="24"/>
                <w:szCs w:val="24"/>
                <w:lang w:val="en-US" w:eastAsia="zh-CN"/>
              </w:rPr>
              <w:t>4</w:t>
            </w:r>
            <w:r>
              <w:rPr>
                <w:rFonts w:hint="default"/>
                <w:color w:val="auto"/>
                <w:sz w:val="24"/>
                <w:szCs w:val="24"/>
                <w:lang w:eastAsia="zh-CN"/>
              </w:rPr>
              <w:t>。</w:t>
            </w:r>
          </w:p>
          <w:p>
            <w:pPr>
              <w:spacing w:line="360" w:lineRule="auto"/>
              <w:jc w:val="center"/>
              <w:rPr>
                <w:rFonts w:hint="default" w:eastAsia="宋体"/>
                <w:b/>
                <w:bCs/>
                <w:color w:val="auto"/>
                <w:sz w:val="24"/>
                <w:szCs w:val="24"/>
                <w:lang w:val="en-US" w:eastAsia="zh-CN"/>
              </w:rPr>
            </w:pPr>
            <w:r>
              <w:rPr>
                <w:rFonts w:hint="eastAsia" w:eastAsia="宋体"/>
                <w:b/>
                <w:bCs/>
                <w:color w:val="auto"/>
                <w:sz w:val="24"/>
                <w:szCs w:val="24"/>
                <w:lang w:val="en-US" w:eastAsia="zh-CN"/>
              </w:rPr>
              <w:t>表4-</w:t>
            </w:r>
            <w:r>
              <w:rPr>
                <w:rFonts w:hint="eastAsia"/>
                <w:b/>
                <w:bCs/>
                <w:color w:val="auto"/>
                <w:sz w:val="24"/>
                <w:szCs w:val="24"/>
                <w:lang w:val="en-US" w:eastAsia="zh-CN"/>
              </w:rPr>
              <w:t xml:space="preserve">4   </w:t>
            </w:r>
            <w:r>
              <w:rPr>
                <w:rFonts w:hint="eastAsia" w:eastAsia="宋体"/>
                <w:b/>
                <w:bCs/>
                <w:color w:val="auto"/>
                <w:sz w:val="24"/>
                <w:szCs w:val="24"/>
                <w:lang w:val="en-US" w:eastAsia="zh-CN"/>
              </w:rPr>
              <w:t>运营期废气污染源环境监测计划</w:t>
            </w:r>
          </w:p>
          <w:tbl>
            <w:tblPr>
              <w:tblStyle w:val="31"/>
              <w:tblW w:w="4977"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58"/>
              <w:gridCol w:w="1374"/>
              <w:gridCol w:w="425"/>
              <w:gridCol w:w="2253"/>
              <w:gridCol w:w="808"/>
              <w:gridCol w:w="27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99" w:type="pct"/>
                  <w:tcBorders>
                    <w:tl2br w:val="nil"/>
                    <w:tr2bl w:val="nil"/>
                  </w:tcBorders>
                  <w:vAlign w:val="center"/>
                </w:tcPr>
                <w:p>
                  <w:pPr>
                    <w:jc w:val="center"/>
                    <w:rPr>
                      <w:b/>
                      <w:bCs/>
                      <w:color w:val="auto"/>
                    </w:rPr>
                  </w:pPr>
                  <w:r>
                    <w:rPr>
                      <w:b/>
                      <w:bCs/>
                      <w:color w:val="auto"/>
                    </w:rPr>
                    <w:t>污染源</w:t>
                  </w:r>
                </w:p>
              </w:tc>
              <w:tc>
                <w:tcPr>
                  <w:tcW w:w="1091" w:type="pct"/>
                  <w:gridSpan w:val="2"/>
                  <w:tcBorders>
                    <w:tl2br w:val="nil"/>
                    <w:tr2bl w:val="nil"/>
                  </w:tcBorders>
                  <w:vAlign w:val="center"/>
                </w:tcPr>
                <w:p>
                  <w:pPr>
                    <w:jc w:val="center"/>
                    <w:rPr>
                      <w:b/>
                      <w:bCs/>
                      <w:color w:val="auto"/>
                    </w:rPr>
                  </w:pPr>
                  <w:r>
                    <w:rPr>
                      <w:b/>
                      <w:bCs/>
                      <w:color w:val="auto"/>
                    </w:rPr>
                    <w:t>监测项目</w:t>
                  </w:r>
                </w:p>
              </w:tc>
              <w:tc>
                <w:tcPr>
                  <w:tcW w:w="1366" w:type="pct"/>
                  <w:tcBorders>
                    <w:tl2br w:val="nil"/>
                    <w:tr2bl w:val="nil"/>
                  </w:tcBorders>
                  <w:tcMar>
                    <w:left w:w="57" w:type="dxa"/>
                    <w:right w:w="57" w:type="dxa"/>
                  </w:tcMar>
                  <w:vAlign w:val="center"/>
                </w:tcPr>
                <w:p>
                  <w:pPr>
                    <w:jc w:val="center"/>
                    <w:rPr>
                      <w:b/>
                      <w:bCs/>
                      <w:color w:val="auto"/>
                    </w:rPr>
                  </w:pPr>
                  <w:r>
                    <w:rPr>
                      <w:rFonts w:hint="eastAsia"/>
                      <w:b/>
                      <w:bCs/>
                      <w:color w:val="auto"/>
                      <w:lang w:val="en-US" w:eastAsia="zh-CN"/>
                    </w:rPr>
                    <w:t>排放口基本情况</w:t>
                  </w:r>
                </w:p>
              </w:tc>
              <w:tc>
                <w:tcPr>
                  <w:tcW w:w="490" w:type="pct"/>
                  <w:tcBorders>
                    <w:tl2br w:val="nil"/>
                    <w:tr2bl w:val="nil"/>
                  </w:tcBorders>
                  <w:vAlign w:val="center"/>
                </w:tcPr>
                <w:p>
                  <w:pPr>
                    <w:jc w:val="center"/>
                    <w:rPr>
                      <w:b/>
                      <w:bCs/>
                      <w:color w:val="auto"/>
                    </w:rPr>
                  </w:pPr>
                  <w:r>
                    <w:rPr>
                      <w:b/>
                      <w:bCs/>
                      <w:color w:val="auto"/>
                    </w:rPr>
                    <w:t>监测频率</w:t>
                  </w:r>
                </w:p>
              </w:tc>
              <w:tc>
                <w:tcPr>
                  <w:tcW w:w="1651" w:type="pct"/>
                  <w:tcBorders>
                    <w:tl2br w:val="nil"/>
                    <w:tr2bl w:val="nil"/>
                  </w:tcBorders>
                  <w:vAlign w:val="center"/>
                </w:tcPr>
                <w:p>
                  <w:pPr>
                    <w:jc w:val="center"/>
                    <w:rPr>
                      <w:b/>
                      <w:bCs/>
                      <w:color w:val="auto"/>
                    </w:rPr>
                  </w:pPr>
                  <w:r>
                    <w:rPr>
                      <w:b/>
                      <w:bCs/>
                      <w:color w:val="auto"/>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restart"/>
                  <w:tcBorders>
                    <w:tl2br w:val="nil"/>
                    <w:tr2bl w:val="nil"/>
                  </w:tcBorders>
                  <w:vAlign w:val="center"/>
                </w:tcPr>
                <w:p>
                  <w:pPr>
                    <w:jc w:val="both"/>
                    <w:rPr>
                      <w:rFonts w:hint="default" w:eastAsia="宋体"/>
                      <w:color w:val="auto"/>
                      <w:lang w:val="en-US" w:eastAsia="zh-CN"/>
                    </w:rPr>
                  </w:pPr>
                  <w:r>
                    <w:rPr>
                      <w:rFonts w:hint="eastAsia"/>
                      <w:color w:val="auto"/>
                      <w:lang w:val="en-US" w:eastAsia="zh-CN"/>
                    </w:rPr>
                    <w:t>废气</w:t>
                  </w:r>
                </w:p>
              </w:tc>
              <w:tc>
                <w:tcPr>
                  <w:tcW w:w="833" w:type="pct"/>
                  <w:tcBorders>
                    <w:tl2br w:val="nil"/>
                    <w:tr2bl w:val="nil"/>
                  </w:tcBorders>
                  <w:vAlign w:val="center"/>
                </w:tcPr>
                <w:p>
                  <w:pPr>
                    <w:jc w:val="center"/>
                    <w:rPr>
                      <w:color w:val="auto"/>
                    </w:rPr>
                  </w:pPr>
                  <w:r>
                    <w:rPr>
                      <w:rFonts w:hint="eastAsia" w:cs="Times New Roman" w:eastAsiaTheme="minorEastAsia"/>
                      <w:color w:val="auto"/>
                      <w:sz w:val="21"/>
                      <w:szCs w:val="21"/>
                      <w:lang w:val="en-US" w:eastAsia="zh-CN"/>
                    </w:rPr>
                    <w:t>非甲烷总烃</w:t>
                  </w:r>
                </w:p>
              </w:tc>
              <w:tc>
                <w:tcPr>
                  <w:tcW w:w="257" w:type="pct"/>
                  <w:vMerge w:val="restart"/>
                  <w:tcBorders>
                    <w:tl2br w:val="nil"/>
                    <w:tr2bl w:val="nil"/>
                  </w:tcBorders>
                  <w:vAlign w:val="center"/>
                </w:tcPr>
                <w:p>
                  <w:pPr>
                    <w:jc w:val="center"/>
                    <w:rPr>
                      <w:color w:val="auto"/>
                    </w:rPr>
                  </w:pPr>
                  <w:r>
                    <w:rPr>
                      <w:rFonts w:hint="eastAsia"/>
                      <w:color w:val="auto"/>
                      <w:lang w:val="en-US" w:eastAsia="zh-CN"/>
                    </w:rPr>
                    <w:t xml:space="preserve"> 有</w:t>
                  </w:r>
                  <w:r>
                    <w:rPr>
                      <w:color w:val="auto"/>
                    </w:rPr>
                    <w:t>组织</w:t>
                  </w:r>
                </w:p>
              </w:tc>
              <w:tc>
                <w:tcPr>
                  <w:tcW w:w="1366" w:type="pct"/>
                  <w:vMerge w:val="restart"/>
                  <w:tcBorders>
                    <w:tl2br w:val="nil"/>
                    <w:tr2bl w:val="nil"/>
                  </w:tcBorders>
                  <w:tcMar>
                    <w:left w:w="57" w:type="dxa"/>
                    <w:right w:w="57" w:type="dxa"/>
                  </w:tcMar>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280" w:lineRule="exact"/>
                    <w:ind w:left="0" w:leftChars="0" w:firstLineChars="0"/>
                    <w:jc w:val="center"/>
                    <w:textAlignment w:val="auto"/>
                    <w:rPr>
                      <w:rFonts w:hint="eastAsia"/>
                      <w:color w:val="auto"/>
                      <w:szCs w:val="21"/>
                      <w:lang w:eastAsia="zh-CN"/>
                    </w:rPr>
                  </w:pPr>
                  <w:r>
                    <w:rPr>
                      <w:rFonts w:hint="eastAsia"/>
                      <w:color w:val="auto"/>
                      <w:lang w:eastAsia="zh-CN"/>
                    </w:rPr>
                    <w:t>高度：</w:t>
                  </w:r>
                  <w:r>
                    <w:rPr>
                      <w:rFonts w:hint="eastAsia"/>
                      <w:color w:val="auto"/>
                      <w:lang w:val="en-US" w:eastAsia="zh-CN"/>
                    </w:rPr>
                    <w:t>17m；</w:t>
                  </w:r>
                </w:p>
                <w:p>
                  <w:pPr>
                    <w:keepNext w:val="0"/>
                    <w:keepLines w:val="0"/>
                    <w:pageBreakBefore w:val="0"/>
                    <w:widowControl w:val="0"/>
                    <w:numPr>
                      <w:ilvl w:val="0"/>
                      <w:numId w:val="19"/>
                    </w:numPr>
                    <w:kinsoku/>
                    <w:wordWrap/>
                    <w:overflowPunct/>
                    <w:topLinePunct w:val="0"/>
                    <w:autoSpaceDE/>
                    <w:autoSpaceDN/>
                    <w:bidi w:val="0"/>
                    <w:adjustRightInd/>
                    <w:snapToGrid/>
                    <w:spacing w:line="280" w:lineRule="exact"/>
                    <w:ind w:left="0" w:leftChars="0" w:firstLine="0" w:firstLineChars="0"/>
                    <w:jc w:val="both"/>
                    <w:textAlignment w:val="auto"/>
                    <w:rPr>
                      <w:rFonts w:hint="eastAsia"/>
                      <w:color w:val="auto"/>
                      <w:lang w:val="en-US" w:eastAsia="zh-CN"/>
                    </w:rPr>
                  </w:pPr>
                  <w:r>
                    <w:rPr>
                      <w:rFonts w:hint="eastAsia"/>
                      <w:color w:val="auto"/>
                      <w:lang w:val="en-US" w:eastAsia="zh-CN"/>
                    </w:rPr>
                    <w:t>内径：0.4m；</w:t>
                  </w:r>
                </w:p>
                <w:p>
                  <w:pPr>
                    <w:keepNext w:val="0"/>
                    <w:keepLines w:val="0"/>
                    <w:pageBreakBefore w:val="0"/>
                    <w:widowControl w:val="0"/>
                    <w:numPr>
                      <w:ilvl w:val="0"/>
                      <w:numId w:val="19"/>
                    </w:numPr>
                    <w:kinsoku/>
                    <w:wordWrap/>
                    <w:overflowPunct/>
                    <w:topLinePunct w:val="0"/>
                    <w:autoSpaceDE/>
                    <w:autoSpaceDN/>
                    <w:bidi w:val="0"/>
                    <w:adjustRightInd/>
                    <w:snapToGrid/>
                    <w:spacing w:line="280" w:lineRule="exact"/>
                    <w:ind w:left="0" w:leftChars="0" w:firstLine="0" w:firstLineChars="0"/>
                    <w:jc w:val="both"/>
                    <w:textAlignment w:val="auto"/>
                    <w:rPr>
                      <w:rFonts w:hint="eastAsia"/>
                      <w:color w:val="auto"/>
                      <w:szCs w:val="21"/>
                      <w:lang w:eastAsia="zh-CN"/>
                    </w:rPr>
                  </w:pPr>
                  <w:r>
                    <w:rPr>
                      <w:rFonts w:hint="eastAsia"/>
                      <w:color w:val="auto"/>
                      <w:lang w:val="en-US" w:eastAsia="zh-CN"/>
                    </w:rPr>
                    <w:t>温度：</w:t>
                  </w:r>
                  <w:r>
                    <w:rPr>
                      <w:rFonts w:hint="eastAsia"/>
                      <w:color w:val="auto"/>
                      <w:szCs w:val="21"/>
                      <w:lang w:val="en-US" w:eastAsia="zh-CN"/>
                    </w:rPr>
                    <w:t>293</w:t>
                  </w:r>
                  <w:r>
                    <w:rPr>
                      <w:rFonts w:hint="eastAsia"/>
                      <w:color w:val="auto"/>
                      <w:szCs w:val="21"/>
                    </w:rPr>
                    <w:t>.15</w:t>
                  </w:r>
                  <w:r>
                    <w:rPr>
                      <w:rFonts w:hint="eastAsia"/>
                      <w:color w:val="auto"/>
                      <w:szCs w:val="21"/>
                      <w:lang w:val="en-US" w:eastAsia="zh-CN"/>
                    </w:rPr>
                    <w:t>K；（4）坐标：东经</w:t>
                  </w:r>
                  <w:r>
                    <w:rPr>
                      <w:rFonts w:hint="eastAsia"/>
                      <w:color w:val="auto"/>
                      <w:szCs w:val="21"/>
                    </w:rPr>
                    <w:t>109°25'15.91"</w:t>
                  </w:r>
                  <w:r>
                    <w:rPr>
                      <w:rFonts w:hint="eastAsia"/>
                      <w:color w:val="auto"/>
                      <w:szCs w:val="21"/>
                      <w:lang w:eastAsia="zh-CN"/>
                    </w:rPr>
                    <w:t>；北纬</w:t>
                  </w:r>
                  <w:r>
                    <w:rPr>
                      <w:rFonts w:hint="eastAsia"/>
                      <w:color w:val="auto"/>
                      <w:szCs w:val="21"/>
                    </w:rPr>
                    <w:t>34°29'37.84"</w:t>
                  </w:r>
                  <w:r>
                    <w:rPr>
                      <w:rFonts w:hint="eastAsia"/>
                      <w:color w:val="auto"/>
                      <w:szCs w:val="21"/>
                      <w:lang w:eastAsia="zh-CN"/>
                    </w:rPr>
                    <w:t>。</w:t>
                  </w:r>
                </w:p>
                <w:p>
                  <w:pPr>
                    <w:keepNext w:val="0"/>
                    <w:keepLines w:val="0"/>
                    <w:pageBreakBefore w:val="0"/>
                    <w:widowControl w:val="0"/>
                    <w:numPr>
                      <w:ilvl w:val="0"/>
                      <w:numId w:val="20"/>
                    </w:numPr>
                    <w:kinsoku/>
                    <w:wordWrap/>
                    <w:overflowPunct/>
                    <w:topLinePunct w:val="0"/>
                    <w:autoSpaceDE/>
                    <w:autoSpaceDN/>
                    <w:bidi w:val="0"/>
                    <w:adjustRightInd/>
                    <w:snapToGrid/>
                    <w:spacing w:line="280" w:lineRule="exact"/>
                    <w:ind w:left="0"/>
                    <w:jc w:val="both"/>
                    <w:textAlignment w:val="auto"/>
                    <w:rPr>
                      <w:rFonts w:hint="eastAsia"/>
                      <w:color w:val="auto"/>
                      <w:szCs w:val="21"/>
                      <w:lang w:eastAsia="zh-CN"/>
                    </w:rPr>
                  </w:pPr>
                  <w:r>
                    <w:rPr>
                      <w:rFonts w:hint="eastAsia"/>
                      <w:color w:val="auto"/>
                      <w:szCs w:val="21"/>
                      <w:lang w:eastAsia="zh-CN"/>
                    </w:rPr>
                    <w:t>排放口类型：一般排放口。</w:t>
                  </w:r>
                </w:p>
                <w:p>
                  <w:pPr>
                    <w:keepNext w:val="0"/>
                    <w:keepLines w:val="0"/>
                    <w:pageBreakBefore w:val="0"/>
                    <w:widowControl w:val="0"/>
                    <w:numPr>
                      <w:ilvl w:val="0"/>
                      <w:numId w:val="20"/>
                    </w:numPr>
                    <w:kinsoku/>
                    <w:wordWrap/>
                    <w:overflowPunct/>
                    <w:topLinePunct w:val="0"/>
                    <w:autoSpaceDE/>
                    <w:autoSpaceDN/>
                    <w:bidi w:val="0"/>
                    <w:adjustRightInd/>
                    <w:snapToGrid/>
                    <w:spacing w:line="280" w:lineRule="exact"/>
                    <w:ind w:left="0"/>
                    <w:jc w:val="both"/>
                    <w:textAlignment w:val="auto"/>
                    <w:rPr>
                      <w:rFonts w:hint="eastAsia" w:eastAsia="宋体"/>
                      <w:color w:val="auto"/>
                      <w:lang w:val="en-US" w:eastAsia="zh-CN"/>
                    </w:rPr>
                  </w:pPr>
                  <w:r>
                    <w:rPr>
                      <w:rFonts w:hint="eastAsia"/>
                      <w:color w:val="auto"/>
                      <w:lang w:eastAsia="zh-CN"/>
                    </w:rPr>
                    <w:t>监测点位置：危废暂存间排气筒（出口）</w:t>
                  </w:r>
                </w:p>
              </w:tc>
              <w:tc>
                <w:tcPr>
                  <w:tcW w:w="490" w:type="pct"/>
                  <w:vMerge w:val="restart"/>
                  <w:tcBorders>
                    <w:tl2br w:val="nil"/>
                    <w:tr2bl w:val="nil"/>
                  </w:tcBorders>
                  <w:vAlign w:val="center"/>
                </w:tcPr>
                <w:p>
                  <w:pPr>
                    <w:jc w:val="center"/>
                    <w:rPr>
                      <w:color w:val="auto"/>
                    </w:rPr>
                  </w:pPr>
                  <w:r>
                    <w:rPr>
                      <w:color w:val="auto"/>
                    </w:rPr>
                    <w:t>1次/</w:t>
                  </w:r>
                  <w:r>
                    <w:rPr>
                      <w:rFonts w:hint="eastAsia"/>
                      <w:color w:val="auto"/>
                      <w:lang w:eastAsia="zh-CN"/>
                    </w:rPr>
                    <w:t>半</w:t>
                  </w:r>
                  <w:r>
                    <w:rPr>
                      <w:color w:val="auto"/>
                    </w:rPr>
                    <w:t>年</w:t>
                  </w:r>
                </w:p>
              </w:tc>
              <w:tc>
                <w:tcPr>
                  <w:tcW w:w="1651" w:type="pct"/>
                  <w:tcBorders>
                    <w:bottom w:val="single" w:color="auto" w:sz="4" w:space="0"/>
                    <w:tl2br w:val="nil"/>
                    <w:tr2bl w:val="nil"/>
                  </w:tcBorders>
                  <w:vAlign w:val="center"/>
                </w:tcPr>
                <w:p>
                  <w:pPr>
                    <w:jc w:val="center"/>
                    <w:rPr>
                      <w:rFonts w:hint="eastAsia" w:eastAsia="宋体"/>
                      <w:color w:val="auto"/>
                      <w:lang w:eastAsia="zh-CN"/>
                    </w:rPr>
                  </w:pPr>
                  <w:r>
                    <w:rPr>
                      <w:rFonts w:hint="eastAsia"/>
                      <w:color w:val="auto"/>
                      <w:szCs w:val="21"/>
                      <w:lang w:val="zh-CN" w:eastAsia="zh-CN"/>
                    </w:rPr>
                    <w:t>大气污染物综合排放标准》（GB 16297-1996）表2中限值要求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甲醇</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tl2br w:val="nil"/>
                    <w:tr2bl w:val="nil"/>
                  </w:tcBorders>
                  <w:tcMar>
                    <w:left w:w="57" w:type="dxa"/>
                    <w:right w:w="57" w:type="dxa"/>
                  </w:tcMar>
                  <w:vAlign w:val="center"/>
                </w:tcPr>
                <w:p>
                  <w:pPr>
                    <w:numPr>
                      <w:ilvl w:val="0"/>
                      <w:numId w:val="20"/>
                    </w:numPr>
                    <w:jc w:val="both"/>
                    <w:rPr>
                      <w:rFonts w:hint="eastAsia" w:eastAsia="宋体"/>
                      <w:color w:val="auto"/>
                      <w:lang w:val="en-US" w:eastAsia="zh-CN"/>
                    </w:rPr>
                  </w:pPr>
                </w:p>
              </w:tc>
              <w:tc>
                <w:tcPr>
                  <w:tcW w:w="490" w:type="pct"/>
                  <w:vMerge w:val="continue"/>
                  <w:tcBorders>
                    <w:tl2br w:val="nil"/>
                    <w:tr2bl w:val="nil"/>
                  </w:tcBorders>
                  <w:vAlign w:val="center"/>
                </w:tcPr>
                <w:p>
                  <w:pPr>
                    <w:jc w:val="center"/>
                    <w:rPr>
                      <w:color w:val="auto"/>
                    </w:rPr>
                  </w:pPr>
                </w:p>
              </w:tc>
              <w:tc>
                <w:tcPr>
                  <w:tcW w:w="1651" w:type="pct"/>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lang w:val="zh-CN" w:eastAsia="zh-CN"/>
                    </w:rPr>
                    <w:t>《挥发性有机物排放控制标准》（DB61/ T1061-2017）中表1限值要求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甲苯</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tl2br w:val="nil"/>
                    <w:tr2bl w:val="nil"/>
                  </w:tcBorders>
                  <w:tcMar>
                    <w:left w:w="57" w:type="dxa"/>
                    <w:right w:w="57" w:type="dxa"/>
                  </w:tcMar>
                  <w:vAlign w:val="center"/>
                </w:tcPr>
                <w:p>
                  <w:pPr>
                    <w:jc w:val="center"/>
                    <w:rPr>
                      <w:color w:val="auto"/>
                    </w:rPr>
                  </w:pPr>
                </w:p>
              </w:tc>
              <w:tc>
                <w:tcPr>
                  <w:tcW w:w="490" w:type="pct"/>
                  <w:vMerge w:val="continue"/>
                  <w:tcBorders>
                    <w:tl2br w:val="nil"/>
                    <w:tr2bl w:val="nil"/>
                  </w:tcBorders>
                  <w:vAlign w:val="center"/>
                </w:tcPr>
                <w:p>
                  <w:pPr>
                    <w:jc w:val="center"/>
                    <w:rPr>
                      <w:color w:val="auto"/>
                    </w:rPr>
                  </w:pPr>
                </w:p>
              </w:tc>
              <w:tc>
                <w:tcPr>
                  <w:tcW w:w="1651" w:type="pct"/>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lang w:val="zh-CN" w:eastAsia="zh-CN"/>
                    </w:rPr>
                    <w:t>《大气污染物综合排放标准》（GB 16297-1996）中表2新扩改建限值要求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8"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臭气浓度</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bottom w:val="single" w:color="auto" w:sz="4" w:space="0"/>
                    <w:tl2br w:val="nil"/>
                    <w:tr2bl w:val="nil"/>
                  </w:tcBorders>
                  <w:tcMar>
                    <w:left w:w="57" w:type="dxa"/>
                    <w:right w:w="57" w:type="dxa"/>
                  </w:tcMar>
                  <w:vAlign w:val="center"/>
                </w:tcPr>
                <w:p>
                  <w:pPr>
                    <w:jc w:val="center"/>
                    <w:rPr>
                      <w:color w:val="auto"/>
                    </w:rPr>
                  </w:pPr>
                </w:p>
              </w:tc>
              <w:tc>
                <w:tcPr>
                  <w:tcW w:w="490" w:type="pct"/>
                  <w:vMerge w:val="continue"/>
                  <w:tcBorders>
                    <w:tl2br w:val="nil"/>
                    <w:tr2bl w:val="nil"/>
                  </w:tcBorders>
                  <w:vAlign w:val="center"/>
                </w:tcPr>
                <w:p>
                  <w:pPr>
                    <w:jc w:val="center"/>
                    <w:rPr>
                      <w:color w:val="auto"/>
                    </w:rPr>
                  </w:pPr>
                </w:p>
              </w:tc>
              <w:tc>
                <w:tcPr>
                  <w:tcW w:w="1651" w:type="pct"/>
                  <w:tcBorders>
                    <w:top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rPr>
                    <w:t>《恶臭污染物排放标准》</w:t>
                  </w:r>
                  <w:r>
                    <w:rPr>
                      <w:rFonts w:hint="eastAsia"/>
                      <w:color w:val="auto"/>
                      <w:szCs w:val="21"/>
                      <w:lang w:eastAsia="zh-CN"/>
                    </w:rPr>
                    <w:t>（</w:t>
                  </w:r>
                  <w:r>
                    <w:rPr>
                      <w:rFonts w:hint="eastAsia"/>
                      <w:color w:val="auto"/>
                      <w:szCs w:val="21"/>
                    </w:rPr>
                    <w:t>GB14554-93</w:t>
                  </w:r>
                  <w:r>
                    <w:rPr>
                      <w:rFonts w:hint="eastAsia"/>
                      <w:color w:val="auto"/>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非甲烷总烃</w:t>
                  </w:r>
                </w:p>
              </w:tc>
              <w:tc>
                <w:tcPr>
                  <w:tcW w:w="257" w:type="pct"/>
                  <w:vMerge w:val="restart"/>
                  <w:tcBorders>
                    <w:tl2br w:val="nil"/>
                    <w:tr2bl w:val="nil"/>
                  </w:tcBorders>
                  <w:vAlign w:val="center"/>
                </w:tcPr>
                <w:p>
                  <w:pPr>
                    <w:jc w:val="center"/>
                    <w:rPr>
                      <w:rFonts w:hint="eastAsia"/>
                      <w:color w:val="auto"/>
                      <w:lang w:val="en-US" w:eastAsia="zh-CN"/>
                    </w:rPr>
                  </w:pPr>
                  <w:r>
                    <w:rPr>
                      <w:rFonts w:hint="eastAsia"/>
                      <w:color w:val="auto"/>
                      <w:lang w:val="en-US" w:eastAsia="zh-CN"/>
                    </w:rPr>
                    <w:t xml:space="preserve"> </w:t>
                  </w:r>
                  <w:r>
                    <w:rPr>
                      <w:color w:val="auto"/>
                    </w:rPr>
                    <w:t>无组织</w:t>
                  </w:r>
                </w:p>
              </w:tc>
              <w:tc>
                <w:tcPr>
                  <w:tcW w:w="1366" w:type="pct"/>
                  <w:vMerge w:val="restart"/>
                  <w:tcBorders>
                    <w:top w:val="single" w:color="auto" w:sz="4" w:space="0"/>
                    <w:bottom w:val="single" w:color="auto" w:sz="4" w:space="0"/>
                    <w:tl2br w:val="nil"/>
                    <w:tr2bl w:val="nil"/>
                  </w:tcBorders>
                  <w:tcMar>
                    <w:left w:w="57" w:type="dxa"/>
                    <w:right w:w="57" w:type="dxa"/>
                  </w:tcMar>
                  <w:vAlign w:val="center"/>
                </w:tcPr>
                <w:p>
                  <w:pPr>
                    <w:jc w:val="center"/>
                    <w:rPr>
                      <w:color w:val="auto"/>
                    </w:rPr>
                  </w:pPr>
                  <w:r>
                    <w:rPr>
                      <w:color w:val="auto"/>
                    </w:rPr>
                    <w:t>厂界上风向1个点、下风向3个点</w:t>
                  </w:r>
                </w:p>
              </w:tc>
              <w:tc>
                <w:tcPr>
                  <w:tcW w:w="490" w:type="pct"/>
                  <w:vMerge w:val="restart"/>
                  <w:tcBorders>
                    <w:tl2br w:val="nil"/>
                    <w:tr2bl w:val="nil"/>
                  </w:tcBorders>
                  <w:vAlign w:val="center"/>
                </w:tcPr>
                <w:p>
                  <w:pPr>
                    <w:jc w:val="center"/>
                    <w:rPr>
                      <w:color w:val="auto"/>
                    </w:rPr>
                  </w:pPr>
                  <w:r>
                    <w:rPr>
                      <w:color w:val="auto"/>
                    </w:rPr>
                    <w:t>1次/年</w:t>
                  </w:r>
                </w:p>
              </w:tc>
              <w:tc>
                <w:tcPr>
                  <w:tcW w:w="1651" w:type="pct"/>
                  <w:tcBorders>
                    <w:bottom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lang w:val="zh-CN"/>
                    </w:rPr>
                    <w:t>《挥发性有机物排放控制标准 》（DB61/T 1061-2017）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甲醇</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top w:val="single" w:color="auto" w:sz="4" w:space="0"/>
                    <w:bottom w:val="single" w:color="auto" w:sz="4" w:space="0"/>
                    <w:tl2br w:val="nil"/>
                    <w:tr2bl w:val="nil"/>
                  </w:tcBorders>
                  <w:tcMar>
                    <w:left w:w="57" w:type="dxa"/>
                    <w:right w:w="57" w:type="dxa"/>
                  </w:tcMar>
                  <w:vAlign w:val="center"/>
                </w:tcPr>
                <w:p>
                  <w:pPr>
                    <w:jc w:val="center"/>
                    <w:rPr>
                      <w:color w:val="auto"/>
                    </w:rPr>
                  </w:pPr>
                </w:p>
              </w:tc>
              <w:tc>
                <w:tcPr>
                  <w:tcW w:w="490" w:type="pct"/>
                  <w:vMerge w:val="continue"/>
                  <w:tcBorders>
                    <w:tl2br w:val="nil"/>
                    <w:tr2bl w:val="nil"/>
                  </w:tcBorders>
                  <w:vAlign w:val="center"/>
                </w:tcPr>
                <w:p>
                  <w:pPr>
                    <w:jc w:val="center"/>
                    <w:rPr>
                      <w:color w:val="auto"/>
                    </w:rPr>
                  </w:pPr>
                </w:p>
              </w:tc>
              <w:tc>
                <w:tcPr>
                  <w:tcW w:w="1651" w:type="pct"/>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lang w:val="zh-CN" w:eastAsia="zh-CN"/>
                    </w:rPr>
                    <w:t>挥发性有机物排放控制标准》（DB61/ T1061-2017）中表3限值要求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甲苯</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top w:val="single" w:color="auto" w:sz="4" w:space="0"/>
                    <w:bottom w:val="single" w:color="auto" w:sz="4" w:space="0"/>
                    <w:tl2br w:val="nil"/>
                    <w:tr2bl w:val="nil"/>
                  </w:tcBorders>
                  <w:tcMar>
                    <w:left w:w="57" w:type="dxa"/>
                    <w:right w:w="57" w:type="dxa"/>
                  </w:tcMar>
                  <w:vAlign w:val="center"/>
                </w:tcPr>
                <w:p>
                  <w:pPr>
                    <w:jc w:val="center"/>
                    <w:rPr>
                      <w:color w:val="auto"/>
                    </w:rPr>
                  </w:pPr>
                </w:p>
              </w:tc>
              <w:tc>
                <w:tcPr>
                  <w:tcW w:w="490" w:type="pct"/>
                  <w:vMerge w:val="continue"/>
                  <w:tcBorders>
                    <w:tl2br w:val="nil"/>
                    <w:tr2bl w:val="nil"/>
                  </w:tcBorders>
                  <w:vAlign w:val="center"/>
                </w:tcPr>
                <w:p>
                  <w:pPr>
                    <w:jc w:val="center"/>
                    <w:rPr>
                      <w:color w:val="auto"/>
                    </w:rPr>
                  </w:pPr>
                </w:p>
              </w:tc>
              <w:tc>
                <w:tcPr>
                  <w:tcW w:w="1651" w:type="pct"/>
                  <w:tcBorders>
                    <w:top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lang w:val="zh-CN" w:eastAsia="zh-CN"/>
                    </w:rPr>
                    <w:t>《大气污染物综合排放标准》（GB 16297-1996）中表2新扩改建限值要求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臭气浓度</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top w:val="single" w:color="auto" w:sz="4" w:space="0"/>
                    <w:bottom w:val="single" w:color="auto" w:sz="4" w:space="0"/>
                    <w:tl2br w:val="nil"/>
                    <w:tr2bl w:val="nil"/>
                  </w:tcBorders>
                  <w:tcMar>
                    <w:left w:w="57" w:type="dxa"/>
                    <w:right w:w="57" w:type="dxa"/>
                  </w:tcMar>
                  <w:vAlign w:val="center"/>
                </w:tcPr>
                <w:p>
                  <w:pPr>
                    <w:jc w:val="center"/>
                    <w:rPr>
                      <w:color w:val="auto"/>
                    </w:rPr>
                  </w:pPr>
                </w:p>
              </w:tc>
              <w:tc>
                <w:tcPr>
                  <w:tcW w:w="490" w:type="pct"/>
                  <w:vMerge w:val="continue"/>
                  <w:tcBorders>
                    <w:tl2br w:val="nil"/>
                    <w:tr2bl w:val="nil"/>
                  </w:tcBorders>
                  <w:vAlign w:val="center"/>
                </w:tcPr>
                <w:p>
                  <w:pPr>
                    <w:jc w:val="center"/>
                    <w:rPr>
                      <w:color w:val="auto"/>
                    </w:rPr>
                  </w:pPr>
                </w:p>
              </w:tc>
              <w:tc>
                <w:tcPr>
                  <w:tcW w:w="1651" w:type="pct"/>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rPr>
                    <w:t>《恶臭污染物排放标准》</w:t>
                  </w:r>
                  <w:r>
                    <w:rPr>
                      <w:rFonts w:hint="eastAsia"/>
                      <w:color w:val="auto"/>
                      <w:szCs w:val="21"/>
                      <w:lang w:eastAsia="zh-CN"/>
                    </w:rPr>
                    <w:t>（</w:t>
                  </w:r>
                  <w:r>
                    <w:rPr>
                      <w:rFonts w:hint="eastAsia"/>
                      <w:color w:val="auto"/>
                      <w:szCs w:val="21"/>
                    </w:rPr>
                    <w:t>GB14554-93</w:t>
                  </w:r>
                  <w:r>
                    <w:rPr>
                      <w:rFonts w:hint="eastAsia"/>
                      <w:color w:val="auto"/>
                      <w:szCs w:val="21"/>
                      <w:lang w:eastAsia="zh-CN"/>
                    </w:rPr>
                    <w:t>）</w:t>
                  </w:r>
                </w:p>
              </w:tc>
            </w:tr>
          </w:tbl>
          <w:p>
            <w:pPr>
              <w:spacing w:line="360" w:lineRule="auto"/>
              <w:ind w:firstLine="482" w:firstLineChars="200"/>
              <w:jc w:val="both"/>
              <w:rPr>
                <w:rFonts w:hint="eastAsia" w:eastAsia="宋体"/>
                <w:b/>
                <w:bCs/>
                <w:color w:val="auto"/>
                <w:sz w:val="24"/>
                <w:szCs w:val="24"/>
                <w:lang w:val="en-US" w:eastAsia="zh-CN"/>
              </w:rPr>
            </w:pPr>
            <w:r>
              <w:rPr>
                <w:rFonts w:hint="eastAsia" w:eastAsia="宋体"/>
                <w:b/>
                <w:bCs/>
                <w:color w:val="auto"/>
                <w:sz w:val="24"/>
                <w:szCs w:val="24"/>
                <w:lang w:val="en-US" w:eastAsia="zh-CN"/>
              </w:rPr>
              <w:t>2、废水</w:t>
            </w:r>
          </w:p>
          <w:p>
            <w:pPr>
              <w:autoSpaceDE w:val="0"/>
              <w:autoSpaceDN w:val="0"/>
              <w:spacing w:line="360" w:lineRule="auto"/>
              <w:ind w:firstLine="480" w:firstLineChars="200"/>
              <w:jc w:val="both"/>
              <w:rPr>
                <w:rFonts w:hint="eastAsia"/>
                <w:b w:val="0"/>
                <w:bCs w:val="0"/>
                <w:color w:val="auto"/>
                <w:sz w:val="24"/>
                <w:szCs w:val="24"/>
                <w:lang w:val="en-US" w:eastAsia="zh-CN"/>
              </w:rPr>
            </w:pPr>
            <w:r>
              <w:rPr>
                <w:rFonts w:hint="eastAsia"/>
                <w:b w:val="0"/>
                <w:bCs w:val="0"/>
                <w:color w:val="auto"/>
                <w:sz w:val="24"/>
                <w:szCs w:val="24"/>
                <w:lang w:val="en-US" w:eastAsia="zh-CN"/>
              </w:rPr>
              <w:t>本项目运营过程中无生活污水及生产废水产生。</w:t>
            </w:r>
          </w:p>
          <w:p>
            <w:pPr>
              <w:numPr>
                <w:ilvl w:val="0"/>
                <w:numId w:val="0"/>
              </w:numPr>
              <w:spacing w:line="360" w:lineRule="auto"/>
              <w:ind w:leftChars="0"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3、噪声</w:t>
            </w:r>
          </w:p>
          <w:p>
            <w:pPr>
              <w:spacing w:line="360" w:lineRule="auto"/>
              <w:ind w:firstLine="480" w:firstLineChars="200"/>
              <w:rPr>
                <w:b w:val="0"/>
                <w:bCs w:val="0"/>
                <w:color w:val="auto"/>
                <w:sz w:val="24"/>
                <w:szCs w:val="24"/>
              </w:rPr>
            </w:pPr>
            <w:r>
              <w:rPr>
                <w:rFonts w:hint="eastAsia"/>
                <w:b w:val="0"/>
                <w:bCs w:val="0"/>
                <w:color w:val="auto"/>
                <w:sz w:val="24"/>
                <w:szCs w:val="24"/>
              </w:rPr>
              <w:t>（1）</w:t>
            </w:r>
            <w:r>
              <w:rPr>
                <w:b w:val="0"/>
                <w:bCs w:val="0"/>
                <w:color w:val="auto"/>
                <w:sz w:val="24"/>
                <w:szCs w:val="24"/>
              </w:rPr>
              <w:t>运营期</w:t>
            </w:r>
            <w:r>
              <w:rPr>
                <w:rFonts w:hint="eastAsia"/>
                <w:b w:val="0"/>
                <w:bCs w:val="0"/>
                <w:color w:val="auto"/>
                <w:sz w:val="24"/>
                <w:szCs w:val="24"/>
              </w:rPr>
              <w:t>主要噪声</w:t>
            </w:r>
            <w:r>
              <w:rPr>
                <w:b w:val="0"/>
                <w:bCs w:val="0"/>
                <w:color w:val="auto"/>
                <w:sz w:val="24"/>
                <w:szCs w:val="24"/>
              </w:rPr>
              <w:t>污染源源强</w:t>
            </w:r>
          </w:p>
          <w:p>
            <w:pPr>
              <w:pStyle w:val="40"/>
              <w:spacing w:line="360" w:lineRule="auto"/>
              <w:ind w:firstLine="480" w:firstLineChars="200"/>
              <w:jc w:val="both"/>
              <w:rPr>
                <w:rFonts w:ascii="Times New Roman" w:cs="Times New Roman"/>
                <w:color w:val="auto"/>
                <w:kern w:val="2"/>
                <w:sz w:val="24"/>
                <w:szCs w:val="24"/>
              </w:rPr>
            </w:pPr>
            <w:r>
              <w:rPr>
                <w:rFonts w:ascii="Times New Roman" w:cs="Times New Roman"/>
                <w:color w:val="auto"/>
                <w:sz w:val="24"/>
                <w:szCs w:val="24"/>
              </w:rPr>
              <w:t>本项目噪声主要来自</w:t>
            </w:r>
            <w:r>
              <w:rPr>
                <w:rFonts w:hint="eastAsia" w:ascii="Times New Roman" w:cs="Times New Roman"/>
                <w:color w:val="auto"/>
                <w:sz w:val="24"/>
                <w:szCs w:val="24"/>
                <w:lang w:val="en-US" w:eastAsia="zh-CN"/>
              </w:rPr>
              <w:t>风机，噪声污染源源强见下表</w:t>
            </w:r>
            <w:r>
              <w:rPr>
                <w:rFonts w:hint="eastAsia" w:ascii="Times New Roman" w:cs="Times New Roman"/>
                <w:color w:val="auto"/>
                <w:sz w:val="24"/>
                <w:szCs w:val="24"/>
              </w:rPr>
              <w:t>。</w:t>
            </w:r>
          </w:p>
          <w:p>
            <w:pPr>
              <w:pStyle w:val="4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asci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 xml:space="preserve"> </w:t>
            </w:r>
            <w:r>
              <w:rPr>
                <w:rFonts w:hint="eastAsia" w:ascii="Times New Roman" w:cs="Times New Roman"/>
                <w:b/>
                <w:bCs/>
                <w:color w:val="auto"/>
                <w:sz w:val="24"/>
                <w:szCs w:val="24"/>
                <w:lang w:val="en-US" w:eastAsia="zh-CN"/>
              </w:rPr>
              <w:t>主要噪声</w:t>
            </w:r>
            <w:r>
              <w:rPr>
                <w:rFonts w:hint="default" w:ascii="Times New Roman" w:hAnsi="Times New Roman" w:cs="Times New Roman"/>
                <w:b/>
                <w:bCs/>
                <w:color w:val="auto"/>
                <w:sz w:val="24"/>
                <w:szCs w:val="24"/>
                <w:lang w:val="en-US" w:eastAsia="zh-CN"/>
              </w:rPr>
              <w:t>污染源源强一览表</w:t>
            </w:r>
          </w:p>
          <w:tbl>
            <w:tblPr>
              <w:tblStyle w:val="31"/>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0"/>
              <w:gridCol w:w="1007"/>
              <w:gridCol w:w="781"/>
              <w:gridCol w:w="1241"/>
              <w:gridCol w:w="2063"/>
              <w:gridCol w:w="1065"/>
              <w:gridCol w:w="14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417"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序号</w:t>
                  </w:r>
                </w:p>
              </w:tc>
              <w:tc>
                <w:tcPr>
                  <w:tcW w:w="609" w:type="pct"/>
                  <w:tcBorders>
                    <w:tl2br w:val="nil"/>
                    <w:tr2bl w:val="nil"/>
                  </w:tcBorders>
                  <w:vAlign w:val="center"/>
                </w:tcPr>
                <w:p>
                  <w:pPr>
                    <w:jc w:val="center"/>
                    <w:rPr>
                      <w:b/>
                      <w:bCs/>
                      <w:color w:val="auto"/>
                      <w:sz w:val="21"/>
                      <w:szCs w:val="21"/>
                    </w:rPr>
                  </w:pPr>
                  <w:r>
                    <w:rPr>
                      <w:rFonts w:hint="eastAsia"/>
                      <w:b/>
                      <w:bCs/>
                      <w:color w:val="auto"/>
                      <w:sz w:val="21"/>
                      <w:szCs w:val="21"/>
                    </w:rPr>
                    <w:t>噪声源</w:t>
                  </w:r>
                </w:p>
              </w:tc>
              <w:tc>
                <w:tcPr>
                  <w:tcW w:w="472" w:type="pct"/>
                  <w:tcBorders>
                    <w:tl2br w:val="nil"/>
                    <w:tr2bl w:val="nil"/>
                  </w:tcBorders>
                  <w:vAlign w:val="center"/>
                </w:tcPr>
                <w:p>
                  <w:pPr>
                    <w:jc w:val="center"/>
                    <w:rPr>
                      <w:rFonts w:hint="eastAsia" w:eastAsia="宋体"/>
                      <w:b/>
                      <w:bCs/>
                      <w:color w:val="auto"/>
                      <w:sz w:val="21"/>
                      <w:szCs w:val="21"/>
                      <w:lang w:val="en-US" w:eastAsia="zh-CN"/>
                    </w:rPr>
                  </w:pPr>
                  <w:r>
                    <w:rPr>
                      <w:rFonts w:hint="eastAsia"/>
                      <w:b/>
                      <w:bCs/>
                      <w:color w:val="auto"/>
                      <w:sz w:val="21"/>
                      <w:szCs w:val="21"/>
                      <w:lang w:val="en-US" w:eastAsia="zh-CN"/>
                    </w:rPr>
                    <w:t>数量</w:t>
                  </w:r>
                </w:p>
              </w:tc>
              <w:tc>
                <w:tcPr>
                  <w:tcW w:w="750" w:type="pct"/>
                  <w:tcBorders>
                    <w:tl2br w:val="nil"/>
                    <w:tr2bl w:val="nil"/>
                  </w:tcBorders>
                  <w:vAlign w:val="center"/>
                </w:tcPr>
                <w:p>
                  <w:pPr>
                    <w:jc w:val="center"/>
                    <w:rPr>
                      <w:rFonts w:hint="eastAsia" w:eastAsia="宋体"/>
                      <w:b/>
                      <w:bCs/>
                      <w:color w:val="auto"/>
                      <w:sz w:val="21"/>
                      <w:szCs w:val="21"/>
                      <w:lang w:eastAsia="zh-CN"/>
                    </w:rPr>
                  </w:pPr>
                  <w:r>
                    <w:rPr>
                      <w:rFonts w:hint="eastAsia"/>
                      <w:b/>
                      <w:bCs/>
                      <w:color w:val="auto"/>
                      <w:sz w:val="21"/>
                      <w:szCs w:val="21"/>
                    </w:rPr>
                    <w:t>噪声源强</w:t>
                  </w:r>
                  <w:r>
                    <w:rPr>
                      <w:b/>
                      <w:bCs/>
                      <w:color w:val="auto"/>
                      <w:sz w:val="21"/>
                      <w:szCs w:val="21"/>
                    </w:rPr>
                    <w:t>dB(A)</w:t>
                  </w:r>
                  <w:r>
                    <w:rPr>
                      <w:rFonts w:hint="eastAsia"/>
                      <w:b/>
                      <w:bCs/>
                      <w:color w:val="auto"/>
                      <w:sz w:val="21"/>
                      <w:szCs w:val="21"/>
                      <w:lang w:val="en-US" w:eastAsia="zh-CN"/>
                    </w:rPr>
                    <w:t xml:space="preserve"> </w:t>
                  </w:r>
                </w:p>
              </w:tc>
              <w:tc>
                <w:tcPr>
                  <w:tcW w:w="1247" w:type="pct"/>
                  <w:tcBorders>
                    <w:tl2br w:val="nil"/>
                    <w:tr2bl w:val="nil"/>
                  </w:tcBorders>
                  <w:vAlign w:val="center"/>
                </w:tcPr>
                <w:p>
                  <w:pPr>
                    <w:jc w:val="center"/>
                    <w:rPr>
                      <w:b/>
                      <w:bCs/>
                      <w:color w:val="auto"/>
                      <w:sz w:val="21"/>
                      <w:szCs w:val="21"/>
                    </w:rPr>
                  </w:pPr>
                  <w:r>
                    <w:rPr>
                      <w:rFonts w:hint="eastAsia"/>
                      <w:b/>
                      <w:bCs/>
                      <w:color w:val="auto"/>
                      <w:sz w:val="21"/>
                      <w:szCs w:val="21"/>
                    </w:rPr>
                    <w:t>降噪措施</w:t>
                  </w:r>
                </w:p>
              </w:tc>
              <w:tc>
                <w:tcPr>
                  <w:tcW w:w="1502" w:type="pct"/>
                  <w:gridSpan w:val="2"/>
                  <w:tcBorders>
                    <w:tl2br w:val="nil"/>
                    <w:tr2bl w:val="nil"/>
                  </w:tcBorders>
                  <w:vAlign w:val="center"/>
                </w:tcPr>
                <w:p>
                  <w:pPr>
                    <w:jc w:val="center"/>
                    <w:rPr>
                      <w:rFonts w:hint="eastAsia"/>
                      <w:b/>
                      <w:bCs/>
                      <w:color w:val="auto"/>
                      <w:sz w:val="21"/>
                      <w:szCs w:val="21"/>
                      <w:lang w:val="en-US" w:eastAsia="zh-CN"/>
                    </w:rPr>
                  </w:pPr>
                  <w:r>
                    <w:rPr>
                      <w:rFonts w:hint="eastAsia"/>
                      <w:b/>
                      <w:bCs/>
                      <w:color w:val="auto"/>
                      <w:sz w:val="21"/>
                      <w:szCs w:val="21"/>
                    </w:rPr>
                    <w:t>噪声排放值</w:t>
                  </w:r>
                  <w:r>
                    <w:rPr>
                      <w:rFonts w:hint="eastAsia"/>
                      <w:b/>
                      <w:bCs/>
                      <w:color w:val="auto"/>
                      <w:sz w:val="21"/>
                      <w:szCs w:val="21"/>
                      <w:lang w:val="en-US" w:eastAsia="zh-CN"/>
                    </w:rPr>
                    <w:t xml:space="preserve"> </w:t>
                  </w:r>
                  <w:r>
                    <w:rPr>
                      <w:b/>
                      <w:bCs/>
                      <w:color w:val="auto"/>
                      <w:sz w:val="21"/>
                      <w:szCs w:val="21"/>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7" w:type="pct"/>
                  <w:vMerge w:val="restart"/>
                  <w:tcBorders>
                    <w:tl2br w:val="nil"/>
                    <w:tr2bl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609" w:type="pct"/>
                  <w:vMerge w:val="restart"/>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风机</w:t>
                  </w:r>
                </w:p>
              </w:tc>
              <w:tc>
                <w:tcPr>
                  <w:tcW w:w="472" w:type="pct"/>
                  <w:vMerge w:val="restart"/>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1台</w:t>
                  </w:r>
                </w:p>
              </w:tc>
              <w:tc>
                <w:tcPr>
                  <w:tcW w:w="750" w:type="pct"/>
                  <w:vMerge w:val="restart"/>
                  <w:tcBorders>
                    <w:tl2br w:val="nil"/>
                    <w:tr2bl w:val="nil"/>
                  </w:tcBorders>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90</w:t>
                  </w:r>
                </w:p>
              </w:tc>
              <w:tc>
                <w:tcPr>
                  <w:tcW w:w="1247" w:type="pct"/>
                  <w:vMerge w:val="restart"/>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选用低噪声设备</w:t>
                  </w:r>
                  <w:r>
                    <w:rPr>
                      <w:rFonts w:hint="eastAsia" w:cs="Times New Roman"/>
                      <w:color w:val="auto"/>
                      <w:lang w:val="en-US" w:eastAsia="zh-CN"/>
                    </w:rPr>
                    <w:t>，基础减震、消声</w:t>
                  </w:r>
                </w:p>
              </w:tc>
              <w:tc>
                <w:tcPr>
                  <w:tcW w:w="644" w:type="pct"/>
                  <w:tcBorders>
                    <w:right w:val="single" w:color="auto" w:sz="4" w:space="0"/>
                    <w:tl2br w:val="nil"/>
                    <w:tr2bl w:val="nil"/>
                  </w:tcBorders>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昼间</w:t>
                  </w:r>
                </w:p>
              </w:tc>
              <w:tc>
                <w:tcPr>
                  <w:tcW w:w="857" w:type="pct"/>
                  <w:tcBorders>
                    <w:left w:val="single" w:color="auto" w:sz="4" w:space="0"/>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r>
                    <w:rPr>
                      <w:rFonts w:hint="eastAsia" w:cs="Times New Roman"/>
                      <w:color w:val="auto"/>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7" w:type="pct"/>
                  <w:vMerge w:val="continue"/>
                  <w:tcBorders>
                    <w:tl2br w:val="nil"/>
                    <w:tr2bl w:val="nil"/>
                  </w:tcBorders>
                  <w:vAlign w:val="center"/>
                </w:tcPr>
                <w:p>
                  <w:pPr>
                    <w:jc w:val="center"/>
                    <w:rPr>
                      <w:rFonts w:hint="default" w:ascii="Times New Roman" w:hAnsi="Times New Roman" w:eastAsia="宋体" w:cs="Times New Roman"/>
                      <w:color w:val="auto"/>
                    </w:rPr>
                  </w:pPr>
                </w:p>
              </w:tc>
              <w:tc>
                <w:tcPr>
                  <w:tcW w:w="609" w:type="pct"/>
                  <w:vMerge w:val="continue"/>
                  <w:tcBorders>
                    <w:tl2br w:val="nil"/>
                    <w:tr2bl w:val="nil"/>
                  </w:tcBorders>
                  <w:vAlign w:val="center"/>
                </w:tcPr>
                <w:p>
                  <w:pPr>
                    <w:jc w:val="center"/>
                    <w:rPr>
                      <w:rFonts w:hint="eastAsia" w:ascii="Times New Roman" w:hAnsi="Times New Roman" w:eastAsia="宋体" w:cs="Times New Roman"/>
                      <w:color w:val="auto"/>
                      <w:lang w:val="en-US" w:eastAsia="zh-CN"/>
                    </w:rPr>
                  </w:pPr>
                </w:p>
              </w:tc>
              <w:tc>
                <w:tcPr>
                  <w:tcW w:w="472" w:type="pct"/>
                  <w:vMerge w:val="continue"/>
                  <w:tcBorders>
                    <w:tl2br w:val="nil"/>
                    <w:tr2bl w:val="nil"/>
                  </w:tcBorders>
                  <w:vAlign w:val="center"/>
                </w:tcPr>
                <w:p>
                  <w:pPr>
                    <w:jc w:val="center"/>
                    <w:rPr>
                      <w:rFonts w:hint="eastAsia" w:ascii="Times New Roman" w:hAnsi="Times New Roman" w:eastAsia="宋体" w:cs="Times New Roman"/>
                      <w:color w:val="auto"/>
                      <w:lang w:val="en-US" w:eastAsia="zh-CN"/>
                    </w:rPr>
                  </w:pPr>
                </w:p>
              </w:tc>
              <w:tc>
                <w:tcPr>
                  <w:tcW w:w="750" w:type="pct"/>
                  <w:vMerge w:val="continue"/>
                  <w:tcBorders>
                    <w:tl2br w:val="nil"/>
                    <w:tr2bl w:val="nil"/>
                  </w:tcBorders>
                  <w:vAlign w:val="center"/>
                </w:tcPr>
                <w:p>
                  <w:pPr>
                    <w:jc w:val="center"/>
                    <w:rPr>
                      <w:rFonts w:hint="eastAsia" w:cs="Times New Roman"/>
                      <w:color w:val="auto"/>
                      <w:lang w:val="en-US" w:eastAsia="zh-CN"/>
                    </w:rPr>
                  </w:pPr>
                </w:p>
              </w:tc>
              <w:tc>
                <w:tcPr>
                  <w:tcW w:w="1247" w:type="pct"/>
                  <w:vMerge w:val="continue"/>
                  <w:tcBorders>
                    <w:tl2br w:val="nil"/>
                    <w:tr2bl w:val="nil"/>
                  </w:tcBorders>
                  <w:vAlign w:val="center"/>
                </w:tcPr>
                <w:p>
                  <w:pPr>
                    <w:jc w:val="center"/>
                    <w:rPr>
                      <w:rFonts w:hint="eastAsia" w:ascii="Times New Roman" w:hAnsi="Times New Roman" w:eastAsia="宋体" w:cs="Times New Roman"/>
                      <w:color w:val="auto"/>
                    </w:rPr>
                  </w:pPr>
                </w:p>
              </w:tc>
              <w:tc>
                <w:tcPr>
                  <w:tcW w:w="644" w:type="pct"/>
                  <w:tcBorders>
                    <w:right w:val="single" w:color="auto" w:sz="4" w:space="0"/>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夜间</w:t>
                  </w:r>
                </w:p>
              </w:tc>
              <w:tc>
                <w:tcPr>
                  <w:tcW w:w="857" w:type="pct"/>
                  <w:tcBorders>
                    <w:left w:val="single" w:color="auto" w:sz="4" w:space="0"/>
                    <w:tl2br w:val="nil"/>
                    <w:tr2bl w:val="nil"/>
                  </w:tcBorders>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7" w:type="pct"/>
                  <w:vMerge w:val="restart"/>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609" w:type="pct"/>
                  <w:vMerge w:val="restart"/>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打包机</w:t>
                  </w:r>
                </w:p>
              </w:tc>
              <w:tc>
                <w:tcPr>
                  <w:tcW w:w="472" w:type="pct"/>
                  <w:vMerge w:val="restart"/>
                  <w:tcBorders>
                    <w:tl2br w:val="nil"/>
                    <w:tr2bl w:val="nil"/>
                  </w:tcBorders>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1台</w:t>
                  </w:r>
                </w:p>
              </w:tc>
              <w:tc>
                <w:tcPr>
                  <w:tcW w:w="750" w:type="pct"/>
                  <w:vMerge w:val="restart"/>
                  <w:tcBorders>
                    <w:tl2br w:val="nil"/>
                    <w:tr2bl w:val="nil"/>
                  </w:tcBorders>
                  <w:vAlign w:val="center"/>
                </w:tcPr>
                <w:p>
                  <w:pPr>
                    <w:jc w:val="center"/>
                    <w:rPr>
                      <w:rFonts w:hint="default" w:cs="Times New Roman"/>
                      <w:color w:val="auto"/>
                      <w:lang w:val="en-US" w:eastAsia="zh-CN"/>
                    </w:rPr>
                  </w:pPr>
                  <w:r>
                    <w:rPr>
                      <w:rFonts w:hint="eastAsia" w:cs="Times New Roman"/>
                      <w:color w:val="auto"/>
                      <w:lang w:val="en-US" w:eastAsia="zh-CN"/>
                    </w:rPr>
                    <w:t>90</w:t>
                  </w:r>
                </w:p>
              </w:tc>
              <w:tc>
                <w:tcPr>
                  <w:tcW w:w="1247" w:type="pct"/>
                  <w:vMerge w:val="restart"/>
                  <w:tcBorders>
                    <w:tl2br w:val="nil"/>
                    <w:tr2bl w:val="nil"/>
                  </w:tcBorders>
                  <w:vAlign w:val="center"/>
                </w:tcPr>
                <w:p>
                  <w:pPr>
                    <w:jc w:val="center"/>
                    <w:rPr>
                      <w:rFonts w:hint="eastAsia" w:ascii="Times New Roman" w:hAnsi="Times New Roman" w:eastAsia="宋体" w:cs="Times New Roman"/>
                      <w:color w:val="auto"/>
                      <w:lang w:eastAsia="zh-CN"/>
                    </w:rPr>
                  </w:pPr>
                  <w:r>
                    <w:rPr>
                      <w:rFonts w:hint="eastAsia" w:cs="Times New Roman"/>
                      <w:color w:val="auto"/>
                      <w:lang w:eastAsia="zh-CN"/>
                    </w:rPr>
                    <w:t>低噪声设备、车间隔声</w:t>
                  </w:r>
                </w:p>
              </w:tc>
              <w:tc>
                <w:tcPr>
                  <w:tcW w:w="644" w:type="pct"/>
                  <w:tcBorders>
                    <w:right w:val="single" w:color="auto" w:sz="4" w:space="0"/>
                    <w:tl2br w:val="nil"/>
                    <w:tr2bl w:val="nil"/>
                  </w:tcBorders>
                  <w:vAlign w:val="center"/>
                </w:tcPr>
                <w:p>
                  <w:pPr>
                    <w:jc w:val="center"/>
                    <w:rPr>
                      <w:rFonts w:hint="eastAsia" w:cs="Times New Roman"/>
                      <w:color w:val="auto"/>
                      <w:lang w:val="en-US" w:eastAsia="zh-CN"/>
                    </w:rPr>
                  </w:pPr>
                  <w:r>
                    <w:rPr>
                      <w:rFonts w:hint="eastAsia" w:cs="Times New Roman"/>
                      <w:color w:val="auto"/>
                      <w:lang w:val="en-US" w:eastAsia="zh-CN"/>
                    </w:rPr>
                    <w:t>昼间</w:t>
                  </w:r>
                </w:p>
              </w:tc>
              <w:tc>
                <w:tcPr>
                  <w:tcW w:w="857" w:type="pct"/>
                  <w:tcBorders>
                    <w:left w:val="single" w:color="auto" w:sz="4" w:space="0"/>
                    <w:tl2br w:val="nil"/>
                    <w:tr2bl w:val="nil"/>
                  </w:tcBorders>
                  <w:vAlign w:val="center"/>
                </w:tcPr>
                <w:p>
                  <w:pPr>
                    <w:jc w:val="center"/>
                    <w:rPr>
                      <w:rFonts w:hint="eastAsia" w:cs="Times New Roman"/>
                      <w:color w:val="auto"/>
                      <w:lang w:val="en-US" w:eastAsia="zh-CN"/>
                    </w:rPr>
                  </w:pPr>
                  <w:r>
                    <w:rPr>
                      <w:rFonts w:hint="eastAsia" w:ascii="Times New Roman" w:hAnsi="Times New Roman" w:eastAsia="宋体" w:cs="Times New Roman"/>
                      <w:color w:val="auto"/>
                      <w:lang w:val="en-US" w:eastAsia="zh-CN"/>
                    </w:rPr>
                    <w:t>6</w:t>
                  </w:r>
                  <w:r>
                    <w:rPr>
                      <w:rFonts w:hint="eastAsia" w:cs="Times New Roman"/>
                      <w:color w:val="auto"/>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7" w:type="pct"/>
                  <w:vMerge w:val="continue"/>
                  <w:tcBorders>
                    <w:tl2br w:val="nil"/>
                    <w:tr2bl w:val="nil"/>
                  </w:tcBorders>
                  <w:vAlign w:val="center"/>
                </w:tcPr>
                <w:p>
                  <w:pPr>
                    <w:jc w:val="center"/>
                    <w:rPr>
                      <w:rFonts w:hint="eastAsia" w:cs="Times New Roman"/>
                      <w:color w:val="auto"/>
                      <w:lang w:val="en-US" w:eastAsia="zh-CN"/>
                    </w:rPr>
                  </w:pPr>
                </w:p>
              </w:tc>
              <w:tc>
                <w:tcPr>
                  <w:tcW w:w="609" w:type="pct"/>
                  <w:vMerge w:val="continue"/>
                  <w:tcBorders>
                    <w:tl2br w:val="nil"/>
                    <w:tr2bl w:val="nil"/>
                  </w:tcBorders>
                  <w:vAlign w:val="center"/>
                </w:tcPr>
                <w:p>
                  <w:pPr>
                    <w:jc w:val="center"/>
                    <w:rPr>
                      <w:rFonts w:hint="eastAsia" w:cs="Times New Roman"/>
                      <w:color w:val="auto"/>
                      <w:lang w:val="en-US" w:eastAsia="zh-CN"/>
                    </w:rPr>
                  </w:pPr>
                </w:p>
              </w:tc>
              <w:tc>
                <w:tcPr>
                  <w:tcW w:w="472" w:type="pct"/>
                  <w:vMerge w:val="continue"/>
                  <w:tcBorders>
                    <w:tl2br w:val="nil"/>
                    <w:tr2bl w:val="nil"/>
                  </w:tcBorders>
                  <w:vAlign w:val="center"/>
                </w:tcPr>
                <w:p>
                  <w:pPr>
                    <w:jc w:val="center"/>
                    <w:rPr>
                      <w:rFonts w:hint="eastAsia" w:cs="Times New Roman"/>
                      <w:color w:val="auto"/>
                      <w:lang w:val="en-US" w:eastAsia="zh-CN"/>
                    </w:rPr>
                  </w:pPr>
                </w:p>
              </w:tc>
              <w:tc>
                <w:tcPr>
                  <w:tcW w:w="750" w:type="pct"/>
                  <w:vMerge w:val="continue"/>
                  <w:tcBorders>
                    <w:tl2br w:val="nil"/>
                    <w:tr2bl w:val="nil"/>
                  </w:tcBorders>
                  <w:vAlign w:val="center"/>
                </w:tcPr>
                <w:p>
                  <w:pPr>
                    <w:jc w:val="center"/>
                    <w:rPr>
                      <w:rFonts w:hint="eastAsia" w:cs="Times New Roman"/>
                      <w:color w:val="auto"/>
                      <w:lang w:val="en-US" w:eastAsia="zh-CN"/>
                    </w:rPr>
                  </w:pPr>
                </w:p>
              </w:tc>
              <w:tc>
                <w:tcPr>
                  <w:tcW w:w="1247" w:type="pct"/>
                  <w:vMerge w:val="continue"/>
                  <w:tcBorders>
                    <w:tl2br w:val="nil"/>
                    <w:tr2bl w:val="nil"/>
                  </w:tcBorders>
                  <w:vAlign w:val="center"/>
                </w:tcPr>
                <w:p>
                  <w:pPr>
                    <w:jc w:val="center"/>
                    <w:rPr>
                      <w:rFonts w:hint="eastAsia" w:cs="Times New Roman"/>
                      <w:color w:val="auto"/>
                      <w:lang w:eastAsia="zh-CN"/>
                    </w:rPr>
                  </w:pPr>
                </w:p>
              </w:tc>
              <w:tc>
                <w:tcPr>
                  <w:tcW w:w="644" w:type="pct"/>
                  <w:tcBorders>
                    <w:right w:val="single" w:color="auto" w:sz="4" w:space="0"/>
                    <w:tl2br w:val="nil"/>
                    <w:tr2bl w:val="nil"/>
                  </w:tcBorders>
                  <w:vAlign w:val="center"/>
                </w:tcPr>
                <w:p>
                  <w:pPr>
                    <w:jc w:val="center"/>
                    <w:rPr>
                      <w:rFonts w:hint="eastAsia" w:cs="Times New Roman"/>
                      <w:color w:val="auto"/>
                      <w:lang w:val="en-US" w:eastAsia="zh-CN"/>
                    </w:rPr>
                  </w:pPr>
                  <w:r>
                    <w:rPr>
                      <w:rFonts w:hint="eastAsia" w:cs="Times New Roman"/>
                      <w:color w:val="auto"/>
                      <w:lang w:val="en-US" w:eastAsia="zh-CN"/>
                    </w:rPr>
                    <w:t>夜间</w:t>
                  </w:r>
                </w:p>
              </w:tc>
              <w:tc>
                <w:tcPr>
                  <w:tcW w:w="857" w:type="pct"/>
                  <w:tcBorders>
                    <w:left w:val="single" w:color="auto" w:sz="4" w:space="0"/>
                    <w:tl2br w:val="nil"/>
                    <w:tr2bl w:val="nil"/>
                  </w:tcBorders>
                  <w:vAlign w:val="center"/>
                </w:tcPr>
                <w:p>
                  <w:pPr>
                    <w:jc w:val="center"/>
                    <w:rPr>
                      <w:rFonts w:hint="eastAsia" w:cs="Times New Roman"/>
                      <w:color w:val="auto"/>
                      <w:lang w:val="en-US" w:eastAsia="zh-CN"/>
                    </w:rPr>
                  </w:pPr>
                  <w:r>
                    <w:rPr>
                      <w:rFonts w:hint="eastAsia" w:cs="Times New Roman"/>
                      <w:color w:val="auto"/>
                      <w:lang w:val="en-US" w:eastAsia="zh-CN"/>
                    </w:rPr>
                    <w:t>55</w:t>
                  </w:r>
                </w:p>
              </w:tc>
            </w:tr>
          </w:tbl>
          <w:p>
            <w:pPr>
              <w:rPr>
                <w:rFonts w:hint="default"/>
                <w:color w:val="auto"/>
                <w:lang w:val="en-US" w:eastAsia="zh-CN"/>
              </w:rPr>
            </w:pP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运营期噪声影响分析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highlight w:val="none"/>
              </w:rPr>
              <w:t>本</w:t>
            </w:r>
            <w:r>
              <w:rPr>
                <w:rFonts w:hint="eastAsia"/>
                <w:color w:val="auto"/>
                <w:sz w:val="24"/>
                <w:szCs w:val="24"/>
                <w:highlight w:val="none"/>
                <w:lang w:eastAsia="zh-CN"/>
              </w:rPr>
              <w:t>次扩建危废暂存间</w:t>
            </w:r>
            <w:r>
              <w:rPr>
                <w:rFonts w:hint="eastAsia"/>
                <w:color w:val="auto"/>
                <w:sz w:val="24"/>
                <w:szCs w:val="24"/>
                <w:highlight w:val="none"/>
                <w:lang w:val="en-US" w:eastAsia="zh-CN"/>
              </w:rPr>
              <w:t>主要将现有危废暂存间贮存的固体危险废物</w:t>
            </w:r>
            <w:r>
              <w:rPr>
                <w:rFonts w:hint="eastAsia"/>
                <w:color w:val="auto"/>
                <w:sz w:val="24"/>
                <w:szCs w:val="24"/>
                <w:highlight w:val="none"/>
                <w:lang w:eastAsia="zh-CN"/>
              </w:rPr>
              <w:t>转移至本次扩建的危废暂存间中贮存，分担</w:t>
            </w:r>
            <w:r>
              <w:rPr>
                <w:rFonts w:hint="eastAsia" w:cs="Times New Roman" w:eastAsiaTheme="minorEastAsia"/>
                <w:color w:val="auto"/>
                <w:kern w:val="0"/>
                <w:sz w:val="24"/>
                <w:szCs w:val="24"/>
                <w:highlight w:val="none"/>
                <w:lang w:val="en-US" w:eastAsia="zh-CN"/>
              </w:rPr>
              <w:t>现有危废暂存间贮存空间压力、避免危险废物因贮存空间减小导致不同种类的危险废物接触</w:t>
            </w:r>
            <w:r>
              <w:rPr>
                <w:rFonts w:hint="eastAsia"/>
                <w:color w:val="auto"/>
                <w:sz w:val="24"/>
                <w:szCs w:val="24"/>
                <w:highlight w:val="none"/>
              </w:rPr>
              <w:t>。</w:t>
            </w:r>
            <w:r>
              <w:rPr>
                <w:rFonts w:hint="eastAsia"/>
                <w:color w:val="auto"/>
                <w:sz w:val="24"/>
                <w:szCs w:val="24"/>
                <w:highlight w:val="none"/>
                <w:lang w:eastAsia="zh-CN"/>
              </w:rPr>
              <w:t>建设完成后，本次扩建危废暂存间和现有危废暂存间共同使用，现有危废暂存间贮存液态危险废物，用于</w:t>
            </w:r>
            <w:r>
              <w:rPr>
                <w:rFonts w:hint="eastAsia"/>
                <w:color w:val="auto"/>
                <w:sz w:val="24"/>
                <w:szCs w:val="24"/>
                <w:lang w:val="en-US" w:eastAsia="zh-CN"/>
              </w:rPr>
              <w:t>暂存渭南高新区海泰新型电子材料有限责任公司危险废物，定期交由有资质单位统一转运处置。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本次扩建危废暂存间和现有危废暂存间共用一套大气污染物处理设施，没有增加产噪设备设和运行时间。本次环评采用实测的方法确定厂界（危废间边界）噪声达标情况分析，监测结果见下表。</w:t>
            </w:r>
          </w:p>
          <w:p>
            <w:pPr>
              <w:jc w:val="center"/>
              <w:rPr>
                <w:rFonts w:hint="eastAsia"/>
                <w:b/>
                <w:color w:val="auto"/>
                <w:sz w:val="24"/>
              </w:rPr>
            </w:pPr>
            <w:r>
              <w:rPr>
                <w:rFonts w:hint="eastAsia"/>
                <w:b/>
                <w:color w:val="auto"/>
                <w:sz w:val="24"/>
              </w:rPr>
              <w:t>表4-</w:t>
            </w:r>
            <w:r>
              <w:rPr>
                <w:rFonts w:hint="eastAsia"/>
                <w:b/>
                <w:color w:val="auto"/>
                <w:sz w:val="24"/>
                <w:lang w:val="en-US" w:eastAsia="zh-CN"/>
              </w:rPr>
              <w:t>6</w:t>
            </w:r>
            <w:r>
              <w:rPr>
                <w:rFonts w:hint="eastAsia"/>
                <w:b/>
                <w:color w:val="auto"/>
                <w:sz w:val="24"/>
              </w:rPr>
              <w:t xml:space="preserve"> </w:t>
            </w:r>
            <w:r>
              <w:rPr>
                <w:rFonts w:hint="eastAsia"/>
                <w:b/>
                <w:color w:val="auto"/>
                <w:sz w:val="24"/>
                <w:lang w:eastAsia="zh-CN"/>
              </w:rPr>
              <w:t>危废暂存间厂（边）界</w:t>
            </w:r>
            <w:r>
              <w:rPr>
                <w:rFonts w:hint="eastAsia"/>
                <w:b/>
                <w:color w:val="auto"/>
                <w:sz w:val="24"/>
              </w:rPr>
              <w:t>噪声</w:t>
            </w:r>
            <w:r>
              <w:rPr>
                <w:rFonts w:hint="eastAsia"/>
                <w:b/>
                <w:color w:val="auto"/>
                <w:sz w:val="24"/>
                <w:lang w:eastAsia="zh-CN"/>
              </w:rPr>
              <w:t>监测</w:t>
            </w:r>
            <w:r>
              <w:rPr>
                <w:rFonts w:hint="eastAsia"/>
                <w:b/>
                <w:color w:val="auto"/>
                <w:sz w:val="24"/>
              </w:rPr>
              <w:t>结果</w:t>
            </w:r>
            <w:r>
              <w:rPr>
                <w:rFonts w:hint="eastAsia"/>
                <w:b/>
                <w:color w:val="auto"/>
                <w:sz w:val="24"/>
                <w:lang w:val="en-US" w:eastAsia="zh-CN"/>
              </w:rPr>
              <w:t xml:space="preserve">   </w:t>
            </w:r>
            <w:r>
              <w:rPr>
                <w:rFonts w:hint="eastAsia"/>
                <w:b/>
                <w:color w:val="auto"/>
                <w:sz w:val="24"/>
              </w:rPr>
              <w:t>单位：dB(A)</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3"/>
              <w:gridCol w:w="1271"/>
              <w:gridCol w:w="1272"/>
              <w:gridCol w:w="1271"/>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928" w:type="pct"/>
                  <w:vMerge w:val="restart"/>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监测点位</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月01日</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928" w:type="pct"/>
                  <w:vMerge w:val="continue"/>
                  <w:noWrap w:val="0"/>
                  <w:vAlign w:val="center"/>
                </w:tcPr>
                <w:p>
                  <w:pPr>
                    <w:spacing w:line="288" w:lineRule="auto"/>
                    <w:jc w:val="center"/>
                    <w:rPr>
                      <w:rFonts w:hint="default" w:ascii="Times New Roman" w:hAnsi="Times New Roman" w:eastAsia="宋体" w:cs="Times New Roman"/>
                      <w:b/>
                      <w:bCs/>
                      <w:color w:val="auto"/>
                      <w:szCs w:val="21"/>
                    </w:rPr>
                  </w:pPr>
                </w:p>
              </w:tc>
              <w:tc>
                <w:tcPr>
                  <w:tcW w:w="767" w:type="pct"/>
                  <w:noWrap w:val="0"/>
                  <w:vAlign w:val="center"/>
                </w:tcPr>
                <w:p>
                  <w:pPr>
                    <w:spacing w:line="288"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（1#）</w:t>
                  </w:r>
                  <w:r>
                    <w:rPr>
                      <w:rFonts w:hint="eastAsia"/>
                      <w:color w:val="auto"/>
                      <w:szCs w:val="21"/>
                      <w:lang w:eastAsia="zh-CN"/>
                    </w:rPr>
                    <w:t>危废间东边界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59</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（2#）</w:t>
                  </w:r>
                  <w:r>
                    <w:rPr>
                      <w:rFonts w:hint="eastAsia"/>
                      <w:color w:val="auto"/>
                      <w:szCs w:val="21"/>
                      <w:lang w:eastAsia="zh-CN"/>
                    </w:rPr>
                    <w:t>危废间南边界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62</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（3#）</w:t>
                  </w:r>
                  <w:r>
                    <w:rPr>
                      <w:rFonts w:hint="eastAsia"/>
                      <w:color w:val="auto"/>
                      <w:szCs w:val="21"/>
                      <w:lang w:eastAsia="zh-CN"/>
                    </w:rPr>
                    <w:t>危废间西边界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52</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（4#）</w:t>
                  </w:r>
                  <w:r>
                    <w:rPr>
                      <w:rFonts w:hint="eastAsia"/>
                      <w:color w:val="auto"/>
                      <w:szCs w:val="21"/>
                      <w:lang w:eastAsia="zh-CN"/>
                    </w:rPr>
                    <w:t>危废间北边界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49</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928" w:type="pct"/>
                  <w:tcBorders>
                    <w:right w:val="single" w:color="000000" w:sz="4" w:space="0"/>
                  </w:tcBorders>
                  <w:noWrap w:val="0"/>
                  <w:vAlign w:val="center"/>
                </w:tcPr>
                <w:p>
                  <w:pPr>
                    <w:tabs>
                      <w:tab w:val="center" w:pos="1206"/>
                      <w:tab w:val="right" w:pos="2293"/>
                    </w:tabs>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排放限值</w:t>
                  </w:r>
                  <w:r>
                    <w:rPr>
                      <w:rFonts w:hint="eastAsia" w:eastAsia="宋体" w:cs="Times New Roman"/>
                      <w:color w:val="auto"/>
                      <w:szCs w:val="21"/>
                      <w:lang w:eastAsia="zh-CN"/>
                    </w:rPr>
                    <w:t>：</w:t>
                  </w:r>
                  <w:r>
                    <w:rPr>
                      <w:rFonts w:hint="default"/>
                      <w:color w:val="auto"/>
                      <w:szCs w:val="21"/>
                      <w:lang w:val="en-US" w:eastAsia="zh-CN"/>
                    </w:rPr>
                    <w:t>《工业企业厂界环境噪声排放标准》（GB12348-2008）中的</w:t>
                  </w:r>
                  <w:r>
                    <w:rPr>
                      <w:rFonts w:hint="eastAsia"/>
                      <w:color w:val="auto"/>
                      <w:szCs w:val="21"/>
                      <w:lang w:val="en-US" w:eastAsia="zh-CN"/>
                    </w:rPr>
                    <w:t>3</w:t>
                  </w:r>
                  <w:r>
                    <w:rPr>
                      <w:rFonts w:hint="default"/>
                      <w:color w:val="auto"/>
                      <w:szCs w:val="21"/>
                      <w:lang w:val="en-US" w:eastAsia="zh-CN"/>
                    </w:rPr>
                    <w:t>类标准</w:t>
                  </w:r>
                </w:p>
              </w:tc>
              <w:tc>
                <w:tcPr>
                  <w:tcW w:w="3071" w:type="pct"/>
                  <w:gridSpan w:val="4"/>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昼间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65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lang w:val="en-US" w:eastAsia="zh-CN"/>
                    </w:rPr>
                    <w:t>夜间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55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本项目主要噪声源来自风机和打包机，噪声源声级强度为90dB(A)。根据监测结果可知，通过采取选用低噪声设备、基础减震、消声等措施，危废暂存间各厂（边）界均能够满足《工业企业厂界环境噪声排放标准》（GB12348-2008）中的3类标准要求。因此，本项目产生的噪声对周围声环境的影响可接受。       </w:t>
            </w:r>
          </w:p>
          <w:p>
            <w:pPr>
              <w:spacing w:line="360" w:lineRule="auto"/>
              <w:ind w:firstLine="480" w:firstLineChars="200"/>
              <w:contextualSpacing/>
              <w:rPr>
                <w:rFonts w:hint="default" w:eastAsia="宋体"/>
                <w:b w:val="0"/>
                <w:bCs w:val="0"/>
                <w:color w:val="auto"/>
                <w:sz w:val="24"/>
                <w:szCs w:val="24"/>
                <w:lang w:val="en-US" w:eastAsia="zh-CN"/>
              </w:rPr>
            </w:pPr>
            <w:r>
              <w:rPr>
                <w:rFonts w:hint="eastAsia"/>
                <w:b w:val="0"/>
                <w:bCs w:val="0"/>
                <w:color w:val="auto"/>
                <w:sz w:val="24"/>
                <w:szCs w:val="24"/>
                <w:lang w:val="en-US" w:eastAsia="zh-CN"/>
              </w:rPr>
              <w:t>（3）运营期噪声跟踪监测计划</w:t>
            </w:r>
          </w:p>
          <w:p>
            <w:pPr>
              <w:spacing w:line="360" w:lineRule="auto"/>
              <w:ind w:firstLine="480" w:firstLineChars="200"/>
              <w:rPr>
                <w:color w:val="auto"/>
                <w:sz w:val="24"/>
                <w:szCs w:val="24"/>
              </w:rPr>
            </w:pPr>
            <w:r>
              <w:rPr>
                <w:color w:val="auto"/>
                <w:sz w:val="24"/>
                <w:szCs w:val="24"/>
              </w:rPr>
              <w:t>根据本项目运营期</w:t>
            </w:r>
            <w:r>
              <w:rPr>
                <w:rFonts w:hint="eastAsia"/>
                <w:color w:val="auto"/>
                <w:sz w:val="24"/>
                <w:szCs w:val="24"/>
              </w:rPr>
              <w:t>各项污染物的</w:t>
            </w:r>
            <w:r>
              <w:rPr>
                <w:color w:val="auto"/>
                <w:sz w:val="24"/>
                <w:szCs w:val="24"/>
              </w:rPr>
              <w:t>污染特点</w:t>
            </w:r>
            <w:r>
              <w:rPr>
                <w:rFonts w:hint="eastAsia"/>
                <w:color w:val="auto"/>
                <w:sz w:val="24"/>
                <w:szCs w:val="24"/>
              </w:rPr>
              <w:t>及《排污单位自行监测技术指南 总则》（HJ819-2017）中的相关监测要求</w:t>
            </w:r>
            <w:r>
              <w:rPr>
                <w:color w:val="auto"/>
                <w:sz w:val="24"/>
                <w:szCs w:val="24"/>
              </w:rPr>
              <w:t>，制定了本项目</w:t>
            </w:r>
            <w:r>
              <w:rPr>
                <w:rFonts w:hint="eastAsia"/>
                <w:color w:val="auto"/>
                <w:sz w:val="24"/>
                <w:szCs w:val="24"/>
                <w:lang w:val="en-US" w:eastAsia="zh-CN"/>
              </w:rPr>
              <w:t>噪声</w:t>
            </w:r>
            <w:r>
              <w:rPr>
                <w:rFonts w:hint="eastAsia"/>
                <w:color w:val="auto"/>
                <w:sz w:val="24"/>
                <w:szCs w:val="24"/>
              </w:rPr>
              <w:t>运营期</w:t>
            </w:r>
            <w:r>
              <w:rPr>
                <w:color w:val="auto"/>
                <w:sz w:val="24"/>
                <w:szCs w:val="24"/>
              </w:rPr>
              <w:t>污染源与环境监测计划表，见表</w:t>
            </w:r>
            <w:r>
              <w:rPr>
                <w:rFonts w:hint="eastAsia"/>
                <w:color w:val="auto"/>
                <w:sz w:val="24"/>
                <w:szCs w:val="24"/>
              </w:rPr>
              <w:t>4-</w:t>
            </w:r>
            <w:r>
              <w:rPr>
                <w:rFonts w:hint="eastAsia"/>
                <w:color w:val="auto"/>
                <w:sz w:val="24"/>
                <w:szCs w:val="24"/>
                <w:lang w:val="en-US" w:eastAsia="zh-CN"/>
              </w:rPr>
              <w:t>7</w:t>
            </w:r>
            <w:r>
              <w:rPr>
                <w:color w:val="auto"/>
                <w:sz w:val="24"/>
                <w:szCs w:val="24"/>
              </w:rPr>
              <w:t>。</w:t>
            </w:r>
          </w:p>
          <w:p>
            <w:pPr>
              <w:spacing w:line="360" w:lineRule="auto"/>
              <w:jc w:val="center"/>
              <w:rPr>
                <w:b/>
                <w:bCs/>
                <w:color w:val="auto"/>
                <w:sz w:val="24"/>
                <w:szCs w:val="24"/>
              </w:rPr>
            </w:pPr>
            <w:r>
              <w:rPr>
                <w:rFonts w:hint="eastAsia"/>
                <w:b/>
                <w:bCs/>
                <w:color w:val="auto"/>
                <w:sz w:val="24"/>
                <w:szCs w:val="24"/>
              </w:rPr>
              <w:t>表4-</w:t>
            </w:r>
            <w:r>
              <w:rPr>
                <w:rFonts w:hint="eastAsia"/>
                <w:b/>
                <w:bCs/>
                <w:color w:val="auto"/>
                <w:sz w:val="24"/>
                <w:szCs w:val="24"/>
                <w:lang w:val="en-US" w:eastAsia="zh-CN"/>
              </w:rPr>
              <w:t xml:space="preserve">7 </w:t>
            </w:r>
            <w:r>
              <w:rPr>
                <w:rFonts w:hint="eastAsia"/>
                <w:b/>
                <w:bCs/>
                <w:color w:val="auto"/>
                <w:sz w:val="24"/>
                <w:szCs w:val="24"/>
              </w:rPr>
              <w:t>运营期</w:t>
            </w:r>
            <w:r>
              <w:rPr>
                <w:rFonts w:hint="eastAsia"/>
                <w:b/>
                <w:bCs/>
                <w:color w:val="auto"/>
                <w:sz w:val="24"/>
                <w:szCs w:val="24"/>
                <w:lang w:val="en-US" w:eastAsia="zh-CN"/>
              </w:rPr>
              <w:t>噪声污染源</w:t>
            </w:r>
            <w:r>
              <w:rPr>
                <w:rFonts w:hint="eastAsia"/>
                <w:b/>
                <w:bCs/>
                <w:color w:val="auto"/>
                <w:sz w:val="24"/>
                <w:szCs w:val="24"/>
              </w:rPr>
              <w:t>环境监测计划</w:t>
            </w:r>
          </w:p>
          <w:tbl>
            <w:tblPr>
              <w:tblStyle w:val="31"/>
              <w:tblW w:w="4989"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69"/>
              <w:gridCol w:w="1111"/>
              <w:gridCol w:w="1564"/>
              <w:gridCol w:w="1109"/>
              <w:gridCol w:w="36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526" w:type="pct"/>
                  <w:tcBorders>
                    <w:tl2br w:val="nil"/>
                    <w:tr2bl w:val="nil"/>
                  </w:tcBorders>
                  <w:vAlign w:val="center"/>
                </w:tcPr>
                <w:p>
                  <w:pPr>
                    <w:jc w:val="center"/>
                    <w:rPr>
                      <w:b/>
                      <w:bCs/>
                      <w:color w:val="auto"/>
                      <w:szCs w:val="21"/>
                    </w:rPr>
                  </w:pPr>
                  <w:r>
                    <w:rPr>
                      <w:b/>
                      <w:bCs/>
                      <w:color w:val="auto"/>
                      <w:szCs w:val="21"/>
                    </w:rPr>
                    <w:t>污染源</w:t>
                  </w:r>
                </w:p>
              </w:tc>
              <w:tc>
                <w:tcPr>
                  <w:tcW w:w="672" w:type="pct"/>
                  <w:tcBorders>
                    <w:tl2br w:val="nil"/>
                    <w:tr2bl w:val="nil"/>
                  </w:tcBorders>
                  <w:vAlign w:val="center"/>
                </w:tcPr>
                <w:p>
                  <w:pPr>
                    <w:jc w:val="center"/>
                    <w:rPr>
                      <w:b/>
                      <w:bCs/>
                      <w:color w:val="auto"/>
                      <w:szCs w:val="21"/>
                    </w:rPr>
                  </w:pPr>
                  <w:r>
                    <w:rPr>
                      <w:b/>
                      <w:bCs/>
                      <w:color w:val="auto"/>
                      <w:szCs w:val="21"/>
                    </w:rPr>
                    <w:t>监测项目</w:t>
                  </w:r>
                </w:p>
              </w:tc>
              <w:tc>
                <w:tcPr>
                  <w:tcW w:w="946" w:type="pct"/>
                  <w:tcBorders>
                    <w:tl2br w:val="nil"/>
                    <w:tr2bl w:val="nil"/>
                  </w:tcBorders>
                  <w:tcMar>
                    <w:left w:w="57" w:type="dxa"/>
                    <w:right w:w="57" w:type="dxa"/>
                  </w:tcMar>
                  <w:vAlign w:val="center"/>
                </w:tcPr>
                <w:p>
                  <w:pPr>
                    <w:jc w:val="center"/>
                    <w:rPr>
                      <w:b/>
                      <w:bCs/>
                      <w:color w:val="auto"/>
                      <w:szCs w:val="21"/>
                    </w:rPr>
                  </w:pPr>
                  <w:r>
                    <w:rPr>
                      <w:b/>
                      <w:bCs/>
                      <w:color w:val="auto"/>
                      <w:szCs w:val="21"/>
                    </w:rPr>
                    <w:t>监测点</w:t>
                  </w:r>
                </w:p>
              </w:tc>
              <w:tc>
                <w:tcPr>
                  <w:tcW w:w="671" w:type="pct"/>
                  <w:tcBorders>
                    <w:tl2br w:val="nil"/>
                    <w:tr2bl w:val="nil"/>
                  </w:tcBorders>
                  <w:vAlign w:val="center"/>
                </w:tcPr>
                <w:p>
                  <w:pPr>
                    <w:jc w:val="center"/>
                    <w:rPr>
                      <w:b/>
                      <w:bCs/>
                      <w:color w:val="auto"/>
                      <w:szCs w:val="21"/>
                    </w:rPr>
                  </w:pPr>
                  <w:r>
                    <w:rPr>
                      <w:b/>
                      <w:bCs/>
                      <w:color w:val="auto"/>
                      <w:szCs w:val="21"/>
                    </w:rPr>
                    <w:t>监测频率</w:t>
                  </w:r>
                </w:p>
              </w:tc>
              <w:tc>
                <w:tcPr>
                  <w:tcW w:w="2183" w:type="pct"/>
                  <w:tcBorders>
                    <w:tl2br w:val="nil"/>
                    <w:tr2bl w:val="nil"/>
                  </w:tcBorders>
                  <w:vAlign w:val="center"/>
                </w:tcPr>
                <w:p>
                  <w:pPr>
                    <w:jc w:val="center"/>
                    <w:rPr>
                      <w:b/>
                      <w:bCs/>
                      <w:color w:val="auto"/>
                      <w:szCs w:val="21"/>
                    </w:rPr>
                  </w:pPr>
                  <w:r>
                    <w:rPr>
                      <w:b/>
                      <w:bCs/>
                      <w:color w:val="auto"/>
                      <w:szCs w:val="21"/>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4" w:hRule="atLeast"/>
              </w:trPr>
              <w:tc>
                <w:tcPr>
                  <w:tcW w:w="526" w:type="pct"/>
                  <w:tcBorders>
                    <w:tl2br w:val="nil"/>
                    <w:tr2bl w:val="nil"/>
                  </w:tcBorders>
                  <w:vAlign w:val="center"/>
                </w:tcPr>
                <w:p>
                  <w:pPr>
                    <w:jc w:val="center"/>
                    <w:rPr>
                      <w:rFonts w:hint="eastAsia" w:eastAsia="宋体"/>
                      <w:color w:val="auto"/>
                      <w:szCs w:val="21"/>
                      <w:lang w:eastAsia="zh-CN"/>
                    </w:rPr>
                  </w:pPr>
                  <w:r>
                    <w:rPr>
                      <w:rFonts w:hint="eastAsia"/>
                      <w:color w:val="auto"/>
                      <w:szCs w:val="21"/>
                      <w:lang w:val="en-US" w:eastAsia="zh-CN"/>
                    </w:rPr>
                    <w:t>噪声</w:t>
                  </w:r>
                </w:p>
              </w:tc>
              <w:tc>
                <w:tcPr>
                  <w:tcW w:w="672" w:type="pct"/>
                  <w:tcBorders>
                    <w:tl2br w:val="nil"/>
                    <w:tr2bl w:val="nil"/>
                  </w:tcBorders>
                  <w:vAlign w:val="center"/>
                </w:tcPr>
                <w:p>
                  <w:pPr>
                    <w:jc w:val="center"/>
                    <w:rPr>
                      <w:rFonts w:hint="eastAsia" w:eastAsia="宋体"/>
                      <w:color w:val="auto"/>
                      <w:szCs w:val="21"/>
                      <w:lang w:val="en-US" w:eastAsia="zh-CN"/>
                    </w:rPr>
                  </w:pPr>
                  <w:r>
                    <w:rPr>
                      <w:rFonts w:hint="default" w:ascii="Times New Roman" w:hAnsi="Times New Roman" w:cs="Times New Roman"/>
                      <w:color w:val="auto"/>
                      <w:sz w:val="21"/>
                      <w:szCs w:val="21"/>
                    </w:rPr>
                    <w:t>Leq(A)</w:t>
                  </w:r>
                </w:p>
              </w:tc>
              <w:tc>
                <w:tcPr>
                  <w:tcW w:w="946" w:type="pct"/>
                  <w:tcBorders>
                    <w:tl2br w:val="nil"/>
                    <w:tr2bl w:val="nil"/>
                  </w:tcBorders>
                  <w:tcMar>
                    <w:left w:w="57" w:type="dxa"/>
                    <w:right w:w="57" w:type="dxa"/>
                  </w:tcMar>
                  <w:vAlign w:val="center"/>
                </w:tcPr>
                <w:p>
                  <w:pPr>
                    <w:jc w:val="center"/>
                    <w:rPr>
                      <w:rFonts w:hint="eastAsia" w:eastAsia="宋体"/>
                      <w:color w:val="auto"/>
                      <w:szCs w:val="21"/>
                      <w:lang w:val="en-US" w:eastAsia="zh-CN"/>
                    </w:rPr>
                  </w:pPr>
                  <w:r>
                    <w:rPr>
                      <w:rFonts w:hint="eastAsia" w:cs="Times New Roman"/>
                      <w:color w:val="auto"/>
                      <w:sz w:val="21"/>
                      <w:szCs w:val="21"/>
                      <w:lang w:eastAsia="zh-CN"/>
                    </w:rPr>
                    <w:t>厂界（边界）</w:t>
                  </w:r>
                </w:p>
              </w:tc>
              <w:tc>
                <w:tcPr>
                  <w:tcW w:w="671" w:type="pct"/>
                  <w:tcBorders>
                    <w:tl2br w:val="nil"/>
                    <w:tr2bl w:val="nil"/>
                  </w:tcBorders>
                  <w:vAlign w:val="center"/>
                </w:tcPr>
                <w:p>
                  <w:pPr>
                    <w:jc w:val="center"/>
                    <w:rPr>
                      <w:rFonts w:hint="default"/>
                      <w:color w:val="auto"/>
                      <w:szCs w:val="21"/>
                      <w:lang w:val="en-US"/>
                    </w:rPr>
                  </w:pPr>
                  <w:r>
                    <w:rPr>
                      <w:rFonts w:hint="default" w:ascii="Times New Roman" w:hAnsi="Times New Roman" w:cs="Times New Roman"/>
                      <w:color w:val="auto"/>
                      <w:sz w:val="21"/>
                      <w:szCs w:val="21"/>
                    </w:rPr>
                    <w:t>1次/季度</w:t>
                  </w:r>
                </w:p>
              </w:tc>
              <w:tc>
                <w:tcPr>
                  <w:tcW w:w="2183" w:type="pct"/>
                  <w:tcBorders>
                    <w:tl2br w:val="nil"/>
                    <w:tr2bl w:val="nil"/>
                  </w:tcBorders>
                  <w:vAlign w:val="center"/>
                </w:tcPr>
                <w:p>
                  <w:pPr>
                    <w:jc w:val="center"/>
                    <w:rPr>
                      <w:rFonts w:hint="default" w:eastAsia="宋体"/>
                      <w:color w:val="auto"/>
                      <w:szCs w:val="21"/>
                      <w:lang w:val="en-US" w:eastAsia="zh-CN"/>
                    </w:rPr>
                  </w:pPr>
                  <w:r>
                    <w:rPr>
                      <w:rFonts w:hint="default" w:ascii="Times New Roman" w:hAnsi="Times New Roman" w:cs="Times New Roman"/>
                      <w:color w:val="auto"/>
                      <w:sz w:val="21"/>
                      <w:szCs w:val="21"/>
                    </w:rPr>
                    <w:t>《工业企业厂界环境噪声排放标准》GB12348-2008中的</w:t>
                  </w:r>
                  <w:r>
                    <w:rPr>
                      <w:rFonts w:hint="eastAsia" w:cs="Times New Roman"/>
                      <w:color w:val="auto"/>
                      <w:sz w:val="21"/>
                      <w:szCs w:val="21"/>
                      <w:lang w:val="en-US" w:eastAsia="zh-CN"/>
                    </w:rPr>
                    <w:t>3</w:t>
                  </w:r>
                  <w:r>
                    <w:rPr>
                      <w:rFonts w:hint="default" w:ascii="Times New Roman" w:hAnsi="Times New Roman" w:cs="Times New Roman"/>
                      <w:color w:val="auto"/>
                      <w:sz w:val="21"/>
                      <w:szCs w:val="21"/>
                    </w:rPr>
                    <w:t>类标准</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color w:val="auto"/>
                <w:sz w:val="24"/>
                <w:szCs w:val="24"/>
                <w:lang w:val="en-US" w:eastAsia="zh-CN"/>
              </w:rPr>
            </w:pPr>
            <w:r>
              <w:rPr>
                <w:rFonts w:hint="eastAsia" w:cs="Times New Roman"/>
                <w:b/>
                <w:bCs/>
                <w:color w:val="auto"/>
                <w:sz w:val="24"/>
                <w:szCs w:val="24"/>
                <w:lang w:val="en-US" w:eastAsia="zh-CN"/>
              </w:rPr>
              <w:t>4、固体废物</w:t>
            </w:r>
          </w:p>
          <w:p>
            <w:pPr>
              <w:pStyle w:val="29"/>
              <w:keepNext w:val="0"/>
              <w:keepLines w:val="0"/>
              <w:pageBreakBefore w:val="0"/>
              <w:kinsoku/>
              <w:wordWrap/>
              <w:overflowPunct/>
              <w:topLinePunct w:val="0"/>
              <w:bidi w:val="0"/>
              <w:adjustRightInd/>
              <w:snapToGrid w:val="0"/>
              <w:spacing w:before="0" w:after="0" w:line="360" w:lineRule="auto"/>
              <w:ind w:right="0" w:firstLineChars="200"/>
              <w:textAlignment w:val="auto"/>
              <w:rPr>
                <w:rFonts w:hint="default" w:ascii="Times New Roman" w:hAnsi="Times New Roman"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lang w:val="en-US" w:eastAsia="zh-CN"/>
              </w:rPr>
              <w:t>产生环节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lang w:val="en-US" w:eastAsia="zh-CN"/>
              </w:rPr>
            </w:pPr>
            <w:r>
              <w:rPr>
                <w:rFonts w:hint="default" w:ascii="Times New Roman" w:hAnsi="Times New Roman" w:cs="Times New Roman" w:eastAsiaTheme="minorEastAsia"/>
                <w:color w:val="auto"/>
                <w:sz w:val="24"/>
                <w:szCs w:val="24"/>
              </w:rPr>
              <w:t>本项目运营期</w:t>
            </w:r>
            <w:r>
              <w:rPr>
                <w:rFonts w:hint="eastAsia"/>
                <w:color w:val="auto"/>
                <w:sz w:val="24"/>
                <w:szCs w:val="24"/>
                <w:lang w:val="en-US" w:eastAsia="zh-CN"/>
              </w:rPr>
              <w:t>不新增工作人员，不新增生活垃圾。厂区内</w:t>
            </w:r>
            <w:r>
              <w:rPr>
                <w:rFonts w:hint="default"/>
                <w:color w:val="auto"/>
                <w:sz w:val="24"/>
                <w:szCs w:val="24"/>
                <w:lang w:val="en-US" w:eastAsia="zh-CN"/>
              </w:rPr>
              <w:t>生活垃圾收集后由环卫部门统一清理。</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lang w:val="en-US" w:eastAsia="zh-CN"/>
              </w:rPr>
            </w:pPr>
            <w:r>
              <w:rPr>
                <w:rFonts w:hint="eastAsia" w:cs="Times New Roman" w:eastAsiaTheme="minorEastAsia"/>
                <w:color w:val="auto"/>
                <w:sz w:val="24"/>
                <w:szCs w:val="24"/>
                <w:lang w:val="en-US" w:eastAsia="zh-CN"/>
              </w:rPr>
              <w:t>本项目为危废暂存间，</w:t>
            </w:r>
            <w:r>
              <w:rPr>
                <w:rFonts w:hint="eastAsia"/>
                <w:color w:val="auto"/>
                <w:sz w:val="24"/>
                <w:szCs w:val="24"/>
                <w:lang w:val="en-US" w:eastAsia="zh-CN"/>
              </w:rPr>
              <w:t>本次扩建的危废暂存间和现有危废暂存间共同用于暂存渭南高新区海泰新型电子材料有限责任公司危险废物。本次环评要求扩建的危废暂存间建设完成后，承担固态危险废物的贮存，现有危废暂存间承担液态危险废物的贮存。定期交由有资质单位统一拉运处置。</w:t>
            </w:r>
          </w:p>
          <w:p>
            <w:pPr>
              <w:pStyle w:val="29"/>
              <w:keepNext w:val="0"/>
              <w:keepLines w:val="0"/>
              <w:pageBreakBefore w:val="0"/>
              <w:numPr>
                <w:ilvl w:val="0"/>
                <w:numId w:val="0"/>
              </w:numPr>
              <w:kinsoku/>
              <w:wordWrap/>
              <w:overflowPunct/>
              <w:topLinePunct w:val="0"/>
              <w:autoSpaceDE/>
              <w:autoSpaceDN/>
              <w:bidi w:val="0"/>
              <w:adjustRightInd/>
              <w:snapToGrid w:val="0"/>
              <w:spacing w:before="0" w:after="0" w:line="360" w:lineRule="auto"/>
              <w:ind w:right="0" w:rightChars="0" w:firstLine="504" w:firstLineChars="200"/>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（2）危险废物贮存情况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根据现有危废暂存间固体废物系统填报数据（2022年度），危险废物贮存情况见表4-8。</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lang w:val="en-US" w:eastAsia="zh-CN"/>
              </w:rPr>
            </w:pPr>
            <w:r>
              <w:rPr>
                <w:rFonts w:hint="eastAsia"/>
                <w:b/>
                <w:color w:val="auto"/>
                <w:sz w:val="24"/>
                <w:szCs w:val="24"/>
                <w:highlight w:val="none"/>
              </w:rPr>
              <w:t>表</w:t>
            </w:r>
            <w:r>
              <w:rPr>
                <w:rFonts w:hint="eastAsia"/>
                <w:b/>
                <w:color w:val="auto"/>
                <w:sz w:val="24"/>
                <w:szCs w:val="24"/>
                <w:highlight w:val="none"/>
                <w:lang w:val="en-US" w:eastAsia="zh-CN"/>
              </w:rPr>
              <w:t>4</w:t>
            </w:r>
            <w:r>
              <w:rPr>
                <w:rFonts w:hint="eastAsia"/>
                <w:b/>
                <w:color w:val="auto"/>
                <w:sz w:val="24"/>
                <w:szCs w:val="24"/>
                <w:highlight w:val="none"/>
              </w:rPr>
              <w:t>-</w:t>
            </w:r>
            <w:r>
              <w:rPr>
                <w:rFonts w:hint="eastAsia"/>
                <w:b/>
                <w:color w:val="auto"/>
                <w:sz w:val="24"/>
                <w:szCs w:val="24"/>
                <w:highlight w:val="none"/>
                <w:lang w:val="en-US" w:eastAsia="zh-CN"/>
              </w:rPr>
              <w:t>8</w:t>
            </w:r>
            <w:r>
              <w:rPr>
                <w:rFonts w:hint="eastAsia"/>
                <w:b/>
                <w:color w:val="auto"/>
                <w:sz w:val="24"/>
                <w:szCs w:val="24"/>
                <w:highlight w:val="none"/>
              </w:rPr>
              <w:t xml:space="preserve"> </w:t>
            </w:r>
            <w:r>
              <w:rPr>
                <w:rFonts w:hint="eastAsia"/>
                <w:b/>
                <w:color w:val="auto"/>
                <w:sz w:val="24"/>
                <w:szCs w:val="24"/>
                <w:highlight w:val="none"/>
                <w:lang w:val="en-US" w:eastAsia="zh-CN"/>
              </w:rPr>
              <w:t xml:space="preserve"> 扩建完成后危险废物贮存情况</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522"/>
              <w:gridCol w:w="628"/>
              <w:gridCol w:w="1018"/>
              <w:gridCol w:w="680"/>
              <w:gridCol w:w="366"/>
              <w:gridCol w:w="473"/>
              <w:gridCol w:w="718"/>
              <w:gridCol w:w="373"/>
              <w:gridCol w:w="682"/>
              <w:gridCol w:w="653"/>
              <w:gridCol w:w="1282"/>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884" w:type="pct"/>
                  <w:gridSpan w:val="8"/>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情况</w:t>
                  </w:r>
                </w:p>
              </w:tc>
              <w:tc>
                <w:tcPr>
                  <w:tcW w:w="1579" w:type="pct"/>
                  <w:gridSpan w:val="3"/>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委外外单位利用/处置情况</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危险废物名称</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危险废物类别</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危险废物代码</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有害成分名称</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量</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计量单位</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省（区、市）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单位名称</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危险废物经营许可证编号/利用处置环节豁免管理/出口核准通知单编号</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废酸</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HW34废酸 </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261-057-34</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有机酸</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104.281</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检测</w:t>
                  </w:r>
                  <w:r>
                    <w:rPr>
                      <w:rFonts w:hint="default" w:ascii="Times New Roman" w:hAnsi="Times New Roman" w:eastAsia="宋体" w:cs="Times New Roman"/>
                      <w:color w:val="auto"/>
                      <w:sz w:val="21"/>
                      <w:szCs w:val="21"/>
                      <w:highlight w:val="none"/>
                    </w:rPr>
                    <w:t>废液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eastAsia" w:cs="Times New Roman"/>
                      <w:color w:val="auto"/>
                      <w:sz w:val="21"/>
                      <w:szCs w:val="21"/>
                      <w:highlight w:val="none"/>
                      <w:lang w:val="en-US" w:eastAsia="zh-CN"/>
                    </w:rPr>
                    <w:t>49</w:t>
                  </w:r>
                  <w:r>
                    <w:rPr>
                      <w:rFonts w:hint="eastAsia"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t>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047</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氨氮、</w:t>
                  </w:r>
                  <w:r>
                    <w:rPr>
                      <w:rFonts w:hint="default" w:ascii="Times New Roman" w:hAnsi="Times New Roman" w:eastAsia="宋体" w:cs="Times New Roman"/>
                      <w:color w:val="auto"/>
                      <w:sz w:val="21"/>
                      <w:szCs w:val="21"/>
                      <w:highlight w:val="none"/>
                    </w:rPr>
                    <w:t>铬</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0.403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废催化剂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HW50废催化剂</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261-165-50</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催化剂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0.50</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废灯管</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HW29含汞废物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900-023-29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汞</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188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废活性炭</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900-039-49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11.6</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废包装</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w:t>
                  </w:r>
                  <w:r>
                    <w:rPr>
                      <w:rFonts w:hint="eastAsia"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40.28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废玻璃</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w:t>
                  </w:r>
                  <w:r>
                    <w:rPr>
                      <w:rFonts w:hint="eastAsia"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6.862</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废盐</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303.92</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陕西省，宝鸡市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废硅胶、干燥剂</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302.9</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HW6105280003</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废电池</w:t>
                  </w:r>
                  <w:r>
                    <w:rPr>
                      <w:rFonts w:hint="eastAsia" w:cs="Times New Roman"/>
                      <w:color w:val="auto"/>
                      <w:sz w:val="21"/>
                      <w:szCs w:val="21"/>
                      <w:highlight w:val="none"/>
                      <w:lang w:eastAsia="zh-CN"/>
                    </w:rPr>
                    <w:t>（办公使用的干电池）</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900-044-49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镉、镍</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废污泥</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772</w:t>
                  </w: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6-49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24.524</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HW6105280003</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HW08废矿物油与含矿物油废物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-08</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99%废油</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4.93</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陕西省，宝鸡市，凤翔县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混合废溶剂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HW06废有机溶剂与含有机溶剂废物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900-404-0</w:t>
                  </w:r>
                  <w:r>
                    <w:rPr>
                      <w:rFonts w:hint="eastAsia" w:cs="Times New Roman"/>
                      <w:color w:val="auto"/>
                      <w:sz w:val="21"/>
                      <w:szCs w:val="21"/>
                      <w:highlight w:val="none"/>
                      <w:lang w:val="en-US" w:eastAsia="zh-CN"/>
                    </w:rPr>
                    <w:t>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有机混合溶剂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T，R，I</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86.10</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陕西省，渭南市，蒲城县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陕西蒲城海泰新材料产业有限责任公司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HW6105260004</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废溶剂、废母液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HW06废有机溶剂与含有机溶剂废物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900-407-06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有机溶剂5%</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T，I，R</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106.858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陕西省，渭南市，蒲城县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固体原料</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900-999-49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过期</w:t>
                  </w:r>
                  <w:r>
                    <w:rPr>
                      <w:rFonts w:hint="default" w:ascii="Times New Roman" w:hAnsi="Times New Roman" w:eastAsia="宋体" w:cs="Times New Roman"/>
                      <w:color w:val="auto"/>
                      <w:sz w:val="21"/>
                      <w:szCs w:val="21"/>
                      <w:highlight w:val="none"/>
                    </w:rPr>
                    <w:t>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T，C，I，R</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12.994</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；由第三方有资质单位直接由原料库清运，不在危废暂存间贮存。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废油漆</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eastAsia" w:cs="Times New Roman"/>
                      <w:color w:val="auto"/>
                      <w:sz w:val="21"/>
                      <w:szCs w:val="21"/>
                      <w:highlight w:val="none"/>
                      <w:lang w:val="en-US" w:eastAsia="zh-CN"/>
                    </w:rPr>
                    <w:t>21染料、涂料废物</w:t>
                  </w:r>
                  <w:r>
                    <w:rPr>
                      <w:rFonts w:hint="default" w:ascii="Times New Roman" w:hAnsi="Times New Roman" w:eastAsia="宋体" w:cs="Times New Roman"/>
                      <w:color w:val="auto"/>
                      <w:sz w:val="21"/>
                      <w:szCs w:val="21"/>
                      <w:highlight w:val="none"/>
                    </w:rPr>
                    <w:t>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99-</w:t>
                  </w:r>
                  <w:r>
                    <w:rPr>
                      <w:rFonts w:hint="eastAsia" w:cs="Times New Roman"/>
                      <w:color w:val="auto"/>
                      <w:sz w:val="21"/>
                      <w:szCs w:val="21"/>
                      <w:highlight w:val="none"/>
                      <w:lang w:val="en-US" w:eastAsia="zh-CN"/>
                    </w:rPr>
                    <w:t>12</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过期油漆</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16</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废树脂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锅炉软水制备更换的</w:t>
                  </w:r>
                  <w:r>
                    <w:rPr>
                      <w:rFonts w:hint="eastAsia" w:cs="Times New Roman"/>
                      <w:color w:val="auto"/>
                      <w:sz w:val="21"/>
                      <w:szCs w:val="21"/>
                      <w:highlight w:val="none"/>
                      <w:lang w:val="en-US" w:eastAsia="zh-CN"/>
                    </w:rPr>
                    <w:t>废树脂</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015</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13</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废树脂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0.265</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w:t>
                  </w:r>
                  <w:r>
                    <w:rPr>
                      <w:rFonts w:hint="eastAsia"/>
                    </w:rPr>
                    <w:t>提前联系</w:t>
                  </w:r>
                  <w:r>
                    <w:rPr>
                      <w:rFonts w:hint="eastAsia"/>
                      <w:lang w:eastAsia="zh-CN"/>
                    </w:rPr>
                    <w:t>有资质单位，直接更换运走</w:t>
                  </w:r>
                  <w:r>
                    <w:rPr>
                      <w:rFonts w:hint="eastAsia" w:cs="Times New Roman"/>
                      <w:color w:val="auto"/>
                      <w:sz w:val="21"/>
                      <w:szCs w:val="21"/>
                      <w:highlight w:val="none"/>
                      <w:lang w:eastAsia="zh-CN"/>
                    </w:rPr>
                    <w:t>。</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袋装</w:t>
                  </w:r>
                </w:p>
              </w:tc>
            </w:tr>
          </w:tbl>
          <w:p>
            <w:pPr>
              <w:pStyle w:val="29"/>
              <w:keepNext w:val="0"/>
              <w:keepLines w:val="0"/>
              <w:pageBreakBefore w:val="0"/>
              <w:numPr>
                <w:ilvl w:val="0"/>
                <w:numId w:val="17"/>
              </w:numPr>
              <w:kinsoku/>
              <w:wordWrap/>
              <w:overflowPunct/>
              <w:topLinePunct w:val="0"/>
              <w:autoSpaceDE/>
              <w:autoSpaceDN/>
              <w:bidi w:val="0"/>
              <w:adjustRightInd/>
              <w:snapToGrid w:val="0"/>
              <w:spacing w:before="0" w:after="0" w:line="360" w:lineRule="auto"/>
              <w:ind w:left="0" w:leftChars="0" w:right="0" w:firstLine="504"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环境管理要求</w:t>
            </w:r>
          </w:p>
          <w:p>
            <w:pPr>
              <w:pStyle w:val="29"/>
              <w:keepNext w:val="0"/>
              <w:keepLines w:val="0"/>
              <w:pageBreakBefore w:val="0"/>
              <w:kinsoku/>
              <w:wordWrap/>
              <w:overflowPunct/>
              <w:topLinePunct w:val="0"/>
              <w:autoSpaceDE/>
              <w:autoSpaceDN/>
              <w:bidi w:val="0"/>
              <w:adjustRightInd/>
              <w:snapToGrid w:val="0"/>
              <w:spacing w:before="0" w:after="0" w:line="360" w:lineRule="auto"/>
              <w:ind w:right="0" w:firstLineChars="200"/>
              <w:textAlignment w:val="auto"/>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严格按照依照《中华人民共和国固体废物污染环境防治法》、</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 xml:space="preserve">、《危险废物管理计划和管理台账 </w:t>
            </w:r>
          </w:p>
          <w:p>
            <w:pPr>
              <w:pStyle w:val="29"/>
              <w:keepNext w:val="0"/>
              <w:keepLines w:val="0"/>
              <w:pageBreakBefore w:val="0"/>
              <w:kinsoku/>
              <w:wordWrap/>
              <w:overflowPunct/>
              <w:topLinePunct w:val="0"/>
              <w:autoSpaceDE/>
              <w:autoSpaceDN/>
              <w:bidi w:val="0"/>
              <w:adjustRightInd/>
              <w:snapToGrid w:val="0"/>
              <w:spacing w:before="0" w:after="0" w:line="360" w:lineRule="auto"/>
              <w:ind w:left="0" w:leftChars="0" w:right="0" w:firstLine="0" w:firstLineChars="0"/>
              <w:textAlignment w:val="auto"/>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制定技术导则》（HJ 1259-2022）、《危险废物识别标志设置技术规范》（HJ1276-2022）、《危险废物收集、贮存、运输技术规范》（HJ2025-2012）等相关规定和要求，管理危废暂存间。</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eastAsia="宋体"/>
                <w:color w:val="auto"/>
                <w:sz w:val="24"/>
                <w:lang w:eastAsia="zh-CN"/>
              </w:rPr>
            </w:pPr>
            <w:r>
              <w:rPr>
                <w:rFonts w:hint="eastAsia"/>
                <w:color w:val="auto"/>
                <w:sz w:val="24"/>
                <w:lang w:eastAsia="zh-CN"/>
              </w:rPr>
              <w:t>①总体要求：</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1） 贮存危险废物应根据危险废物的类别、数量、形态、物理化学性质和环境风险等因素，确定贮存设施或场所类型和规模。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2）贮存危险废物应根据危险废物的类别、形态、物理化学性质和污染防治要求进行分类贮存，且应避免危险废物与不相容的物质或材料接触。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3）贮存危险废物应根据危险废物的形态、物理化学性质、包装形式和污染物迁移途径，采取措施减少渗滤液及其衍生废物、渗漏的液态废物（简称渗漏液）、粉尘、</w:t>
            </w:r>
            <w:r>
              <w:rPr>
                <w:rFonts w:hint="default"/>
                <w:color w:val="auto"/>
                <w:sz w:val="24"/>
                <w:lang w:val="en-US" w:eastAsia="zh-CN"/>
              </w:rPr>
              <w:t>VOCs</w:t>
            </w:r>
            <w:r>
              <w:rPr>
                <w:rFonts w:hint="eastAsia"/>
                <w:color w:val="auto"/>
                <w:sz w:val="24"/>
                <w:lang w:val="en-US" w:eastAsia="zh-CN"/>
              </w:rPr>
              <w:t xml:space="preserve">、酸雾、有毒有害大气污染物和刺激性气味气体等污染物的产生，防止其污染环境。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4）危险废物贮存过程产生的液态废物和固态废物应分类收集，按其环境管理要求妥善处理。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5）贮存设施或场所、容器和包装物应按</w:t>
            </w:r>
            <w:r>
              <w:rPr>
                <w:rFonts w:hint="default"/>
                <w:color w:val="auto"/>
                <w:sz w:val="24"/>
                <w:lang w:val="en-US" w:eastAsia="zh-CN"/>
              </w:rPr>
              <w:t>HJ 1276</w:t>
            </w:r>
            <w:r>
              <w:rPr>
                <w:rFonts w:hint="eastAsia"/>
                <w:color w:val="auto"/>
                <w:sz w:val="24"/>
                <w:lang w:val="en-US" w:eastAsia="zh-CN"/>
              </w:rPr>
              <w:t xml:space="preserve">要求设置危险废物贮存设施或场所标志、危险废物贮存分区标志和危险废物标签等危险废物识别标志。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6）</w:t>
            </w:r>
            <w:r>
              <w:rPr>
                <w:rFonts w:hint="default"/>
                <w:color w:val="auto"/>
                <w:sz w:val="24"/>
                <w:lang w:val="en-US" w:eastAsia="zh-CN"/>
              </w:rPr>
              <w:t>HJ 1259</w:t>
            </w:r>
            <w:r>
              <w:rPr>
                <w:rFonts w:hint="eastAsia"/>
                <w:color w:val="auto"/>
                <w:sz w:val="24"/>
                <w:lang w:val="en-US" w:eastAsia="zh-CN"/>
              </w:rPr>
              <w:t>规定的危险废物环境重点监管单位，应采用电子地磅、电子标签、电子管理台账等技术手段对危险废物贮存过程进行信息化管理，确保数据完整、真实、准确；采用视频监控的应确保监控画面清晰，视频记录保存时间至少为</w:t>
            </w:r>
            <w:r>
              <w:rPr>
                <w:rFonts w:hint="default"/>
                <w:color w:val="auto"/>
                <w:sz w:val="24"/>
                <w:lang w:val="en-US" w:eastAsia="zh-CN"/>
              </w:rPr>
              <w:t>3</w:t>
            </w:r>
            <w:r>
              <w:rPr>
                <w:rFonts w:hint="eastAsia"/>
                <w:color w:val="auto"/>
                <w:sz w:val="24"/>
                <w:lang w:val="en-US" w:eastAsia="zh-CN"/>
              </w:rPr>
              <w:t xml:space="preserve">个月。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7）贮存设施退役时，所有者或运营者应依法履行环境保护责任，退役前应妥善处理处置贮存设施内剩余的危险废物，并对贮存设施进行清理，消除污染；还应依据土壤污染防治相关法律法规履行场地环境风险防控责任。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8）在常温常压下易爆、易燃及排出有毒气体的危险废物应进行预处理，使之稳定后贮存，否则应按易爆、易燃危险品贮存。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9）危险废物贮存除应满足环境保护相关要求外，还应执行国家安全生产、职业健康、交通运输、消防等法律法规和标准的相关要求。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10）</w:t>
            </w:r>
            <w:r>
              <w:rPr>
                <w:color w:val="auto"/>
                <w:sz w:val="24"/>
              </w:rPr>
              <w:t>设置明显的危险废物标识，对收集后的危险废物进行密封包装，对装有危废的容器进行定期检查，保证容器不得破漏，整齐摆放在室内，防日晒、雨淋。</w:t>
            </w:r>
          </w:p>
          <w:p>
            <w:pPr>
              <w:spacing w:line="360" w:lineRule="auto"/>
              <w:ind w:firstLine="480" w:firstLineChars="200"/>
              <w:rPr>
                <w:rFonts w:hint="eastAsia"/>
                <w:color w:val="auto"/>
                <w:sz w:val="24"/>
                <w:szCs w:val="24"/>
              </w:rPr>
            </w:pPr>
            <w:r>
              <w:rPr>
                <w:rFonts w:hint="eastAsia"/>
                <w:color w:val="auto"/>
                <w:sz w:val="24"/>
                <w:szCs w:val="24"/>
                <w:lang w:val="en-US" w:eastAsia="zh-CN"/>
              </w:rPr>
              <w:t>11）</w:t>
            </w:r>
            <w:r>
              <w:rPr>
                <w:rFonts w:hint="eastAsia"/>
                <w:color w:val="auto"/>
                <w:sz w:val="24"/>
                <w:szCs w:val="24"/>
              </w:rPr>
              <w:t>禁止随意倾倒、堆置危险废物。</w:t>
            </w:r>
          </w:p>
          <w:p>
            <w:pPr>
              <w:spacing w:line="360" w:lineRule="auto"/>
              <w:ind w:firstLine="480" w:firstLineChars="200"/>
              <w:rPr>
                <w:rFonts w:hint="eastAsia"/>
                <w:color w:val="auto"/>
                <w:sz w:val="24"/>
                <w:szCs w:val="24"/>
              </w:rPr>
            </w:pPr>
            <w:r>
              <w:rPr>
                <w:rFonts w:hint="eastAsia"/>
                <w:color w:val="auto"/>
                <w:sz w:val="24"/>
                <w:szCs w:val="24"/>
                <w:lang w:val="en-US" w:eastAsia="zh-CN"/>
              </w:rPr>
              <w:t>12）</w:t>
            </w:r>
            <w:r>
              <w:rPr>
                <w:rFonts w:hint="eastAsia"/>
                <w:color w:val="auto"/>
                <w:sz w:val="24"/>
                <w:szCs w:val="24"/>
              </w:rPr>
              <w:t>需要转移危险废物时，必须按照相关规定办理危险废物转移联单，未经批准，不得进行转移。</w:t>
            </w:r>
          </w:p>
          <w:p>
            <w:pPr>
              <w:spacing w:line="360" w:lineRule="auto"/>
              <w:ind w:firstLine="480" w:firstLineChars="200"/>
              <w:rPr>
                <w:rFonts w:hint="eastAsia"/>
                <w:color w:val="auto"/>
                <w:sz w:val="24"/>
                <w:szCs w:val="24"/>
              </w:rPr>
            </w:pPr>
            <w:r>
              <w:rPr>
                <w:rFonts w:hint="eastAsia"/>
                <w:color w:val="auto"/>
                <w:sz w:val="24"/>
                <w:szCs w:val="24"/>
                <w:lang w:val="en-US" w:eastAsia="zh-CN"/>
              </w:rPr>
              <w:t>13）</w:t>
            </w:r>
            <w:r>
              <w:rPr>
                <w:rFonts w:hint="eastAsia"/>
                <w:color w:val="auto"/>
                <w:sz w:val="24"/>
                <w:szCs w:val="24"/>
              </w:rPr>
              <w:t>对危险废物暂时贮存场所要加强管理，定期巡检，确保危险废物不扩散、不渗漏、不丢失等。</w:t>
            </w:r>
          </w:p>
          <w:p>
            <w:pPr>
              <w:spacing w:line="360" w:lineRule="auto"/>
              <w:ind w:firstLine="480" w:firstLineChars="200"/>
              <w:rPr>
                <w:rFonts w:hint="eastAsia"/>
                <w:color w:val="auto"/>
                <w:sz w:val="24"/>
                <w:szCs w:val="24"/>
              </w:rPr>
            </w:pPr>
            <w:r>
              <w:rPr>
                <w:rFonts w:hint="eastAsia"/>
                <w:color w:val="auto"/>
                <w:sz w:val="24"/>
                <w:szCs w:val="24"/>
                <w:lang w:val="en-US" w:eastAsia="zh-CN"/>
              </w:rPr>
              <w:t>14）</w:t>
            </w:r>
            <w:r>
              <w:rPr>
                <w:rFonts w:hint="eastAsia"/>
                <w:color w:val="auto"/>
                <w:sz w:val="24"/>
                <w:szCs w:val="24"/>
              </w:rPr>
              <w:t>企业</w:t>
            </w:r>
            <w:r>
              <w:rPr>
                <w:rFonts w:hint="eastAsia"/>
                <w:color w:val="auto"/>
                <w:sz w:val="24"/>
                <w:szCs w:val="24"/>
                <w:lang w:val="en-US" w:eastAsia="zh-CN"/>
              </w:rPr>
              <w:t>需</w:t>
            </w:r>
            <w:r>
              <w:rPr>
                <w:rFonts w:hint="eastAsia"/>
                <w:color w:val="auto"/>
                <w:sz w:val="24"/>
                <w:szCs w:val="24"/>
              </w:rPr>
              <w:t>对产生的危险废物进行详细的登记，</w:t>
            </w:r>
            <w:r>
              <w:rPr>
                <w:rFonts w:hint="eastAsia"/>
                <w:color w:val="auto"/>
                <w:sz w:val="24"/>
                <w:szCs w:val="24"/>
                <w:lang w:val="en-US" w:eastAsia="zh-CN"/>
              </w:rPr>
              <w:t>并</w:t>
            </w:r>
            <w:r>
              <w:rPr>
                <w:rFonts w:hint="eastAsia"/>
                <w:color w:val="auto"/>
                <w:sz w:val="24"/>
                <w:szCs w:val="24"/>
              </w:rPr>
              <w:t>填写《危险废物产生贮存台账》。</w:t>
            </w:r>
          </w:p>
          <w:p>
            <w:pPr>
              <w:spacing w:line="360" w:lineRule="auto"/>
              <w:ind w:firstLine="480" w:firstLineChars="200"/>
              <w:rPr>
                <w:rFonts w:hint="eastAsia"/>
                <w:color w:val="auto"/>
                <w:sz w:val="24"/>
                <w:szCs w:val="24"/>
              </w:rPr>
            </w:pPr>
            <w:r>
              <w:rPr>
                <w:rFonts w:hint="eastAsia"/>
                <w:color w:val="auto"/>
                <w:sz w:val="24"/>
                <w:szCs w:val="24"/>
                <w:lang w:val="en-US" w:eastAsia="zh-CN"/>
              </w:rPr>
              <w:t>15）</w:t>
            </w:r>
            <w:r>
              <w:rPr>
                <w:rFonts w:hint="eastAsia"/>
                <w:color w:val="auto"/>
                <w:sz w:val="24"/>
                <w:szCs w:val="24"/>
              </w:rPr>
              <w:t>危险废物产生时，要做好职工的劳动防护工作，禁止出现职业危害事故的发生，危险废物产生后，要及时运至贮存场所进行贮存。</w:t>
            </w:r>
          </w:p>
          <w:p>
            <w:pPr>
              <w:spacing w:line="360" w:lineRule="auto"/>
              <w:ind w:firstLine="480" w:firstLineChars="200"/>
              <w:rPr>
                <w:color w:val="auto"/>
                <w:sz w:val="24"/>
                <w:szCs w:val="24"/>
              </w:rPr>
            </w:pPr>
            <w:r>
              <w:rPr>
                <w:rFonts w:hint="eastAsia"/>
                <w:color w:val="auto"/>
                <w:sz w:val="24"/>
                <w:szCs w:val="24"/>
                <w:lang w:val="en-US" w:eastAsia="zh-CN"/>
              </w:rPr>
              <w:t>16）</w:t>
            </w:r>
            <w:r>
              <w:rPr>
                <w:color w:val="auto"/>
                <w:sz w:val="24"/>
                <w:szCs w:val="24"/>
              </w:rPr>
              <w:t>建设单位应采用专用容器对危险废物进行收集并单独存放。堆放时宜按危废种类分类堆放。危险废物贮存场所的硬化地面应没有裂缝，日常需勤加维护，一旦发现裂缝等问题应及时进行修补，保证危险废物暂存场地的渗透系数应≤10</w:t>
            </w:r>
            <w:r>
              <w:rPr>
                <w:color w:val="auto"/>
                <w:sz w:val="24"/>
                <w:szCs w:val="24"/>
                <w:vertAlign w:val="superscript"/>
              </w:rPr>
              <w:t>-</w:t>
            </w:r>
            <w:r>
              <w:rPr>
                <w:rFonts w:hint="eastAsia"/>
                <w:color w:val="auto"/>
                <w:sz w:val="24"/>
                <w:szCs w:val="24"/>
                <w:vertAlign w:val="superscript"/>
                <w:lang w:val="en-US" w:eastAsia="zh-CN"/>
              </w:rPr>
              <w:t>10</w:t>
            </w:r>
            <w:r>
              <w:rPr>
                <w:color w:val="auto"/>
                <w:sz w:val="24"/>
                <w:szCs w:val="24"/>
              </w:rPr>
              <w:t>cm/s。</w:t>
            </w:r>
          </w:p>
          <w:p>
            <w:pPr>
              <w:spacing w:line="360" w:lineRule="auto"/>
              <w:ind w:firstLine="480" w:firstLineChars="200"/>
              <w:rPr>
                <w:rFonts w:hint="eastAsia" w:ascii="Times New Roman" w:hAnsi="Times New Roman" w:eastAsia="宋体" w:cs="Times New Roman"/>
                <w:b/>
                <w:bCs/>
                <w:color w:val="auto"/>
                <w:kern w:val="2"/>
                <w:sz w:val="24"/>
                <w:szCs w:val="24"/>
                <w:lang w:val="en-US" w:eastAsia="zh-CN" w:bidi="ar-SA"/>
              </w:rPr>
            </w:pPr>
            <w:r>
              <w:rPr>
                <w:rFonts w:hint="eastAsia"/>
                <w:color w:val="auto"/>
                <w:sz w:val="24"/>
                <w:szCs w:val="24"/>
                <w:lang w:val="en-US" w:eastAsia="zh-CN"/>
              </w:rPr>
              <w:t>17）</w:t>
            </w:r>
            <w:r>
              <w:rPr>
                <w:color w:val="auto"/>
                <w:sz w:val="24"/>
                <w:szCs w:val="24"/>
              </w:rPr>
              <w:t>危险废物贮存容器应满足以下要求：应当使用符合标准的容器盛装危险废物；装载危险废物的容器及材质要满足相应的强度要求；装载危险废物的容器必须完好无损；盛装危险废物的容器材质和衬里要与危险废物相容（不相互反应）。</w:t>
            </w:r>
          </w:p>
          <w:p>
            <w:pPr>
              <w:pStyle w:val="7"/>
              <w:keepNext w:val="0"/>
              <w:keepLines w:val="0"/>
              <w:pageBreakBefore w:val="0"/>
              <w:widowControl w:val="0"/>
              <w:kinsoku/>
              <w:wordWrap/>
              <w:overflowPunct/>
              <w:topLinePunct w:val="0"/>
              <w:autoSpaceDE/>
              <w:autoSpaceDN/>
              <w:bidi w:val="0"/>
              <w:adjustRightInd w:val="0"/>
              <w:snapToGrid w:val="0"/>
              <w:ind w:firstLineChars="200"/>
              <w:contextualSpacing/>
              <w:textAlignment w:val="auto"/>
              <w:rPr>
                <w:color w:val="auto"/>
                <w:sz w:val="24"/>
                <w:szCs w:val="24"/>
              </w:rPr>
            </w:pPr>
            <w:r>
              <w:rPr>
                <w:rFonts w:hint="eastAsia"/>
                <w:color w:val="auto"/>
                <w:sz w:val="24"/>
                <w:szCs w:val="24"/>
                <w:lang w:val="en-US" w:eastAsia="zh-CN"/>
              </w:rPr>
              <w:t>18）</w:t>
            </w:r>
            <w:r>
              <w:rPr>
                <w:color w:val="auto"/>
                <w:sz w:val="24"/>
                <w:szCs w:val="24"/>
              </w:rPr>
              <w:t>不同种类危险废物应有明显的过道划分，墙上张贴危废名称，液态危废需将成装容器放至防泄漏托盘内并在容器粘贴危险废物标签，固态危废包装需完好无破损并系挂危险废物标签，并安要求填写</w:t>
            </w:r>
            <w:r>
              <w:rPr>
                <w:rFonts w:hint="eastAsia"/>
                <w:color w:val="auto"/>
                <w:sz w:val="24"/>
                <w:szCs w:val="24"/>
                <w:lang w:eastAsia="zh-CN"/>
              </w:rPr>
              <w:t>；</w:t>
            </w:r>
            <w:r>
              <w:rPr>
                <w:color w:val="auto"/>
                <w:sz w:val="24"/>
                <w:szCs w:val="24"/>
              </w:rPr>
              <w:t>建立台账并悬挂于危废</w:t>
            </w:r>
            <w:r>
              <w:rPr>
                <w:rFonts w:hint="eastAsia"/>
                <w:color w:val="auto"/>
                <w:sz w:val="24"/>
                <w:szCs w:val="24"/>
                <w:lang w:val="en-US" w:eastAsia="zh-CN"/>
              </w:rPr>
              <w:t>暂存间</w:t>
            </w:r>
            <w:r>
              <w:rPr>
                <w:color w:val="auto"/>
                <w:sz w:val="24"/>
                <w:szCs w:val="24"/>
              </w:rPr>
              <w:t>内，转入及转出（处置、自利用）需要填写危废种类、数量、时间及负责人员姓名。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color w:val="auto"/>
                <w:sz w:val="24"/>
              </w:rPr>
              <w:t>②危废暂存间防渗应符合如下要求：危险废物专用暂存库房地面设计按</w:t>
            </w:r>
            <w:r>
              <w:rPr>
                <w:rFonts w:hint="default" w:ascii="Times New Roman" w:hAnsi="Times New Roman" w:cs="Times New Roman" w:eastAsiaTheme="minorEastAsia"/>
                <w:color w:val="auto"/>
                <w:sz w:val="24"/>
                <w:szCs w:val="24"/>
                <w:lang w:val="en-US" w:eastAsia="zh-CN"/>
              </w:rPr>
              <w:t>《危险废物贮存污染控制标准》（GB18597-2023）</w:t>
            </w:r>
            <w:r>
              <w:rPr>
                <w:color w:val="auto"/>
                <w:sz w:val="24"/>
              </w:rPr>
              <w:t>中的要求进行防腐防渗，并设置堵截渗漏的裙脚，门口设置不低于10cm防溢流围堰。整体渗透系数低于10</w:t>
            </w:r>
            <w:r>
              <w:rPr>
                <w:color w:val="auto"/>
                <w:sz w:val="24"/>
                <w:vertAlign w:val="superscript"/>
              </w:rPr>
              <w:t>-10</w:t>
            </w:r>
            <w:r>
              <w:rPr>
                <w:color w:val="auto"/>
                <w:sz w:val="24"/>
              </w:rPr>
              <w:t>cm/s。</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color w:val="auto"/>
                <w:sz w:val="24"/>
              </w:rPr>
              <w:t>③根据危废类别，设置明显危废警示标志，危废间内外均需设置危险废物标识，具体要见表4-</w:t>
            </w:r>
            <w:r>
              <w:rPr>
                <w:rFonts w:hint="eastAsia"/>
                <w:color w:val="auto"/>
                <w:sz w:val="24"/>
                <w:lang w:val="en-US" w:eastAsia="zh-CN"/>
              </w:rPr>
              <w:t>9</w:t>
            </w:r>
            <w:r>
              <w:rPr>
                <w:color w:val="auto"/>
                <w:sz w:val="24"/>
              </w:rPr>
              <w:t>。</w:t>
            </w:r>
          </w:p>
          <w:p>
            <w:pPr>
              <w:spacing w:line="500" w:lineRule="exact"/>
              <w:jc w:val="center"/>
              <w:rPr>
                <w:b/>
                <w:bCs/>
                <w:color w:val="auto"/>
                <w:sz w:val="24"/>
              </w:rPr>
            </w:pPr>
            <w:r>
              <w:rPr>
                <w:b/>
                <w:bCs/>
                <w:color w:val="auto"/>
                <w:sz w:val="24"/>
              </w:rPr>
              <w:t>表4-</w:t>
            </w:r>
            <w:r>
              <w:rPr>
                <w:rFonts w:hint="eastAsia"/>
                <w:b/>
                <w:bCs/>
                <w:color w:val="auto"/>
                <w:sz w:val="24"/>
                <w:lang w:val="en-US" w:eastAsia="zh-CN"/>
              </w:rPr>
              <w:t>9</w:t>
            </w:r>
            <w:r>
              <w:rPr>
                <w:b/>
                <w:bCs/>
                <w:color w:val="auto"/>
                <w:sz w:val="24"/>
              </w:rPr>
              <w:t xml:space="preserve">    危险废物标识要求</w:t>
            </w:r>
          </w:p>
          <w:tbl>
            <w:tblPr>
              <w:tblStyle w:val="31"/>
              <w:tblW w:w="801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30"/>
              <w:gridCol w:w="1869"/>
              <w:gridCol w:w="47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noWrap w:val="0"/>
                  <w:vAlign w:val="center"/>
                </w:tcPr>
                <w:p>
                  <w:pPr>
                    <w:pStyle w:val="27"/>
                    <w:widowControl w:val="0"/>
                    <w:adjustRightInd w:val="0"/>
                    <w:snapToGrid w:val="0"/>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 xml:space="preserve"> 场合</w:t>
                  </w:r>
                </w:p>
              </w:tc>
              <w:tc>
                <w:tcPr>
                  <w:tcW w:w="1869" w:type="dxa"/>
                  <w:noWrap w:val="0"/>
                  <w:vAlign w:val="center"/>
                </w:tcPr>
                <w:p>
                  <w:pPr>
                    <w:pStyle w:val="27"/>
                    <w:widowControl w:val="0"/>
                    <w:adjustRightInd w:val="0"/>
                    <w:snapToGrid w:val="0"/>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样式</w:t>
                  </w:r>
                </w:p>
              </w:tc>
              <w:tc>
                <w:tcPr>
                  <w:tcW w:w="4720" w:type="dxa"/>
                  <w:noWrap w:val="0"/>
                  <w:vAlign w:val="center"/>
                </w:tcPr>
                <w:p>
                  <w:pPr>
                    <w:pStyle w:val="27"/>
                    <w:widowControl w:val="0"/>
                    <w:adjustRightInd w:val="0"/>
                    <w:snapToGrid w:val="0"/>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restart"/>
                  <w:noWrap w:val="0"/>
                  <w:vAlign w:val="center"/>
                </w:tcPr>
                <w:p>
                  <w:pPr>
                    <w:adjustRightInd w:val="0"/>
                    <w:snapToGrid w:val="0"/>
                    <w:jc w:val="center"/>
                    <w:rPr>
                      <w:color w:val="auto"/>
                      <w:szCs w:val="21"/>
                    </w:rPr>
                  </w:pPr>
                  <w:r>
                    <w:rPr>
                      <w:color w:val="auto"/>
                      <w:szCs w:val="21"/>
                      <w:lang w:bidi="ar"/>
                    </w:rPr>
                    <w:t>室外悬挂的危险废物标签</w:t>
                  </w:r>
                </w:p>
              </w:tc>
              <w:tc>
                <w:tcPr>
                  <w:tcW w:w="1869" w:type="dxa"/>
                  <w:noWrap w:val="0"/>
                  <w:vAlign w:val="center"/>
                </w:tcPr>
                <w:p>
                  <w:pPr>
                    <w:adjustRightInd w:val="0"/>
                    <w:snapToGrid w:val="0"/>
                    <w:jc w:val="center"/>
                    <w:rPr>
                      <w:color w:val="auto"/>
                      <w:szCs w:val="21"/>
                    </w:rPr>
                  </w:pPr>
                  <w:r>
                    <w:rPr>
                      <w:color w:val="auto"/>
                    </w:rPr>
                    <w:drawing>
                      <wp:inline distT="0" distB="0" distL="114300" distR="114300">
                        <wp:extent cx="1045845" cy="681355"/>
                        <wp:effectExtent l="0" t="0" r="1905" b="4445"/>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19"/>
                                <a:stretch>
                                  <a:fillRect/>
                                </a:stretch>
                              </pic:blipFill>
                              <pic:spPr>
                                <a:xfrm>
                                  <a:off x="0" y="0"/>
                                  <a:ext cx="1045845" cy="681355"/>
                                </a:xfrm>
                                <a:prstGeom prst="rect">
                                  <a:avLst/>
                                </a:prstGeom>
                                <a:noFill/>
                                <a:ln>
                                  <a:noFill/>
                                </a:ln>
                              </pic:spPr>
                            </pic:pic>
                          </a:graphicData>
                        </a:graphic>
                      </wp:inline>
                    </w:drawing>
                  </w:r>
                </w:p>
              </w:tc>
              <w:tc>
                <w:tcPr>
                  <w:tcW w:w="4720" w:type="dxa"/>
                  <w:noWrap w:val="0"/>
                  <w:vAlign w:val="center"/>
                </w:tcPr>
                <w:p>
                  <w:pPr>
                    <w:adjustRightInd w:val="0"/>
                    <w:snapToGrid w:val="0"/>
                    <w:jc w:val="left"/>
                    <w:rPr>
                      <w:rFonts w:hint="eastAsia"/>
                      <w:color w:val="auto"/>
                      <w:szCs w:val="21"/>
                      <w:lang w:val="en-US" w:eastAsia="zh-CN" w:bidi="ar"/>
                    </w:rPr>
                  </w:pPr>
                  <w:r>
                    <w:rPr>
                      <w:rFonts w:hint="eastAsia"/>
                      <w:color w:val="auto"/>
                      <w:szCs w:val="21"/>
                      <w:lang w:val="en-US" w:eastAsia="zh-CN" w:bidi="ar"/>
                    </w:rPr>
                    <w:t>1、危险废物设施标志背景颜色为黄色，RGB 颜色值为（255, 255, 0）。字体和边框颜色为黑色，RGB颜色值为（0, 0, 0）。附着式标志的设置高度，应尽量与视线高度一致；</w:t>
                  </w:r>
                </w:p>
                <w:p>
                  <w:pPr>
                    <w:adjustRightInd w:val="0"/>
                    <w:snapToGrid w:val="0"/>
                    <w:jc w:val="left"/>
                    <w:rPr>
                      <w:rFonts w:hint="eastAsia"/>
                      <w:color w:val="auto"/>
                      <w:szCs w:val="21"/>
                      <w:lang w:val="en-US" w:eastAsia="zh-CN" w:bidi="ar"/>
                    </w:rPr>
                  </w:pPr>
                  <w:r>
                    <w:rPr>
                      <w:rFonts w:hint="eastAsia"/>
                      <w:color w:val="auto"/>
                      <w:szCs w:val="21"/>
                      <w:lang w:val="en-US" w:eastAsia="zh-CN" w:bidi="ar"/>
                    </w:rPr>
                    <w:t>2、危险废物设施标志字体应采用黑体字，其中危险废物设施类型的字样应加粗放大并居中显示。3、危险废物贮存设施标志的尺寸：</w:t>
                  </w:r>
                </w:p>
                <w:p>
                  <w:pPr>
                    <w:adjustRightInd w:val="0"/>
                    <w:snapToGrid w:val="0"/>
                    <w:jc w:val="left"/>
                    <w:rPr>
                      <w:color w:val="auto"/>
                      <w:szCs w:val="21"/>
                    </w:rPr>
                  </w:pPr>
                  <w:r>
                    <w:rPr>
                      <w:color w:val="auto"/>
                    </w:rPr>
                    <w:drawing>
                      <wp:inline distT="0" distB="0" distL="114300" distR="114300">
                        <wp:extent cx="2853055" cy="610870"/>
                        <wp:effectExtent l="0" t="0" r="4445" b="1778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20"/>
                                <a:stretch>
                                  <a:fillRect/>
                                </a:stretch>
                              </pic:blipFill>
                              <pic:spPr>
                                <a:xfrm>
                                  <a:off x="0" y="0"/>
                                  <a:ext cx="2853055" cy="610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noWrap w:val="0"/>
                  <w:vAlign w:val="center"/>
                </w:tcPr>
                <w:p>
                  <w:pPr>
                    <w:adjustRightInd w:val="0"/>
                    <w:snapToGrid w:val="0"/>
                    <w:jc w:val="center"/>
                    <w:rPr>
                      <w:color w:val="auto"/>
                      <w:szCs w:val="21"/>
                      <w:lang w:bidi="ar"/>
                    </w:rPr>
                  </w:pPr>
                </w:p>
              </w:tc>
              <w:tc>
                <w:tcPr>
                  <w:tcW w:w="1869" w:type="dxa"/>
                  <w:noWrap w:val="0"/>
                  <w:vAlign w:val="center"/>
                </w:tcPr>
                <w:p>
                  <w:pPr>
                    <w:adjustRightInd w:val="0"/>
                    <w:snapToGrid w:val="0"/>
                    <w:jc w:val="center"/>
                    <w:rPr>
                      <w:color w:val="auto"/>
                      <w:szCs w:val="21"/>
                      <w:lang w:bidi="ar"/>
                    </w:rPr>
                  </w:pPr>
                  <w:r>
                    <w:rPr>
                      <w:color w:val="auto"/>
                    </w:rPr>
                    <w:drawing>
                      <wp:inline distT="0" distB="0" distL="114300" distR="114300">
                        <wp:extent cx="1046480" cy="539115"/>
                        <wp:effectExtent l="0" t="0" r="1270" b="1333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1"/>
                                <a:stretch>
                                  <a:fillRect/>
                                </a:stretch>
                              </pic:blipFill>
                              <pic:spPr>
                                <a:xfrm>
                                  <a:off x="0" y="0"/>
                                  <a:ext cx="1046480" cy="539115"/>
                                </a:xfrm>
                                <a:prstGeom prst="rect">
                                  <a:avLst/>
                                </a:prstGeom>
                                <a:noFill/>
                                <a:ln>
                                  <a:noFill/>
                                </a:ln>
                              </pic:spPr>
                            </pic:pic>
                          </a:graphicData>
                        </a:graphic>
                      </wp:inline>
                    </w:drawing>
                  </w:r>
                </w:p>
              </w:tc>
              <w:tc>
                <w:tcPr>
                  <w:tcW w:w="4720" w:type="dxa"/>
                  <w:noWrap w:val="0"/>
                  <w:vAlign w:val="center"/>
                </w:tcPr>
                <w:p>
                  <w:pPr>
                    <w:adjustRightInd w:val="0"/>
                    <w:snapToGrid w:val="0"/>
                    <w:jc w:val="left"/>
                    <w:rPr>
                      <w:rFonts w:hint="eastAsia"/>
                      <w:color w:val="auto"/>
                      <w:lang w:val="en-US" w:eastAsia="zh-CN"/>
                    </w:rPr>
                  </w:pPr>
                  <w:r>
                    <w:rPr>
                      <w:rFonts w:hint="eastAsia"/>
                      <w:color w:val="auto"/>
                      <w:lang w:val="en-US" w:eastAsia="zh-CN"/>
                    </w:rPr>
                    <w:t>1、危险废物设施标志背景颜色为黄色，RGB 颜色值为（255, 255, 0）。字体和边框颜色为黑色，RGB颜色值为（0, 0, 0）。柱式的标志和支架应牢固地联接在一起，标志牌最上端距地面约2 m；位于室外的标志牌中，支架固定在地下的，其支架埋深约 0.3 m。</w:t>
                  </w:r>
                </w:p>
                <w:p>
                  <w:pPr>
                    <w:adjustRightInd w:val="0"/>
                    <w:snapToGrid w:val="0"/>
                    <w:jc w:val="left"/>
                    <w:rPr>
                      <w:rFonts w:hint="eastAsia"/>
                      <w:color w:val="auto"/>
                      <w:lang w:val="en-US" w:eastAsia="zh-CN"/>
                    </w:rPr>
                  </w:pPr>
                  <w:r>
                    <w:rPr>
                      <w:rFonts w:hint="eastAsia"/>
                      <w:color w:val="auto"/>
                      <w:lang w:val="en-US" w:eastAsia="zh-CN"/>
                    </w:rPr>
                    <w:t>2、危险废物设施标志字体应采用黑体字，其中危险废物设施类型的字样应加粗放大并居中显示。3、危险废物贮存设施标志的尺寸：</w:t>
                  </w:r>
                </w:p>
                <w:p>
                  <w:pPr>
                    <w:pStyle w:val="4"/>
                    <w:rPr>
                      <w:color w:val="auto"/>
                    </w:rPr>
                  </w:pPr>
                  <w:r>
                    <w:rPr>
                      <w:color w:val="auto"/>
                    </w:rPr>
                    <w:drawing>
                      <wp:inline distT="0" distB="0" distL="114300" distR="114300">
                        <wp:extent cx="2853055" cy="610870"/>
                        <wp:effectExtent l="0" t="0" r="4445" b="1778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20"/>
                                <a:stretch>
                                  <a:fillRect/>
                                </a:stretch>
                              </pic:blipFill>
                              <pic:spPr>
                                <a:xfrm>
                                  <a:off x="0" y="0"/>
                                  <a:ext cx="2853055" cy="610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restart"/>
                  <w:noWrap w:val="0"/>
                  <w:vAlign w:val="center"/>
                </w:tcPr>
                <w:p>
                  <w:pPr>
                    <w:adjustRightInd w:val="0"/>
                    <w:snapToGrid w:val="0"/>
                    <w:jc w:val="center"/>
                    <w:rPr>
                      <w:color w:val="auto"/>
                      <w:szCs w:val="21"/>
                      <w:lang w:bidi="ar"/>
                    </w:rPr>
                  </w:pPr>
                  <w:r>
                    <w:rPr>
                      <w:color w:val="auto"/>
                      <w:szCs w:val="21"/>
                      <w:lang w:val="en-US" w:eastAsia="zh-CN" w:bidi="ar"/>
                    </w:rPr>
                    <w:t>危险废物贮存、利用、处置设施标志</w:t>
                  </w:r>
                </w:p>
              </w:tc>
              <w:tc>
                <w:tcPr>
                  <w:tcW w:w="1869" w:type="dxa"/>
                  <w:noWrap w:val="0"/>
                  <w:vAlign w:val="center"/>
                </w:tcPr>
                <w:p>
                  <w:pPr>
                    <w:adjustRightInd w:val="0"/>
                    <w:snapToGrid w:val="0"/>
                    <w:jc w:val="center"/>
                    <w:rPr>
                      <w:rFonts w:hint="eastAsia" w:eastAsia="宋体"/>
                      <w:color w:val="auto"/>
                      <w:lang w:eastAsia="zh-CN"/>
                    </w:rPr>
                  </w:pPr>
                  <w:r>
                    <w:rPr>
                      <w:rFonts w:hint="eastAsia"/>
                      <w:color w:val="auto"/>
                      <w:lang w:eastAsia="zh-CN"/>
                    </w:rPr>
                    <w:t>横版</w:t>
                  </w:r>
                </w:p>
                <w:p>
                  <w:pPr>
                    <w:adjustRightInd w:val="0"/>
                    <w:snapToGrid w:val="0"/>
                    <w:jc w:val="center"/>
                    <w:rPr>
                      <w:color w:val="auto"/>
                    </w:rPr>
                  </w:pPr>
                  <w:r>
                    <w:rPr>
                      <w:color w:val="auto"/>
                    </w:rPr>
                    <w:drawing>
                      <wp:inline distT="0" distB="0" distL="114300" distR="114300">
                        <wp:extent cx="1013460" cy="641350"/>
                        <wp:effectExtent l="0" t="0" r="15240" b="635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2"/>
                                <a:stretch>
                                  <a:fillRect/>
                                </a:stretch>
                              </pic:blipFill>
                              <pic:spPr>
                                <a:xfrm>
                                  <a:off x="0" y="0"/>
                                  <a:ext cx="1013460" cy="641350"/>
                                </a:xfrm>
                                <a:prstGeom prst="rect">
                                  <a:avLst/>
                                </a:prstGeom>
                                <a:noFill/>
                                <a:ln>
                                  <a:noFill/>
                                </a:ln>
                              </pic:spPr>
                            </pic:pic>
                          </a:graphicData>
                        </a:graphic>
                      </wp:inline>
                    </w:drawing>
                  </w:r>
                </w:p>
                <w:p>
                  <w:pPr>
                    <w:pStyle w:val="4"/>
                    <w:rPr>
                      <w:color w:val="auto"/>
                    </w:rPr>
                  </w:pPr>
                </w:p>
              </w:tc>
              <w:tc>
                <w:tcPr>
                  <w:tcW w:w="4720" w:type="dxa"/>
                  <w:noWrap w:val="0"/>
                  <w:vAlign w:val="center"/>
                </w:tcPr>
                <w:p>
                  <w:pPr>
                    <w:adjustRightInd w:val="0"/>
                    <w:snapToGrid w:val="0"/>
                    <w:jc w:val="left"/>
                    <w:rPr>
                      <w:rFonts w:hint="eastAsia"/>
                      <w:color w:val="auto"/>
                      <w:szCs w:val="21"/>
                      <w:lang w:val="en-US" w:eastAsia="zh-CN" w:bidi="ar"/>
                    </w:rPr>
                  </w:pPr>
                  <w:r>
                    <w:rPr>
                      <w:rFonts w:hint="eastAsia"/>
                      <w:color w:val="auto"/>
                      <w:szCs w:val="21"/>
                      <w:lang w:val="en-US" w:eastAsia="zh-CN" w:bidi="ar"/>
                    </w:rPr>
                    <w:t>1、危险废物设施标志背景颜色为黄色，RGB 颜色值为（255, 255, 0）。字体和边框颜色为黑色，RGB颜色值为（0, 0, 0）。</w:t>
                  </w:r>
                </w:p>
                <w:p>
                  <w:pPr>
                    <w:adjustRightInd w:val="0"/>
                    <w:snapToGrid w:val="0"/>
                    <w:jc w:val="left"/>
                    <w:rPr>
                      <w:rFonts w:hint="eastAsia"/>
                      <w:color w:val="auto"/>
                      <w:szCs w:val="21"/>
                      <w:lang w:val="en-US" w:eastAsia="zh-CN" w:bidi="ar"/>
                    </w:rPr>
                  </w:pPr>
                  <w:r>
                    <w:rPr>
                      <w:rFonts w:hint="eastAsia"/>
                      <w:color w:val="auto"/>
                      <w:szCs w:val="21"/>
                      <w:lang w:val="en-US" w:eastAsia="zh-CN" w:bidi="ar"/>
                    </w:rPr>
                    <w:t>2、危险废物设施标志字体应采用黑体字，其中危险废物设施类型的字样应加粗放大并居中显示。3、危险废物贮存设施标志的尺寸：</w:t>
                  </w:r>
                </w:p>
                <w:p>
                  <w:pPr>
                    <w:adjustRightInd w:val="0"/>
                    <w:snapToGrid w:val="0"/>
                    <w:jc w:val="left"/>
                    <w:rPr>
                      <w:rFonts w:hint="default" w:eastAsia="宋体"/>
                      <w:color w:val="auto"/>
                      <w:szCs w:val="21"/>
                      <w:lang w:val="en-US" w:eastAsia="zh-CN" w:bidi="ar"/>
                    </w:rPr>
                  </w:pPr>
                  <w:r>
                    <w:rPr>
                      <w:color w:val="auto"/>
                    </w:rPr>
                    <w:drawing>
                      <wp:inline distT="0" distB="0" distL="114300" distR="114300">
                        <wp:extent cx="2853055" cy="610870"/>
                        <wp:effectExtent l="0" t="0" r="4445" b="1778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0"/>
                                <a:stretch>
                                  <a:fillRect/>
                                </a:stretch>
                              </pic:blipFill>
                              <pic:spPr>
                                <a:xfrm>
                                  <a:off x="0" y="0"/>
                                  <a:ext cx="2853055" cy="610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noWrap w:val="0"/>
                  <w:vAlign w:val="center"/>
                </w:tcPr>
                <w:p>
                  <w:pPr>
                    <w:adjustRightInd w:val="0"/>
                    <w:snapToGrid w:val="0"/>
                    <w:jc w:val="center"/>
                    <w:rPr>
                      <w:color w:val="auto"/>
                      <w:szCs w:val="21"/>
                      <w:lang w:val="en-US" w:eastAsia="zh-CN" w:bidi="ar"/>
                    </w:rPr>
                  </w:pPr>
                </w:p>
              </w:tc>
              <w:tc>
                <w:tcPr>
                  <w:tcW w:w="1869" w:type="dxa"/>
                  <w:noWrap w:val="0"/>
                  <w:vAlign w:val="center"/>
                </w:tcPr>
                <w:p>
                  <w:pPr>
                    <w:pStyle w:val="4"/>
                    <w:jc w:val="center"/>
                    <w:rPr>
                      <w:rFonts w:hint="eastAsia" w:eastAsia="宋体"/>
                      <w:color w:val="auto"/>
                      <w:sz w:val="21"/>
                      <w:szCs w:val="21"/>
                      <w:lang w:eastAsia="zh-CN"/>
                    </w:rPr>
                  </w:pPr>
                  <w:r>
                    <w:rPr>
                      <w:rFonts w:hint="eastAsia"/>
                      <w:color w:val="auto"/>
                      <w:sz w:val="21"/>
                      <w:szCs w:val="21"/>
                      <w:lang w:eastAsia="zh-CN"/>
                    </w:rPr>
                    <w:t>竖版</w:t>
                  </w:r>
                </w:p>
                <w:p>
                  <w:pPr>
                    <w:rPr>
                      <w:color w:val="auto"/>
                    </w:rPr>
                  </w:pPr>
                  <w:r>
                    <w:rPr>
                      <w:color w:val="auto"/>
                    </w:rPr>
                    <w:drawing>
                      <wp:inline distT="0" distB="0" distL="114300" distR="114300">
                        <wp:extent cx="1002665" cy="1569085"/>
                        <wp:effectExtent l="0" t="0" r="6985" b="1206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3"/>
                                <a:stretch>
                                  <a:fillRect/>
                                </a:stretch>
                              </pic:blipFill>
                              <pic:spPr>
                                <a:xfrm>
                                  <a:off x="0" y="0"/>
                                  <a:ext cx="1002665" cy="1569085"/>
                                </a:xfrm>
                                <a:prstGeom prst="rect">
                                  <a:avLst/>
                                </a:prstGeom>
                                <a:noFill/>
                                <a:ln>
                                  <a:noFill/>
                                </a:ln>
                              </pic:spPr>
                            </pic:pic>
                          </a:graphicData>
                        </a:graphic>
                      </wp:inline>
                    </w:drawing>
                  </w:r>
                </w:p>
              </w:tc>
              <w:tc>
                <w:tcPr>
                  <w:tcW w:w="4720" w:type="dxa"/>
                  <w:noWrap w:val="0"/>
                  <w:vAlign w:val="center"/>
                </w:tcPr>
                <w:p>
                  <w:pPr>
                    <w:adjustRightInd w:val="0"/>
                    <w:snapToGrid w:val="0"/>
                    <w:jc w:val="left"/>
                    <w:rPr>
                      <w:rFonts w:hint="eastAsia"/>
                      <w:color w:val="auto"/>
                      <w:szCs w:val="21"/>
                      <w:lang w:val="en-US" w:eastAsia="zh-CN" w:bidi="ar"/>
                    </w:rPr>
                  </w:pPr>
                  <w:r>
                    <w:rPr>
                      <w:rFonts w:hint="eastAsia"/>
                      <w:color w:val="auto"/>
                      <w:szCs w:val="21"/>
                      <w:lang w:val="en-US" w:eastAsia="zh-CN" w:bidi="ar"/>
                    </w:rPr>
                    <w:t>1、危险废物设施标志背景颜色为黄色，RGB 颜色值为（255, 255, 0）。字体和边框颜色为黑色，RGB颜色值为（0, 0, 0）。</w:t>
                  </w:r>
                </w:p>
                <w:p>
                  <w:pPr>
                    <w:adjustRightInd w:val="0"/>
                    <w:snapToGrid w:val="0"/>
                    <w:jc w:val="left"/>
                    <w:rPr>
                      <w:rFonts w:hint="eastAsia"/>
                      <w:color w:val="auto"/>
                      <w:szCs w:val="21"/>
                      <w:lang w:val="en-US" w:eastAsia="zh-CN" w:bidi="ar"/>
                    </w:rPr>
                  </w:pPr>
                  <w:r>
                    <w:rPr>
                      <w:rFonts w:hint="eastAsia"/>
                      <w:color w:val="auto"/>
                      <w:szCs w:val="21"/>
                      <w:lang w:val="en-US" w:eastAsia="zh-CN" w:bidi="ar"/>
                    </w:rPr>
                    <w:t>2、危险废物设施标志字体应采用黑体字，其中危险废物设施类型的字样应加粗放大并居中显示。3、危险废物贮存设施标志的尺寸：</w:t>
                  </w:r>
                </w:p>
                <w:p>
                  <w:pPr>
                    <w:adjustRightInd w:val="0"/>
                    <w:snapToGrid w:val="0"/>
                    <w:jc w:val="left"/>
                    <w:rPr>
                      <w:color w:val="auto"/>
                    </w:rPr>
                  </w:pPr>
                  <w:r>
                    <w:rPr>
                      <w:color w:val="auto"/>
                    </w:rPr>
                    <w:drawing>
                      <wp:inline distT="0" distB="0" distL="114300" distR="114300">
                        <wp:extent cx="2853055" cy="610870"/>
                        <wp:effectExtent l="0" t="0" r="4445" b="1778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20"/>
                                <a:stretch>
                                  <a:fillRect/>
                                </a:stretch>
                              </pic:blipFill>
                              <pic:spPr>
                                <a:xfrm>
                                  <a:off x="0" y="0"/>
                                  <a:ext cx="2853055" cy="610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noWrap w:val="0"/>
                  <w:vAlign w:val="center"/>
                </w:tcPr>
                <w:p>
                  <w:pPr>
                    <w:adjustRightInd w:val="0"/>
                    <w:snapToGrid w:val="0"/>
                    <w:jc w:val="center"/>
                    <w:rPr>
                      <w:rFonts w:hint="eastAsia" w:eastAsia="宋体"/>
                      <w:color w:val="auto"/>
                      <w:szCs w:val="21"/>
                      <w:lang w:eastAsia="zh-CN" w:bidi="ar"/>
                    </w:rPr>
                  </w:pPr>
                  <w:r>
                    <w:rPr>
                      <w:rFonts w:hint="eastAsia"/>
                      <w:color w:val="auto"/>
                      <w:szCs w:val="21"/>
                      <w:lang w:eastAsia="zh-CN" w:bidi="ar"/>
                    </w:rPr>
                    <w:t>危险废物贮存分区标签</w:t>
                  </w:r>
                </w:p>
              </w:tc>
              <w:tc>
                <w:tcPr>
                  <w:tcW w:w="1869" w:type="dxa"/>
                  <w:noWrap w:val="0"/>
                  <w:vAlign w:val="center"/>
                </w:tcPr>
                <w:p>
                  <w:pPr>
                    <w:adjustRightInd w:val="0"/>
                    <w:snapToGrid w:val="0"/>
                    <w:jc w:val="center"/>
                    <w:rPr>
                      <w:color w:val="auto"/>
                      <w:szCs w:val="21"/>
                      <w:lang w:bidi="ar"/>
                    </w:rPr>
                  </w:pPr>
                  <w:r>
                    <w:rPr>
                      <w:color w:val="auto"/>
                    </w:rPr>
                    <w:drawing>
                      <wp:inline distT="0" distB="0" distL="114300" distR="114300">
                        <wp:extent cx="1010285" cy="852805"/>
                        <wp:effectExtent l="0" t="0" r="18415"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4"/>
                                <a:stretch>
                                  <a:fillRect/>
                                </a:stretch>
                              </pic:blipFill>
                              <pic:spPr>
                                <a:xfrm>
                                  <a:off x="0" y="0"/>
                                  <a:ext cx="1010285" cy="852805"/>
                                </a:xfrm>
                                <a:prstGeom prst="rect">
                                  <a:avLst/>
                                </a:prstGeom>
                                <a:noFill/>
                                <a:ln>
                                  <a:noFill/>
                                </a:ln>
                              </pic:spPr>
                            </pic:pic>
                          </a:graphicData>
                        </a:graphic>
                      </wp:inline>
                    </w:drawing>
                  </w:r>
                </w:p>
              </w:tc>
              <w:tc>
                <w:tcPr>
                  <w:tcW w:w="4720" w:type="dxa"/>
                  <w:noWrap w:val="0"/>
                  <w:vAlign w:val="center"/>
                </w:tcPr>
                <w:p>
                  <w:pPr>
                    <w:adjustRightInd w:val="0"/>
                    <w:snapToGrid w:val="0"/>
                    <w:jc w:val="left"/>
                    <w:rPr>
                      <w:rFonts w:hint="eastAsia"/>
                      <w:color w:val="auto"/>
                      <w:szCs w:val="21"/>
                      <w:lang w:val="en-US" w:eastAsia="zh-CN" w:bidi="ar"/>
                    </w:rPr>
                  </w:pPr>
                  <w:r>
                    <w:rPr>
                      <w:rFonts w:hint="eastAsia"/>
                      <w:color w:val="auto"/>
                      <w:szCs w:val="21"/>
                      <w:lang w:val="en-US" w:eastAsia="zh-CN" w:bidi="ar"/>
                    </w:rPr>
                    <w:t>（1）危险废物分区标志背景色应采用黄色，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255, 255, 0</w:t>
                  </w:r>
                  <w:r>
                    <w:rPr>
                      <w:rFonts w:hint="eastAsia"/>
                      <w:color w:val="auto"/>
                      <w:szCs w:val="21"/>
                      <w:lang w:val="en-US" w:eastAsia="zh-CN" w:bidi="ar"/>
                    </w:rPr>
                    <w:t>）。废物种类信息应采用醒目的橘黄色，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255, 150, 0</w:t>
                  </w:r>
                  <w:r>
                    <w:rPr>
                      <w:rFonts w:hint="eastAsia"/>
                      <w:color w:val="auto"/>
                      <w:szCs w:val="21"/>
                      <w:lang w:val="en-US" w:eastAsia="zh-CN" w:bidi="ar"/>
                    </w:rPr>
                    <w:t>）。字体颜色为黑色，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0, 0, 0</w:t>
                  </w:r>
                  <w:r>
                    <w:rPr>
                      <w:rFonts w:hint="eastAsia"/>
                      <w:color w:val="auto"/>
                      <w:szCs w:val="21"/>
                      <w:lang w:val="en-US" w:eastAsia="zh-CN" w:bidi="ar"/>
                    </w:rPr>
                    <w:t>）。</w:t>
                  </w:r>
                </w:p>
                <w:p>
                  <w:pPr>
                    <w:adjustRightInd w:val="0"/>
                    <w:snapToGrid w:val="0"/>
                    <w:jc w:val="left"/>
                    <w:rPr>
                      <w:rFonts w:hint="eastAsia"/>
                      <w:color w:val="auto"/>
                      <w:szCs w:val="21"/>
                      <w:lang w:val="en-US" w:eastAsia="zh-CN" w:bidi="ar"/>
                    </w:rPr>
                  </w:pPr>
                  <w:r>
                    <w:rPr>
                      <w:rFonts w:hint="eastAsia"/>
                      <w:color w:val="auto"/>
                      <w:szCs w:val="21"/>
                      <w:lang w:val="en-US" w:eastAsia="zh-CN" w:bidi="ar"/>
                    </w:rPr>
                    <w:t>（2）危险废物分区标志的字体宜采用黑体字，其中“危险废物贮存分区标志”字样应加粗放大并居中显示。</w:t>
                  </w:r>
                </w:p>
                <w:p>
                  <w:pPr>
                    <w:adjustRightInd w:val="0"/>
                    <w:snapToGrid w:val="0"/>
                    <w:jc w:val="left"/>
                    <w:rPr>
                      <w:rFonts w:hint="eastAsia"/>
                      <w:color w:val="auto"/>
                      <w:szCs w:val="21"/>
                      <w:lang w:val="en-US" w:eastAsia="zh-CN" w:bidi="ar"/>
                    </w:rPr>
                  </w:pPr>
                  <w:r>
                    <w:rPr>
                      <w:rFonts w:hint="eastAsia"/>
                      <w:color w:val="auto"/>
                      <w:szCs w:val="21"/>
                      <w:lang w:val="en-US" w:eastAsia="zh-CN" w:bidi="ar"/>
                    </w:rPr>
                    <w:t>（3）危险废物贮存分区标志的尺寸要求：</w:t>
                  </w:r>
                </w:p>
                <w:p>
                  <w:pPr>
                    <w:adjustRightInd w:val="0"/>
                    <w:snapToGrid w:val="0"/>
                    <w:jc w:val="left"/>
                    <w:rPr>
                      <w:rFonts w:hint="default" w:eastAsia="宋体"/>
                      <w:color w:val="auto"/>
                      <w:szCs w:val="21"/>
                      <w:lang w:val="en-US" w:eastAsia="zh-CN" w:bidi="ar"/>
                    </w:rPr>
                  </w:pPr>
                  <w:r>
                    <w:rPr>
                      <w:color w:val="auto"/>
                    </w:rPr>
                    <w:drawing>
                      <wp:inline distT="0" distB="0" distL="114300" distR="114300">
                        <wp:extent cx="2736850" cy="467995"/>
                        <wp:effectExtent l="0" t="0" r="6350" b="825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5"/>
                                <a:stretch>
                                  <a:fillRect/>
                                </a:stretch>
                              </pic:blipFill>
                              <pic:spPr>
                                <a:xfrm>
                                  <a:off x="0" y="0"/>
                                  <a:ext cx="2736850" cy="467995"/>
                                </a:xfrm>
                                <a:prstGeom prst="rect">
                                  <a:avLst/>
                                </a:prstGeom>
                                <a:noFill/>
                                <a:ln>
                                  <a:noFill/>
                                </a:ln>
                              </pic:spPr>
                            </pic:pic>
                          </a:graphicData>
                        </a:graphic>
                      </wp:inline>
                    </w:drawing>
                  </w:r>
                </w:p>
                <w:p>
                  <w:pPr>
                    <w:adjustRightInd w:val="0"/>
                    <w:snapToGrid w:val="0"/>
                    <w:jc w:val="left"/>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noWrap w:val="0"/>
                  <w:vAlign w:val="center"/>
                </w:tcPr>
                <w:p>
                  <w:pPr>
                    <w:adjustRightInd w:val="0"/>
                    <w:snapToGrid w:val="0"/>
                    <w:jc w:val="center"/>
                    <w:rPr>
                      <w:color w:val="auto"/>
                      <w:szCs w:val="21"/>
                    </w:rPr>
                  </w:pPr>
                  <w:r>
                    <w:rPr>
                      <w:color w:val="auto"/>
                      <w:szCs w:val="21"/>
                      <w:lang w:bidi="ar"/>
                    </w:rPr>
                    <w:t>危险废物储存容器上的危险废物标签</w:t>
                  </w:r>
                </w:p>
              </w:tc>
              <w:tc>
                <w:tcPr>
                  <w:tcW w:w="1869" w:type="dxa"/>
                  <w:noWrap w:val="0"/>
                  <w:vAlign w:val="center"/>
                </w:tcPr>
                <w:p>
                  <w:pPr>
                    <w:adjustRightInd w:val="0"/>
                    <w:snapToGrid w:val="0"/>
                    <w:jc w:val="center"/>
                    <w:rPr>
                      <w:color w:val="auto"/>
                      <w:szCs w:val="21"/>
                    </w:rPr>
                  </w:pPr>
                  <w:r>
                    <w:rPr>
                      <w:color w:val="auto"/>
                    </w:rPr>
                    <w:drawing>
                      <wp:inline distT="0" distB="0" distL="114300" distR="114300">
                        <wp:extent cx="1012190" cy="1010285"/>
                        <wp:effectExtent l="0" t="0" r="16510" b="1841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6"/>
                                <a:stretch>
                                  <a:fillRect/>
                                </a:stretch>
                              </pic:blipFill>
                              <pic:spPr>
                                <a:xfrm>
                                  <a:off x="0" y="0"/>
                                  <a:ext cx="1012190" cy="1010285"/>
                                </a:xfrm>
                                <a:prstGeom prst="rect">
                                  <a:avLst/>
                                </a:prstGeom>
                                <a:noFill/>
                                <a:ln>
                                  <a:noFill/>
                                </a:ln>
                              </pic:spPr>
                            </pic:pic>
                          </a:graphicData>
                        </a:graphic>
                      </wp:inline>
                    </w:drawing>
                  </w:r>
                </w:p>
              </w:tc>
              <w:tc>
                <w:tcPr>
                  <w:tcW w:w="4720" w:type="dxa"/>
                  <w:noWrap w:val="0"/>
                  <w:vAlign w:val="center"/>
                </w:tcPr>
                <w:p>
                  <w:pPr>
                    <w:adjustRightInd w:val="0"/>
                    <w:snapToGrid w:val="0"/>
                    <w:jc w:val="left"/>
                    <w:rPr>
                      <w:color w:val="auto"/>
                      <w:szCs w:val="21"/>
                      <w:lang w:bidi="ar"/>
                    </w:rPr>
                  </w:pPr>
                  <w:r>
                    <w:rPr>
                      <w:color w:val="auto"/>
                      <w:szCs w:val="21"/>
                      <w:lang w:bidi="ar"/>
                    </w:rPr>
                    <w:t>1、</w:t>
                  </w:r>
                  <w:r>
                    <w:rPr>
                      <w:rFonts w:hint="eastAsia"/>
                      <w:color w:val="auto"/>
                      <w:szCs w:val="21"/>
                      <w:lang w:val="en-US" w:eastAsia="zh-CN" w:bidi="ar"/>
                    </w:rPr>
                    <w:t>危险废物标签背景色应采用醒目的橘黄色，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255, 150, 0</w:t>
                  </w:r>
                  <w:r>
                    <w:rPr>
                      <w:rFonts w:hint="eastAsia"/>
                      <w:color w:val="auto"/>
                      <w:szCs w:val="21"/>
                      <w:lang w:val="en-US" w:eastAsia="zh-CN" w:bidi="ar"/>
                    </w:rPr>
                    <w:t>）。标签边框和字体颜色为黑色，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0, 0, 0</w:t>
                  </w:r>
                  <w:r>
                    <w:rPr>
                      <w:rFonts w:hint="eastAsia"/>
                      <w:color w:val="auto"/>
                      <w:szCs w:val="21"/>
                      <w:lang w:val="en-US" w:eastAsia="zh-CN" w:bidi="ar"/>
                    </w:rPr>
                    <w:t>）。</w:t>
                  </w:r>
                </w:p>
                <w:p>
                  <w:pPr>
                    <w:adjustRightInd w:val="0"/>
                    <w:snapToGrid w:val="0"/>
                    <w:jc w:val="left"/>
                    <w:rPr>
                      <w:color w:val="auto"/>
                      <w:szCs w:val="21"/>
                      <w:lang w:bidi="ar"/>
                    </w:rPr>
                  </w:pPr>
                  <w:r>
                    <w:rPr>
                      <w:color w:val="auto"/>
                      <w:szCs w:val="21"/>
                      <w:lang w:bidi="ar"/>
                    </w:rPr>
                    <w:t>2、</w:t>
                  </w:r>
                  <w:r>
                    <w:rPr>
                      <w:rFonts w:hint="eastAsia"/>
                      <w:color w:val="auto"/>
                      <w:szCs w:val="21"/>
                      <w:lang w:val="en-US" w:eastAsia="zh-CN" w:bidi="ar"/>
                    </w:rPr>
                    <w:t>危险废物标签字体宜采用黑体字，其中“危险废物”字样应加粗放大。</w:t>
                  </w:r>
                </w:p>
                <w:p>
                  <w:pPr>
                    <w:adjustRightInd w:val="0"/>
                    <w:snapToGrid w:val="0"/>
                    <w:jc w:val="left"/>
                    <w:rPr>
                      <w:rFonts w:hint="eastAsia"/>
                      <w:color w:val="auto"/>
                      <w:szCs w:val="21"/>
                      <w:lang w:val="en-US" w:eastAsia="zh-CN"/>
                    </w:rPr>
                  </w:pPr>
                  <w:r>
                    <w:rPr>
                      <w:rFonts w:hint="eastAsia"/>
                      <w:color w:val="auto"/>
                      <w:szCs w:val="21"/>
                      <w:lang w:val="en-US" w:eastAsia="zh-CN"/>
                    </w:rPr>
                    <w:t>3、危险废物标签尺寸：</w:t>
                  </w:r>
                </w:p>
                <w:p>
                  <w:pPr>
                    <w:adjustRightInd w:val="0"/>
                    <w:snapToGrid w:val="0"/>
                    <w:jc w:val="left"/>
                    <w:rPr>
                      <w:rFonts w:hint="eastAsia" w:eastAsia="宋体"/>
                      <w:color w:val="auto"/>
                      <w:szCs w:val="21"/>
                      <w:lang w:val="en-US" w:eastAsia="zh-CN"/>
                    </w:rPr>
                  </w:pPr>
                  <w:r>
                    <w:rPr>
                      <w:color w:val="auto"/>
                    </w:rPr>
                    <w:drawing>
                      <wp:inline distT="0" distB="0" distL="114300" distR="114300">
                        <wp:extent cx="2853055" cy="451485"/>
                        <wp:effectExtent l="0" t="0" r="4445" b="571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27"/>
                                <a:stretch>
                                  <a:fillRect/>
                                </a:stretch>
                              </pic:blipFill>
                              <pic:spPr>
                                <a:xfrm>
                                  <a:off x="0" y="0"/>
                                  <a:ext cx="2853055" cy="4514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noWrap w:val="0"/>
                  <w:vAlign w:val="center"/>
                </w:tcPr>
                <w:p>
                  <w:pPr>
                    <w:adjustRightInd w:val="0"/>
                    <w:snapToGrid w:val="0"/>
                    <w:jc w:val="center"/>
                    <w:rPr>
                      <w:color w:val="auto"/>
                      <w:szCs w:val="21"/>
                    </w:rPr>
                  </w:pPr>
                  <w:r>
                    <w:rPr>
                      <w:color w:val="auto"/>
                      <w:szCs w:val="21"/>
                      <w:lang w:bidi="ar"/>
                    </w:rPr>
                    <w:t>袋装危险废物包装物上的危险废物标签</w:t>
                  </w:r>
                </w:p>
              </w:tc>
              <w:tc>
                <w:tcPr>
                  <w:tcW w:w="1869" w:type="dxa"/>
                  <w:noWrap w:val="0"/>
                  <w:vAlign w:val="center"/>
                </w:tcPr>
                <w:p>
                  <w:pPr>
                    <w:adjustRightInd w:val="0"/>
                    <w:snapToGrid w:val="0"/>
                    <w:jc w:val="center"/>
                    <w:rPr>
                      <w:color w:val="auto"/>
                      <w:szCs w:val="21"/>
                    </w:rPr>
                  </w:pPr>
                  <w:r>
                    <w:rPr>
                      <w:color w:val="auto"/>
                    </w:rPr>
                    <w:drawing>
                      <wp:inline distT="0" distB="0" distL="114300" distR="114300">
                        <wp:extent cx="1012190" cy="1010285"/>
                        <wp:effectExtent l="0" t="0" r="16510" b="184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6"/>
                                <a:stretch>
                                  <a:fillRect/>
                                </a:stretch>
                              </pic:blipFill>
                              <pic:spPr>
                                <a:xfrm>
                                  <a:off x="0" y="0"/>
                                  <a:ext cx="1012190" cy="1010285"/>
                                </a:xfrm>
                                <a:prstGeom prst="rect">
                                  <a:avLst/>
                                </a:prstGeom>
                                <a:noFill/>
                                <a:ln>
                                  <a:noFill/>
                                </a:ln>
                              </pic:spPr>
                            </pic:pic>
                          </a:graphicData>
                        </a:graphic>
                      </wp:inline>
                    </w:drawing>
                  </w:r>
                </w:p>
              </w:tc>
              <w:tc>
                <w:tcPr>
                  <w:tcW w:w="4720" w:type="dxa"/>
                  <w:noWrap w:val="0"/>
                  <w:vAlign w:val="center"/>
                </w:tcPr>
                <w:p>
                  <w:pPr>
                    <w:adjustRightInd w:val="0"/>
                    <w:snapToGrid w:val="0"/>
                    <w:jc w:val="left"/>
                    <w:rPr>
                      <w:color w:val="auto"/>
                      <w:szCs w:val="21"/>
                      <w:lang w:bidi="ar"/>
                    </w:rPr>
                  </w:pPr>
                  <w:r>
                    <w:rPr>
                      <w:color w:val="auto"/>
                      <w:szCs w:val="21"/>
                      <w:lang w:bidi="ar"/>
                    </w:rPr>
                    <w:t>1、</w:t>
                  </w:r>
                  <w:r>
                    <w:rPr>
                      <w:rFonts w:hint="eastAsia"/>
                      <w:color w:val="auto"/>
                      <w:szCs w:val="21"/>
                      <w:lang w:val="en-US" w:eastAsia="zh-CN" w:bidi="ar"/>
                    </w:rPr>
                    <w:t>危险废物标签背景色应采用醒目的橘黄色，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255, 150, 0</w:t>
                  </w:r>
                  <w:r>
                    <w:rPr>
                      <w:rFonts w:hint="eastAsia"/>
                      <w:color w:val="auto"/>
                      <w:szCs w:val="21"/>
                      <w:lang w:val="en-US" w:eastAsia="zh-CN" w:bidi="ar"/>
                    </w:rPr>
                    <w:t>）。标签边框和字体颜色为黑色，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0, 0, 0</w:t>
                  </w:r>
                  <w:r>
                    <w:rPr>
                      <w:rFonts w:hint="eastAsia"/>
                      <w:color w:val="auto"/>
                      <w:szCs w:val="21"/>
                      <w:lang w:val="en-US" w:eastAsia="zh-CN" w:bidi="ar"/>
                    </w:rPr>
                    <w:t>）。</w:t>
                  </w:r>
                </w:p>
                <w:p>
                  <w:pPr>
                    <w:adjustRightInd w:val="0"/>
                    <w:snapToGrid w:val="0"/>
                    <w:jc w:val="left"/>
                    <w:rPr>
                      <w:color w:val="auto"/>
                      <w:szCs w:val="21"/>
                      <w:lang w:bidi="ar"/>
                    </w:rPr>
                  </w:pPr>
                  <w:r>
                    <w:rPr>
                      <w:color w:val="auto"/>
                      <w:szCs w:val="21"/>
                      <w:lang w:bidi="ar"/>
                    </w:rPr>
                    <w:t>2、</w:t>
                  </w:r>
                  <w:r>
                    <w:rPr>
                      <w:rFonts w:hint="eastAsia"/>
                      <w:color w:val="auto"/>
                      <w:szCs w:val="21"/>
                      <w:lang w:val="en-US" w:eastAsia="zh-CN" w:bidi="ar"/>
                    </w:rPr>
                    <w:t>危险废物标签字体宜采用黑体字，其中“危险废物”字样应加粗放大。</w:t>
                  </w:r>
                </w:p>
                <w:p>
                  <w:pPr>
                    <w:adjustRightInd w:val="0"/>
                    <w:snapToGrid w:val="0"/>
                    <w:jc w:val="left"/>
                    <w:rPr>
                      <w:color w:val="auto"/>
                      <w:szCs w:val="21"/>
                    </w:rPr>
                  </w:pPr>
                  <w:r>
                    <w:rPr>
                      <w:rFonts w:hint="eastAsia"/>
                      <w:color w:val="auto"/>
                      <w:szCs w:val="21"/>
                      <w:lang w:val="en-US" w:eastAsia="zh-CN"/>
                    </w:rPr>
                    <w:t>3、危险废物标签尺寸：</w:t>
                  </w:r>
                  <w:r>
                    <w:rPr>
                      <w:color w:val="auto"/>
                    </w:rPr>
                    <w:drawing>
                      <wp:inline distT="0" distB="0" distL="114300" distR="114300">
                        <wp:extent cx="2853055" cy="451485"/>
                        <wp:effectExtent l="0" t="0" r="4445" b="571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7"/>
                                <a:stretch>
                                  <a:fillRect/>
                                </a:stretch>
                              </pic:blipFill>
                              <pic:spPr>
                                <a:xfrm>
                                  <a:off x="0" y="0"/>
                                  <a:ext cx="2853055" cy="451485"/>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sz w:val="24"/>
                <w:szCs w:val="24"/>
              </w:rPr>
            </w:pPr>
            <w:r>
              <w:rPr>
                <w:rFonts w:hint="eastAsia"/>
                <w:color w:val="auto"/>
                <w:sz w:val="24"/>
                <w:szCs w:val="24"/>
                <w:lang w:val="en-US" w:eastAsia="zh-CN"/>
              </w:rPr>
              <w:t xml:space="preserve">   </w:t>
            </w:r>
            <w:r>
              <w:rPr>
                <w:rFonts w:hint="eastAsia"/>
                <w:b/>
                <w:bCs/>
                <w:color w:val="auto"/>
                <w:sz w:val="24"/>
                <w:szCs w:val="24"/>
                <w:lang w:val="en-US" w:eastAsia="zh-CN"/>
              </w:rPr>
              <w:t>5、地下水、土壤环境影响分析</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（1）污染途径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lang w:val="en-US" w:eastAsia="zh-CN"/>
              </w:rPr>
            </w:pPr>
            <w:r>
              <w:rPr>
                <w:rFonts w:hint="eastAsia" w:cs="Times New Roman" w:eastAsiaTheme="minorEastAsia"/>
                <w:color w:val="auto"/>
                <w:sz w:val="24"/>
                <w:szCs w:val="24"/>
                <w:lang w:val="en-US" w:eastAsia="zh-CN"/>
              </w:rPr>
              <w:t>本项目为危废暂存间，</w:t>
            </w:r>
            <w:r>
              <w:rPr>
                <w:rFonts w:hint="eastAsia"/>
                <w:color w:val="auto"/>
                <w:sz w:val="24"/>
                <w:szCs w:val="24"/>
                <w:lang w:val="en-US" w:eastAsia="zh-CN"/>
              </w:rPr>
              <w:t>本次扩建的危废暂存间和现有危废暂存间共同用于暂存渭南高新区海泰新型电子材料有限责任公司危险废物，定期交由有资质单位统一拉运处置。</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贮</w:t>
            </w:r>
            <w:r>
              <w:rPr>
                <w:rFonts w:hint="eastAsia" w:ascii="Times New Roman" w:hAnsi="Times New Roman" w:cs="Times New Roman"/>
                <w:color w:val="auto"/>
                <w:sz w:val="24"/>
                <w:szCs w:val="24"/>
                <w:lang w:val="en-US" w:eastAsia="zh-CN"/>
              </w:rPr>
              <w:t>存的危险废物</w:t>
            </w:r>
            <w:r>
              <w:rPr>
                <w:rFonts w:hint="eastAsia" w:cs="Times New Roman"/>
                <w:color w:val="auto"/>
                <w:sz w:val="24"/>
                <w:szCs w:val="24"/>
                <w:lang w:val="en-US" w:eastAsia="zh-CN"/>
              </w:rPr>
              <w:t>在</w:t>
            </w:r>
            <w:r>
              <w:rPr>
                <w:rFonts w:hint="eastAsia" w:ascii="Times New Roman" w:hAnsi="Times New Roman" w:cs="Times New Roman"/>
                <w:color w:val="auto"/>
                <w:sz w:val="24"/>
                <w:szCs w:val="24"/>
                <w:lang w:val="en-US" w:eastAsia="zh-CN"/>
              </w:rPr>
              <w:t>收集、贮存和运输过程中</w:t>
            </w:r>
            <w:r>
              <w:rPr>
                <w:rFonts w:hint="eastAsia" w:cs="Times New Roman"/>
                <w:color w:val="auto"/>
                <w:sz w:val="24"/>
                <w:szCs w:val="24"/>
                <w:lang w:val="en-US" w:eastAsia="zh-CN"/>
              </w:rPr>
              <w:t>严格按照</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、《危险废物识别标志设置技术规范》（HJ1276-2022）、《危险废物收集、贮存、运输技术规范》（HJ2025-2012）等相关规定和要求，防止</w:t>
            </w:r>
            <w:r>
              <w:rPr>
                <w:rFonts w:hint="eastAsia" w:ascii="Times New Roman" w:hAnsi="Times New Roman" w:cs="Times New Roman"/>
                <w:color w:val="auto"/>
                <w:sz w:val="24"/>
                <w:szCs w:val="24"/>
                <w:lang w:val="en-US" w:eastAsia="zh-CN"/>
              </w:rPr>
              <w:t>有害物质进入土壤</w:t>
            </w:r>
            <w:r>
              <w:rPr>
                <w:rFonts w:hint="eastAsia" w:cs="Times New Roman"/>
                <w:color w:val="auto"/>
                <w:sz w:val="24"/>
                <w:szCs w:val="24"/>
                <w:lang w:val="en-US" w:eastAsia="zh-CN"/>
              </w:rPr>
              <w:t>和地下水</w:t>
            </w:r>
            <w:r>
              <w:rPr>
                <w:rFonts w:hint="eastAsia" w:ascii="Times New Roman" w:hAnsi="Times New Roman" w:cs="Times New Roman"/>
                <w:color w:val="auto"/>
                <w:sz w:val="24"/>
                <w:szCs w:val="24"/>
                <w:lang w:val="en-US" w:eastAsia="zh-CN"/>
              </w:rPr>
              <w:t>环境，因此正常情况下</w:t>
            </w:r>
            <w:r>
              <w:rPr>
                <w:rFonts w:hint="eastAsia" w:cs="Times New Roman"/>
                <w:color w:val="auto"/>
                <w:sz w:val="24"/>
                <w:szCs w:val="24"/>
                <w:lang w:val="en-US" w:eastAsia="zh-CN"/>
              </w:rPr>
              <w:t>不会对</w:t>
            </w:r>
            <w:r>
              <w:rPr>
                <w:rFonts w:hint="eastAsia" w:ascii="Times New Roman" w:hAnsi="Times New Roman" w:cs="Times New Roman"/>
                <w:color w:val="auto"/>
                <w:sz w:val="24"/>
                <w:szCs w:val="24"/>
                <w:lang w:val="en-US" w:eastAsia="zh-CN"/>
              </w:rPr>
              <w:t>地下水、土壤环境产生污染污染。</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本项目可能造成土壤</w:t>
            </w:r>
            <w:r>
              <w:rPr>
                <w:rFonts w:hint="eastAsia" w:cs="Times New Roman"/>
                <w:color w:val="auto"/>
                <w:sz w:val="24"/>
                <w:szCs w:val="24"/>
                <w:lang w:val="en-US" w:eastAsia="zh-CN"/>
              </w:rPr>
              <w:t>和地下水</w:t>
            </w:r>
            <w:r>
              <w:rPr>
                <w:rFonts w:hint="eastAsia" w:ascii="Times New Roman" w:hAnsi="Times New Roman" w:cs="Times New Roman"/>
                <w:color w:val="auto"/>
                <w:sz w:val="24"/>
                <w:szCs w:val="24"/>
                <w:lang w:val="en-US" w:eastAsia="zh-CN"/>
              </w:rPr>
              <w:t>环境污染的主要途径为事故状态下危废暂存</w:t>
            </w:r>
            <w:r>
              <w:rPr>
                <w:rFonts w:hint="eastAsia" w:cs="Times New Roman"/>
                <w:color w:val="auto"/>
                <w:sz w:val="24"/>
                <w:szCs w:val="24"/>
                <w:lang w:val="en-US" w:eastAsia="zh-CN"/>
              </w:rPr>
              <w:t>间</w:t>
            </w:r>
            <w:r>
              <w:rPr>
                <w:rFonts w:hint="eastAsia" w:ascii="Times New Roman" w:hAnsi="Times New Roman" w:cs="Times New Roman"/>
                <w:color w:val="auto"/>
                <w:sz w:val="24"/>
                <w:szCs w:val="24"/>
                <w:lang w:val="en-US" w:eastAsia="zh-CN"/>
              </w:rPr>
              <w:t>防渗层破裂，与土壤</w:t>
            </w:r>
            <w:r>
              <w:rPr>
                <w:rFonts w:hint="eastAsia" w:cs="Times New Roman"/>
                <w:color w:val="auto"/>
                <w:sz w:val="24"/>
                <w:szCs w:val="24"/>
                <w:lang w:val="en-US" w:eastAsia="zh-CN"/>
              </w:rPr>
              <w:t>和地下水</w:t>
            </w:r>
            <w:r>
              <w:rPr>
                <w:rFonts w:hint="eastAsia" w:ascii="Times New Roman" w:hAnsi="Times New Roman" w:cs="Times New Roman"/>
                <w:color w:val="auto"/>
                <w:sz w:val="24"/>
                <w:szCs w:val="24"/>
                <w:lang w:val="en-US" w:eastAsia="zh-CN"/>
              </w:rPr>
              <w:t>接触，</w:t>
            </w:r>
            <w:r>
              <w:rPr>
                <w:rFonts w:hint="eastAsia" w:cs="Times New Roman"/>
                <w:color w:val="auto"/>
                <w:sz w:val="24"/>
                <w:szCs w:val="24"/>
                <w:lang w:val="en-US" w:eastAsia="zh-CN"/>
              </w:rPr>
              <w:t>污染物</w:t>
            </w:r>
            <w:r>
              <w:rPr>
                <w:rFonts w:hint="eastAsia" w:ascii="Times New Roman" w:hAnsi="Times New Roman" w:cs="Times New Roman"/>
                <w:color w:val="auto"/>
                <w:sz w:val="24"/>
                <w:szCs w:val="24"/>
                <w:lang w:val="en-US" w:eastAsia="zh-CN"/>
              </w:rPr>
              <w:t>垂直入渗污染土壤</w:t>
            </w:r>
            <w:r>
              <w:rPr>
                <w:rFonts w:hint="eastAsia" w:cs="Times New Roman"/>
                <w:color w:val="auto"/>
                <w:sz w:val="24"/>
                <w:szCs w:val="24"/>
                <w:lang w:val="en-US" w:eastAsia="zh-CN"/>
              </w:rPr>
              <w:t>和地下水</w:t>
            </w:r>
            <w:r>
              <w:rPr>
                <w:rFonts w:hint="eastAsia" w:ascii="Times New Roman" w:hAnsi="Times New Roman" w:cs="Times New Roman"/>
                <w:color w:val="auto"/>
                <w:sz w:val="24"/>
                <w:szCs w:val="24"/>
                <w:lang w:val="en-US" w:eastAsia="zh-CN"/>
              </w:rPr>
              <w:t>环境。</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（2）污染防治措施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为了防止</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物垂直入渗污染土壤</w:t>
            </w:r>
            <w:r>
              <w:rPr>
                <w:rFonts w:hint="eastAsia" w:cs="Times New Roman"/>
                <w:color w:val="auto"/>
                <w:sz w:val="24"/>
                <w:szCs w:val="24"/>
                <w:lang w:val="en-US" w:eastAsia="zh-CN"/>
              </w:rPr>
              <w:t>和</w:t>
            </w:r>
            <w:r>
              <w:rPr>
                <w:rFonts w:hint="eastAsia" w:ascii="Times New Roman" w:hAnsi="Times New Roman" w:cs="Times New Roman"/>
                <w:color w:val="auto"/>
                <w:sz w:val="24"/>
                <w:szCs w:val="24"/>
                <w:lang w:val="en-US" w:eastAsia="zh-CN"/>
              </w:rPr>
              <w:t>地下水，本项目采取以下污染防治措施：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①源头控制：</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物收集、贮存、转运过程中应加强管理，防止包装物破损，一旦发生破损应立即采取措施，更换或修补容器；严格按照国家相关要求，收集，贮存、转运危险废物，采取相应的污染控制，风险管制措施。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②根据</w:t>
            </w:r>
            <w:r>
              <w:rPr>
                <w:rFonts w:hint="eastAsia" w:cs="Times New Roman"/>
                <w:color w:val="auto"/>
                <w:sz w:val="24"/>
                <w:szCs w:val="24"/>
                <w:lang w:val="en-US" w:eastAsia="zh-CN"/>
              </w:rPr>
              <w:t>项目</w:t>
            </w:r>
            <w:r>
              <w:rPr>
                <w:rFonts w:hint="eastAsia" w:ascii="Times New Roman" w:hAnsi="Times New Roman" w:cs="Times New Roman"/>
                <w:color w:val="auto"/>
                <w:sz w:val="24"/>
                <w:szCs w:val="24"/>
                <w:lang w:val="en-US" w:eastAsia="zh-CN"/>
              </w:rPr>
              <w:t>的特点，按照防渗标准分区防渗，具体见</w:t>
            </w:r>
            <w:r>
              <w:rPr>
                <w:rFonts w:hint="eastAsia" w:cs="Times New Roman"/>
                <w:color w:val="auto"/>
                <w:sz w:val="24"/>
                <w:szCs w:val="24"/>
                <w:lang w:val="en-US" w:eastAsia="zh-CN"/>
              </w:rPr>
              <w:t>表4-10和图4-1</w:t>
            </w:r>
            <w:r>
              <w:rPr>
                <w:rFonts w:hint="eastAsia" w:ascii="Times New Roman" w:hAnsi="Times New Roman" w:cs="Times New Roman"/>
                <w:color w:val="auto"/>
                <w:sz w:val="24"/>
                <w:szCs w:val="24"/>
                <w:lang w:val="en-US" w:eastAsia="zh-CN"/>
              </w:rPr>
              <w:t>。</w:t>
            </w:r>
          </w:p>
          <w:p>
            <w:pPr>
              <w:adjustRightInd w:val="0"/>
              <w:snapToGrid w:val="0"/>
              <w:spacing w:line="360" w:lineRule="auto"/>
              <w:ind w:firstLine="482" w:firstLineChars="200"/>
              <w:jc w:val="center"/>
              <w:rPr>
                <w:b/>
                <w:bCs/>
                <w:color w:val="auto"/>
                <w:kern w:val="0"/>
                <w:sz w:val="24"/>
                <w:szCs w:val="24"/>
              </w:rPr>
            </w:pPr>
            <w:r>
              <w:rPr>
                <w:b/>
                <w:bCs/>
                <w:color w:val="auto"/>
                <w:sz w:val="24"/>
                <w:szCs w:val="24"/>
              </w:rPr>
              <w:t>表4-</w:t>
            </w:r>
            <w:r>
              <w:rPr>
                <w:rFonts w:hint="eastAsia"/>
                <w:b/>
                <w:bCs/>
                <w:color w:val="auto"/>
                <w:sz w:val="24"/>
                <w:szCs w:val="24"/>
                <w:lang w:val="en-US" w:eastAsia="zh-CN"/>
              </w:rPr>
              <w:t xml:space="preserve">10  </w:t>
            </w:r>
            <w:r>
              <w:rPr>
                <w:b/>
                <w:bCs/>
                <w:color w:val="auto"/>
                <w:sz w:val="24"/>
                <w:szCs w:val="24"/>
              </w:rPr>
              <w:t>项目污染区划分及</w:t>
            </w:r>
            <w:r>
              <w:rPr>
                <w:rFonts w:hint="eastAsia"/>
                <w:b/>
                <w:bCs/>
                <w:color w:val="auto"/>
                <w:sz w:val="24"/>
                <w:szCs w:val="24"/>
              </w:rPr>
              <w:t>防渗等级表</w:t>
            </w:r>
          </w:p>
          <w:tbl>
            <w:tblPr>
              <w:tblStyle w:val="31"/>
              <w:tblW w:w="4996"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2"/>
              <w:gridCol w:w="1178"/>
              <w:gridCol w:w="1334"/>
              <w:gridCol w:w="1182"/>
              <w:gridCol w:w="38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5" w:type="pct"/>
                  <w:tcBorders>
                    <w:tl2br w:val="nil"/>
                    <w:tr2bl w:val="nil"/>
                  </w:tcBorders>
                  <w:noWrap w:val="0"/>
                  <w:vAlign w:val="center"/>
                </w:tcPr>
                <w:p>
                  <w:pPr>
                    <w:adjustRightInd w:val="0"/>
                    <w:snapToGrid w:val="0"/>
                    <w:jc w:val="center"/>
                    <w:rPr>
                      <w:rFonts w:hint="eastAsia" w:cs="宋体"/>
                      <w:b/>
                      <w:bCs/>
                      <w:color w:val="auto"/>
                      <w:kern w:val="0"/>
                      <w:szCs w:val="21"/>
                    </w:rPr>
                  </w:pPr>
                  <w:r>
                    <w:rPr>
                      <w:rFonts w:hint="eastAsia" w:cs="宋体"/>
                      <w:b/>
                      <w:bCs/>
                      <w:color w:val="auto"/>
                      <w:kern w:val="0"/>
                      <w:szCs w:val="21"/>
                    </w:rPr>
                    <w:t>序号</w:t>
                  </w:r>
                </w:p>
              </w:tc>
              <w:tc>
                <w:tcPr>
                  <w:tcW w:w="1518" w:type="pct"/>
                  <w:gridSpan w:val="2"/>
                  <w:tcBorders>
                    <w:tl2br w:val="nil"/>
                    <w:tr2bl w:val="nil"/>
                  </w:tcBorders>
                  <w:noWrap w:val="0"/>
                  <w:vAlign w:val="center"/>
                </w:tcPr>
                <w:p>
                  <w:pPr>
                    <w:adjustRightInd w:val="0"/>
                    <w:snapToGrid w:val="0"/>
                    <w:jc w:val="center"/>
                    <w:rPr>
                      <w:rFonts w:hint="eastAsia" w:cs="宋体"/>
                      <w:b/>
                      <w:bCs/>
                      <w:color w:val="auto"/>
                      <w:kern w:val="0"/>
                      <w:szCs w:val="21"/>
                    </w:rPr>
                  </w:pPr>
                  <w:r>
                    <w:rPr>
                      <w:rFonts w:hint="eastAsia" w:cs="宋体"/>
                      <w:b/>
                      <w:bCs/>
                      <w:color w:val="auto"/>
                      <w:kern w:val="0"/>
                      <w:szCs w:val="21"/>
                    </w:rPr>
                    <w:t>防渗区域或部位</w:t>
                  </w:r>
                </w:p>
              </w:tc>
              <w:tc>
                <w:tcPr>
                  <w:tcW w:w="714" w:type="pct"/>
                  <w:tcBorders>
                    <w:tl2br w:val="nil"/>
                    <w:tr2bl w:val="nil"/>
                  </w:tcBorders>
                  <w:noWrap w:val="0"/>
                  <w:vAlign w:val="center"/>
                </w:tcPr>
                <w:p>
                  <w:pPr>
                    <w:adjustRightInd w:val="0"/>
                    <w:snapToGrid w:val="0"/>
                    <w:jc w:val="center"/>
                    <w:rPr>
                      <w:rFonts w:hint="eastAsia" w:cs="宋体"/>
                      <w:b/>
                      <w:bCs/>
                      <w:color w:val="auto"/>
                      <w:kern w:val="0"/>
                      <w:szCs w:val="21"/>
                    </w:rPr>
                  </w:pPr>
                  <w:r>
                    <w:rPr>
                      <w:rFonts w:hint="eastAsia" w:cs="宋体"/>
                      <w:b/>
                      <w:bCs/>
                      <w:color w:val="auto"/>
                      <w:kern w:val="0"/>
                      <w:szCs w:val="21"/>
                    </w:rPr>
                    <w:t>防渗等级</w:t>
                  </w:r>
                </w:p>
              </w:tc>
              <w:tc>
                <w:tcPr>
                  <w:tcW w:w="2312" w:type="pct"/>
                  <w:tcBorders>
                    <w:tl2br w:val="nil"/>
                    <w:tr2bl w:val="nil"/>
                  </w:tcBorders>
                  <w:noWrap w:val="0"/>
                  <w:vAlign w:val="center"/>
                </w:tcPr>
                <w:p>
                  <w:pPr>
                    <w:adjustRightInd w:val="0"/>
                    <w:snapToGrid w:val="0"/>
                    <w:jc w:val="center"/>
                    <w:rPr>
                      <w:rFonts w:hint="eastAsia" w:cs="宋体"/>
                      <w:b/>
                      <w:bCs/>
                      <w:color w:val="auto"/>
                      <w:kern w:val="0"/>
                      <w:szCs w:val="21"/>
                    </w:rPr>
                  </w:pPr>
                  <w:r>
                    <w:rPr>
                      <w:rFonts w:hint="eastAsia" w:cs="宋体"/>
                      <w:b/>
                      <w:bCs/>
                      <w:color w:val="auto"/>
                      <w:kern w:val="0"/>
                      <w:szCs w:val="21"/>
                    </w:rPr>
                    <w:t>防渗要求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5" w:type="pct"/>
                  <w:tcBorders>
                    <w:tl2br w:val="nil"/>
                    <w:tr2bl w:val="nil"/>
                  </w:tcBorders>
                  <w:noWrap w:val="0"/>
                  <w:vAlign w:val="center"/>
                </w:tcPr>
                <w:p>
                  <w:pPr>
                    <w:adjustRightInd w:val="0"/>
                    <w:snapToGrid w:val="0"/>
                    <w:jc w:val="center"/>
                    <w:rPr>
                      <w:rFonts w:hint="eastAsia" w:cs="宋体"/>
                      <w:color w:val="auto"/>
                      <w:kern w:val="0"/>
                      <w:szCs w:val="21"/>
                    </w:rPr>
                  </w:pPr>
                  <w:r>
                    <w:rPr>
                      <w:rFonts w:hint="eastAsia" w:cs="宋体"/>
                      <w:color w:val="auto"/>
                      <w:kern w:val="0"/>
                      <w:szCs w:val="21"/>
                    </w:rPr>
                    <w:t>1</w:t>
                  </w:r>
                </w:p>
              </w:tc>
              <w:tc>
                <w:tcPr>
                  <w:tcW w:w="712" w:type="pct"/>
                  <w:tcBorders>
                    <w:tl2br w:val="nil"/>
                    <w:tr2bl w:val="nil"/>
                  </w:tcBorders>
                  <w:noWrap w:val="0"/>
                  <w:vAlign w:val="center"/>
                </w:tcPr>
                <w:p>
                  <w:pPr>
                    <w:adjustRightInd w:val="0"/>
                    <w:snapToGrid w:val="0"/>
                    <w:jc w:val="center"/>
                    <w:rPr>
                      <w:rFonts w:hint="default" w:eastAsia="宋体" w:cs="宋体"/>
                      <w:color w:val="auto"/>
                      <w:kern w:val="0"/>
                      <w:szCs w:val="21"/>
                      <w:lang w:val="en-US" w:eastAsia="zh-CN"/>
                    </w:rPr>
                  </w:pPr>
                  <w:r>
                    <w:rPr>
                      <w:rFonts w:hint="eastAsia" w:cs="宋体"/>
                      <w:color w:val="auto"/>
                      <w:kern w:val="0"/>
                      <w:szCs w:val="21"/>
                      <w:lang w:val="en-US" w:eastAsia="zh-CN"/>
                    </w:rPr>
                    <w:t>危废暂存间</w:t>
                  </w:r>
                </w:p>
              </w:tc>
              <w:tc>
                <w:tcPr>
                  <w:tcW w:w="805" w:type="pct"/>
                  <w:tcBorders>
                    <w:tl2br w:val="nil"/>
                    <w:tr2bl w:val="nil"/>
                  </w:tcBorders>
                  <w:noWrap w:val="0"/>
                  <w:vAlign w:val="center"/>
                </w:tcPr>
                <w:p>
                  <w:pPr>
                    <w:adjustRightInd w:val="0"/>
                    <w:snapToGrid w:val="0"/>
                    <w:jc w:val="center"/>
                    <w:rPr>
                      <w:rFonts w:hint="eastAsia" w:cs="宋体"/>
                      <w:color w:val="auto"/>
                      <w:kern w:val="0"/>
                      <w:szCs w:val="21"/>
                    </w:rPr>
                  </w:pPr>
                  <w:r>
                    <w:rPr>
                      <w:rFonts w:hint="eastAsia" w:cs="宋体"/>
                      <w:color w:val="auto"/>
                      <w:kern w:val="0"/>
                      <w:szCs w:val="21"/>
                    </w:rPr>
                    <w:t>地面、</w:t>
                  </w:r>
                  <w:r>
                    <w:rPr>
                      <w:rFonts w:hint="eastAsia" w:cs="宋体"/>
                      <w:color w:val="auto"/>
                      <w:kern w:val="0"/>
                      <w:szCs w:val="21"/>
                      <w:lang w:eastAsia="zh-CN"/>
                    </w:rPr>
                    <w:t>墙裙、</w:t>
                  </w:r>
                  <w:r>
                    <w:rPr>
                      <w:rFonts w:hint="eastAsia" w:cs="宋体"/>
                      <w:color w:val="auto"/>
                      <w:kern w:val="0"/>
                      <w:szCs w:val="21"/>
                    </w:rPr>
                    <w:t>裙角、导流沟</w:t>
                  </w:r>
                </w:p>
              </w:tc>
              <w:tc>
                <w:tcPr>
                  <w:tcW w:w="714" w:type="pct"/>
                  <w:tcBorders>
                    <w:tl2br w:val="nil"/>
                    <w:tr2bl w:val="nil"/>
                  </w:tcBorders>
                  <w:noWrap w:val="0"/>
                  <w:vAlign w:val="center"/>
                </w:tcPr>
                <w:p>
                  <w:pPr>
                    <w:adjustRightInd w:val="0"/>
                    <w:snapToGrid w:val="0"/>
                    <w:jc w:val="center"/>
                    <w:rPr>
                      <w:rFonts w:hint="eastAsia" w:cs="宋体"/>
                      <w:color w:val="auto"/>
                      <w:kern w:val="0"/>
                      <w:szCs w:val="21"/>
                    </w:rPr>
                  </w:pPr>
                  <w:r>
                    <w:rPr>
                      <w:rFonts w:hint="eastAsia" w:cs="宋体"/>
                      <w:color w:val="auto"/>
                      <w:kern w:val="0"/>
                      <w:szCs w:val="21"/>
                    </w:rPr>
                    <w:t>重点防渗</w:t>
                  </w:r>
                </w:p>
              </w:tc>
              <w:tc>
                <w:tcPr>
                  <w:tcW w:w="2312" w:type="pct"/>
                  <w:tcBorders>
                    <w:tl2br w:val="nil"/>
                    <w:tr2bl w:val="nil"/>
                  </w:tcBorders>
                  <w:noWrap w:val="0"/>
                  <w:vAlign w:val="center"/>
                </w:tcPr>
                <w:p>
                  <w:pPr>
                    <w:adjustRightInd w:val="0"/>
                    <w:snapToGrid w:val="0"/>
                    <w:jc w:val="center"/>
                    <w:rPr>
                      <w:rFonts w:hint="eastAsia" w:cs="宋体"/>
                      <w:color w:val="auto"/>
                      <w:kern w:val="0"/>
                      <w:szCs w:val="21"/>
                    </w:rPr>
                  </w:pPr>
                  <w:r>
                    <w:rPr>
                      <w:rFonts w:hint="eastAsia" w:cs="宋体"/>
                      <w:color w:val="auto"/>
                      <w:kern w:val="0"/>
                      <w:szCs w:val="21"/>
                      <w:lang w:val="en-US" w:eastAsia="zh-CN"/>
                    </w:rPr>
                    <w:t>防渗按照《危险废物贮存污染控制标准》（GB18597-2023）规定，同时各存储区</w:t>
                  </w:r>
                  <w:r>
                    <w:rPr>
                      <w:rFonts w:hint="eastAsia" w:cs="宋体"/>
                      <w:color w:val="auto"/>
                      <w:kern w:val="0"/>
                      <w:szCs w:val="21"/>
                    </w:rPr>
                    <w:t>分别</w:t>
                  </w:r>
                  <w:r>
                    <w:rPr>
                      <w:rFonts w:hint="eastAsia" w:cs="宋体"/>
                      <w:color w:val="auto"/>
                      <w:kern w:val="0"/>
                      <w:szCs w:val="21"/>
                      <w:lang w:eastAsia="zh-CN"/>
                    </w:rPr>
                    <w:t>设置</w:t>
                  </w:r>
                  <w:r>
                    <w:rPr>
                      <w:rFonts w:hint="eastAsia" w:cs="宋体"/>
                      <w:color w:val="auto"/>
                      <w:kern w:val="0"/>
                      <w:szCs w:val="21"/>
                    </w:rPr>
                    <w:t>防渗托盘；</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lang w:val="en-US" w:eastAsia="zh-CN"/>
              </w:rPr>
            </w:pPr>
            <w:r>
              <w:drawing>
                <wp:inline distT="0" distB="0" distL="114300" distR="114300">
                  <wp:extent cx="5264150" cy="3002915"/>
                  <wp:effectExtent l="0" t="0" r="1270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8"/>
                          <a:stretch>
                            <a:fillRect/>
                          </a:stretch>
                        </pic:blipFill>
                        <pic:spPr>
                          <a:xfrm>
                            <a:off x="0" y="0"/>
                            <a:ext cx="5264150" cy="3002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Times New Roman" w:hAnsi="Times New Roman" w:eastAsia="宋体" w:cs="Times New Roman"/>
                <w:color w:val="auto"/>
                <w:sz w:val="24"/>
                <w:szCs w:val="24"/>
                <w:lang w:val="en-US" w:eastAsia="zh-CN"/>
              </w:rPr>
            </w:pPr>
            <w:r>
              <w:rPr>
                <w:rFonts w:hint="eastAsia"/>
                <w:b/>
                <w:bCs/>
                <w:color w:val="auto"/>
                <w:sz w:val="24"/>
                <w:szCs w:val="24"/>
                <w:lang w:eastAsia="zh-CN"/>
              </w:rPr>
              <w:t>图</w:t>
            </w:r>
            <w:r>
              <w:rPr>
                <w:b/>
                <w:bCs/>
                <w:color w:val="auto"/>
                <w:sz w:val="24"/>
                <w:szCs w:val="24"/>
              </w:rPr>
              <w:t>4-</w:t>
            </w:r>
            <w:r>
              <w:rPr>
                <w:rFonts w:hint="eastAsia"/>
                <w:b/>
                <w:bCs/>
                <w:color w:val="auto"/>
                <w:sz w:val="24"/>
                <w:szCs w:val="24"/>
                <w:lang w:val="en-US" w:eastAsia="zh-CN"/>
              </w:rPr>
              <w:t xml:space="preserve">1  </w:t>
            </w:r>
            <w:r>
              <w:rPr>
                <w:rFonts w:hint="eastAsia"/>
                <w:b/>
                <w:bCs/>
                <w:color w:val="auto"/>
                <w:sz w:val="24"/>
                <w:szCs w:val="24"/>
                <w:lang w:eastAsia="zh-CN"/>
              </w:rPr>
              <w:t>危废暂存间分区防渗图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color w:val="auto"/>
                <w:sz w:val="24"/>
                <w:szCs w:val="24"/>
                <w:lang w:val="en-US" w:eastAsia="zh-CN"/>
              </w:rPr>
              <w:t>采取以上措施后，切断了污染物进入土壤环境的途径，污染物不会渗入土壤和地下水，本项目不会对区域地下水、土壤环境产生明显影响。为降低对土壤、地下水的影响，环评要求：做防渗处理，重点对危险废物暂存</w:t>
            </w:r>
            <w:r>
              <w:rPr>
                <w:rFonts w:hint="eastAsia" w:cs="Times New Roman"/>
                <w:color w:val="auto"/>
                <w:sz w:val="24"/>
                <w:szCs w:val="24"/>
                <w:lang w:val="en-US" w:eastAsia="zh-CN"/>
              </w:rPr>
              <w:t>间</w:t>
            </w:r>
            <w:r>
              <w:rPr>
                <w:rFonts w:hint="eastAsia" w:ascii="Times New Roman" w:hAnsi="Times New Roman" w:cs="Times New Roman"/>
                <w:color w:val="auto"/>
                <w:sz w:val="24"/>
                <w:szCs w:val="24"/>
                <w:lang w:val="en-US" w:eastAsia="zh-CN"/>
              </w:rPr>
              <w:t>处进行全面防渗、防晒、防风及防雨处理，防止有毒有害物质下渗污染地下水。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color w:val="auto"/>
                <w:kern w:val="0"/>
                <w:sz w:val="24"/>
                <w:szCs w:val="24"/>
              </w:rPr>
            </w:pPr>
            <w:r>
              <w:rPr>
                <w:rFonts w:hint="eastAsia"/>
                <w:color w:val="auto"/>
                <w:kern w:val="0"/>
                <w:sz w:val="24"/>
                <w:szCs w:val="24"/>
                <w:lang w:val="en-US" w:eastAsia="zh-CN"/>
              </w:rPr>
              <w:t xml:space="preserve"> </w:t>
            </w:r>
            <w:r>
              <w:rPr>
                <w:color w:val="auto"/>
                <w:kern w:val="0"/>
                <w:sz w:val="24"/>
                <w:szCs w:val="24"/>
              </w:rPr>
              <w:t>综上</w:t>
            </w:r>
            <w:r>
              <w:rPr>
                <w:rFonts w:hint="eastAsia"/>
                <w:color w:val="auto"/>
                <w:kern w:val="0"/>
                <w:sz w:val="24"/>
                <w:szCs w:val="24"/>
                <w:lang w:eastAsia="zh-CN"/>
              </w:rPr>
              <w:t>所述</w:t>
            </w:r>
            <w:r>
              <w:rPr>
                <w:color w:val="auto"/>
                <w:kern w:val="0"/>
                <w:sz w:val="24"/>
                <w:szCs w:val="24"/>
              </w:rPr>
              <w:t>，本项目通过采取</w:t>
            </w:r>
            <w:r>
              <w:rPr>
                <w:rFonts w:hint="eastAsia"/>
                <w:color w:val="auto"/>
                <w:kern w:val="0"/>
                <w:sz w:val="24"/>
                <w:szCs w:val="24"/>
                <w:lang w:eastAsia="zh-CN"/>
              </w:rPr>
              <w:t>环评提出的</w:t>
            </w:r>
            <w:r>
              <w:rPr>
                <w:color w:val="auto"/>
                <w:kern w:val="0"/>
                <w:sz w:val="24"/>
                <w:szCs w:val="24"/>
              </w:rPr>
              <w:t>各种污染治理措施及预防措施后，项目建设对</w:t>
            </w:r>
            <w:r>
              <w:rPr>
                <w:rFonts w:hint="eastAsia"/>
                <w:color w:val="auto"/>
                <w:kern w:val="0"/>
                <w:sz w:val="24"/>
                <w:szCs w:val="24"/>
              </w:rPr>
              <w:t>地下水、</w:t>
            </w:r>
            <w:r>
              <w:rPr>
                <w:color w:val="auto"/>
                <w:kern w:val="0"/>
                <w:sz w:val="24"/>
                <w:szCs w:val="24"/>
              </w:rPr>
              <w:t>土壤环境影响较小。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eastAsia="宋体"/>
                <w:color w:val="auto"/>
                <w:kern w:val="0"/>
                <w:sz w:val="24"/>
                <w:szCs w:val="24"/>
                <w:lang w:val="en-US" w:eastAsia="zh-CN"/>
              </w:rPr>
            </w:pPr>
            <w:r>
              <w:rPr>
                <w:rFonts w:hint="eastAsia"/>
                <w:color w:val="auto"/>
                <w:kern w:val="0"/>
                <w:sz w:val="24"/>
                <w:szCs w:val="24"/>
                <w:lang w:val="en-US" w:eastAsia="zh-CN"/>
              </w:rPr>
              <w:t>（3）跟踪监测计划</w:t>
            </w:r>
          </w:p>
          <w:p>
            <w:pPr>
              <w:spacing w:line="360" w:lineRule="auto"/>
              <w:ind w:firstLine="480" w:firstLineChars="200"/>
              <w:rPr>
                <w:color w:val="auto"/>
                <w:sz w:val="24"/>
              </w:rPr>
            </w:pPr>
            <w:r>
              <w:rPr>
                <w:rFonts w:hint="eastAsia"/>
                <w:color w:val="auto"/>
                <w:sz w:val="24"/>
              </w:rPr>
              <w:t>①</w:t>
            </w:r>
            <w:r>
              <w:rPr>
                <w:rFonts w:hint="eastAsia"/>
                <w:color w:val="auto"/>
                <w:sz w:val="24"/>
                <w:lang w:eastAsia="zh-CN"/>
              </w:rPr>
              <w:t>地下水：</w:t>
            </w:r>
            <w:r>
              <w:rPr>
                <w:color w:val="auto"/>
                <w:sz w:val="24"/>
              </w:rPr>
              <w:t>依据《排污单位自行监测技术指南</w:t>
            </w:r>
            <w:r>
              <w:rPr>
                <w:rFonts w:hint="eastAsia"/>
                <w:color w:val="auto"/>
                <w:sz w:val="24"/>
              </w:rPr>
              <w:t xml:space="preserve"> 总则</w:t>
            </w:r>
            <w:r>
              <w:rPr>
                <w:color w:val="auto"/>
                <w:sz w:val="24"/>
              </w:rPr>
              <w:t>》（HJ</w:t>
            </w:r>
            <w:r>
              <w:rPr>
                <w:rFonts w:hint="eastAsia"/>
                <w:color w:val="auto"/>
                <w:sz w:val="24"/>
              </w:rPr>
              <w:t>819-2017</w:t>
            </w:r>
            <w:r>
              <w:rPr>
                <w:color w:val="auto"/>
                <w:sz w:val="24"/>
              </w:rPr>
              <w:t>）、《工业企业土壤和地下水自行监测技术指南（试行）》</w:t>
            </w:r>
            <w:r>
              <w:rPr>
                <w:rFonts w:hint="eastAsia"/>
                <w:color w:val="auto"/>
                <w:sz w:val="24"/>
              </w:rPr>
              <w:t>(HJ 1209-2021)</w:t>
            </w:r>
            <w:r>
              <w:rPr>
                <w:color w:val="auto"/>
                <w:sz w:val="24"/>
              </w:rPr>
              <w:t>及《环境影响评价技术导则</w:t>
            </w:r>
            <w:r>
              <w:rPr>
                <w:rFonts w:hint="eastAsia"/>
                <w:color w:val="auto"/>
                <w:sz w:val="24"/>
              </w:rPr>
              <w:t xml:space="preserve"> 地下水环境</w:t>
            </w:r>
            <w:r>
              <w:rPr>
                <w:color w:val="auto"/>
                <w:sz w:val="24"/>
              </w:rPr>
              <w:t>》（HJ</w:t>
            </w:r>
            <w:r>
              <w:rPr>
                <w:rFonts w:hint="eastAsia"/>
                <w:color w:val="auto"/>
                <w:sz w:val="24"/>
              </w:rPr>
              <w:t>610-2016</w:t>
            </w:r>
            <w:r>
              <w:rPr>
                <w:color w:val="auto"/>
                <w:sz w:val="24"/>
              </w:rPr>
              <w:t>）相关要求，结合项目所在区域的水文地质条件，在厂区</w:t>
            </w:r>
            <w:r>
              <w:rPr>
                <w:rFonts w:hint="eastAsia"/>
                <w:color w:val="auto"/>
                <w:sz w:val="24"/>
                <w:lang w:eastAsia="zh-CN"/>
              </w:rPr>
              <w:t>内容</w:t>
            </w:r>
            <w:r>
              <w:rPr>
                <w:color w:val="auto"/>
                <w:sz w:val="24"/>
              </w:rPr>
              <w:t>布设1个地下水水质监测点，地下水监测计划见</w:t>
            </w:r>
            <w:r>
              <w:rPr>
                <w:rFonts w:hint="eastAsia"/>
                <w:color w:val="auto"/>
                <w:sz w:val="24"/>
              </w:rPr>
              <w:t>下表</w:t>
            </w:r>
            <w:r>
              <w:rPr>
                <w:rFonts w:hint="eastAsia"/>
                <w:color w:val="auto"/>
                <w:sz w:val="24"/>
                <w:lang w:val="en-US" w:eastAsia="zh-CN"/>
              </w:rPr>
              <w:t>4-11</w:t>
            </w:r>
            <w:r>
              <w:rPr>
                <w:color w:val="auto"/>
                <w:sz w:val="24"/>
              </w:rPr>
              <w:t>。</w:t>
            </w:r>
          </w:p>
          <w:p>
            <w:pPr>
              <w:spacing w:line="360" w:lineRule="auto"/>
              <w:ind w:firstLine="482" w:firstLineChars="200"/>
              <w:jc w:val="center"/>
              <w:rPr>
                <w:b/>
                <w:bCs/>
                <w:color w:val="auto"/>
                <w:sz w:val="24"/>
              </w:rPr>
            </w:pPr>
          </w:p>
          <w:p>
            <w:pPr>
              <w:spacing w:line="360" w:lineRule="auto"/>
              <w:ind w:firstLine="482" w:firstLineChars="200"/>
              <w:jc w:val="center"/>
              <w:rPr>
                <w:b/>
                <w:bCs/>
                <w:color w:val="auto"/>
                <w:sz w:val="24"/>
              </w:rPr>
            </w:pPr>
          </w:p>
          <w:p>
            <w:pPr>
              <w:spacing w:line="360" w:lineRule="auto"/>
              <w:ind w:firstLine="482" w:firstLineChars="200"/>
              <w:jc w:val="center"/>
              <w:rPr>
                <w:b/>
                <w:bCs/>
                <w:color w:val="auto"/>
                <w:sz w:val="24"/>
              </w:rPr>
            </w:pPr>
          </w:p>
          <w:p>
            <w:pPr>
              <w:spacing w:line="360" w:lineRule="auto"/>
              <w:ind w:firstLine="482" w:firstLineChars="200"/>
              <w:jc w:val="center"/>
              <w:rPr>
                <w:b/>
                <w:bCs/>
                <w:color w:val="auto"/>
                <w:sz w:val="24"/>
              </w:rPr>
            </w:pPr>
          </w:p>
          <w:p>
            <w:pPr>
              <w:spacing w:line="360" w:lineRule="auto"/>
              <w:ind w:firstLine="482" w:firstLineChars="200"/>
              <w:jc w:val="center"/>
              <w:rPr>
                <w:b/>
                <w:bCs/>
                <w:color w:val="auto"/>
                <w:sz w:val="24"/>
              </w:rPr>
            </w:pPr>
          </w:p>
          <w:p>
            <w:pPr>
              <w:spacing w:line="360" w:lineRule="auto"/>
              <w:ind w:firstLine="482" w:firstLineChars="200"/>
              <w:jc w:val="center"/>
              <w:rPr>
                <w:b/>
                <w:bCs/>
                <w:color w:val="auto"/>
                <w:sz w:val="24"/>
              </w:rPr>
            </w:pPr>
            <w:r>
              <w:rPr>
                <w:b/>
                <w:bCs/>
                <w:color w:val="auto"/>
                <w:sz w:val="24"/>
              </w:rPr>
              <w:t>表</w:t>
            </w:r>
            <w:r>
              <w:rPr>
                <w:rFonts w:hint="eastAsia"/>
                <w:b/>
                <w:bCs/>
                <w:color w:val="auto"/>
                <w:sz w:val="24"/>
                <w:lang w:val="en-US" w:eastAsia="zh-CN"/>
              </w:rPr>
              <w:t>4-11</w:t>
            </w:r>
            <w:r>
              <w:rPr>
                <w:b/>
                <w:bCs/>
                <w:color w:val="auto"/>
                <w:sz w:val="24"/>
              </w:rPr>
              <w:t xml:space="preserve">   地下水环境影响跟踪监测井布设情况一览表</w:t>
            </w:r>
          </w:p>
          <w:tbl>
            <w:tblPr>
              <w:tblStyle w:val="31"/>
              <w:tblW w:w="8175" w:type="dxa"/>
              <w:jc w:val="center"/>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499"/>
              <w:gridCol w:w="3399"/>
              <w:gridCol w:w="1278"/>
            </w:tblGrid>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1" w:type="pct"/>
                  <w:tcBorders>
                    <w:tl2br w:val="nil"/>
                    <w:tr2bl w:val="nil"/>
                  </w:tcBorders>
                  <w:vAlign w:val="center"/>
                </w:tcPr>
                <w:p>
                  <w:pPr>
                    <w:autoSpaceDE w:val="0"/>
                    <w:autoSpaceDN w:val="0"/>
                    <w:jc w:val="center"/>
                    <w:rPr>
                      <w:b/>
                      <w:bCs/>
                      <w:color w:val="auto"/>
                      <w:szCs w:val="21"/>
                    </w:rPr>
                  </w:pPr>
                  <w:r>
                    <w:rPr>
                      <w:b/>
                      <w:bCs/>
                      <w:color w:val="auto"/>
                      <w:szCs w:val="21"/>
                    </w:rPr>
                    <w:t>序号</w:t>
                  </w:r>
                </w:p>
              </w:tc>
              <w:tc>
                <w:tcPr>
                  <w:tcW w:w="1528" w:type="pct"/>
                  <w:tcBorders>
                    <w:tl2br w:val="nil"/>
                    <w:tr2bl w:val="nil"/>
                  </w:tcBorders>
                  <w:vAlign w:val="center"/>
                </w:tcPr>
                <w:p>
                  <w:pPr>
                    <w:autoSpaceDE w:val="0"/>
                    <w:autoSpaceDN w:val="0"/>
                    <w:jc w:val="center"/>
                    <w:rPr>
                      <w:b/>
                      <w:bCs/>
                      <w:color w:val="auto"/>
                      <w:szCs w:val="21"/>
                    </w:rPr>
                  </w:pPr>
                  <w:r>
                    <w:rPr>
                      <w:b/>
                      <w:bCs/>
                      <w:color w:val="auto"/>
                      <w:szCs w:val="21"/>
                    </w:rPr>
                    <w:t>监测</w:t>
                  </w:r>
                  <w:r>
                    <w:rPr>
                      <w:rFonts w:hint="eastAsia"/>
                      <w:b/>
                      <w:bCs/>
                      <w:color w:val="auto"/>
                      <w:szCs w:val="21"/>
                    </w:rPr>
                    <w:t>井</w:t>
                  </w:r>
                  <w:r>
                    <w:rPr>
                      <w:b/>
                      <w:bCs/>
                      <w:color w:val="auto"/>
                      <w:szCs w:val="21"/>
                    </w:rPr>
                    <w:t>位置</w:t>
                  </w:r>
                </w:p>
              </w:tc>
              <w:tc>
                <w:tcPr>
                  <w:tcW w:w="2078" w:type="pct"/>
                  <w:tcBorders>
                    <w:tl2br w:val="nil"/>
                    <w:tr2bl w:val="nil"/>
                  </w:tcBorders>
                  <w:vAlign w:val="center"/>
                </w:tcPr>
                <w:p>
                  <w:pPr>
                    <w:autoSpaceDE w:val="0"/>
                    <w:autoSpaceDN w:val="0"/>
                    <w:jc w:val="center"/>
                    <w:rPr>
                      <w:b/>
                      <w:bCs/>
                      <w:color w:val="auto"/>
                      <w:szCs w:val="21"/>
                    </w:rPr>
                  </w:pPr>
                  <w:r>
                    <w:rPr>
                      <w:b/>
                      <w:bCs/>
                      <w:color w:val="auto"/>
                      <w:szCs w:val="21"/>
                    </w:rPr>
                    <w:t>监测项目</w:t>
                  </w:r>
                </w:p>
              </w:tc>
              <w:tc>
                <w:tcPr>
                  <w:tcW w:w="781" w:type="pct"/>
                  <w:tcBorders>
                    <w:tl2br w:val="nil"/>
                    <w:tr2bl w:val="nil"/>
                  </w:tcBorders>
                  <w:vAlign w:val="center"/>
                </w:tcPr>
                <w:p>
                  <w:pPr>
                    <w:autoSpaceDE w:val="0"/>
                    <w:autoSpaceDN w:val="0"/>
                    <w:jc w:val="center"/>
                    <w:rPr>
                      <w:b/>
                      <w:bCs/>
                      <w:color w:val="auto"/>
                      <w:szCs w:val="21"/>
                    </w:rPr>
                  </w:pPr>
                  <w:r>
                    <w:rPr>
                      <w:b/>
                      <w:bCs/>
                      <w:color w:val="auto"/>
                      <w:szCs w:val="21"/>
                    </w:rPr>
                    <w:t>监测频率</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1" w:type="pct"/>
                  <w:tcBorders>
                    <w:tl2br w:val="nil"/>
                    <w:tr2bl w:val="nil"/>
                  </w:tcBorders>
                  <w:vAlign w:val="center"/>
                </w:tcPr>
                <w:p>
                  <w:pPr>
                    <w:autoSpaceDE w:val="0"/>
                    <w:autoSpaceDN w:val="0"/>
                    <w:jc w:val="center"/>
                    <w:rPr>
                      <w:color w:val="auto"/>
                      <w:szCs w:val="21"/>
                    </w:rPr>
                  </w:pPr>
                  <w:r>
                    <w:rPr>
                      <w:color w:val="auto"/>
                      <w:szCs w:val="21"/>
                    </w:rPr>
                    <w:t>1</w:t>
                  </w:r>
                </w:p>
              </w:tc>
              <w:tc>
                <w:tcPr>
                  <w:tcW w:w="1528" w:type="pct"/>
                  <w:tcBorders>
                    <w:tl2br w:val="nil"/>
                    <w:tr2bl w:val="nil"/>
                  </w:tcBorders>
                  <w:vAlign w:val="center"/>
                </w:tcPr>
                <w:p>
                  <w:pPr>
                    <w:autoSpaceDE w:val="0"/>
                    <w:autoSpaceDN w:val="0"/>
                    <w:jc w:val="center"/>
                    <w:rPr>
                      <w:rFonts w:hint="default" w:eastAsia="宋体"/>
                      <w:color w:val="auto"/>
                      <w:szCs w:val="21"/>
                      <w:lang w:val="en-US" w:eastAsia="zh-CN"/>
                    </w:rPr>
                  </w:pPr>
                  <w:r>
                    <w:rPr>
                      <w:rFonts w:hint="default" w:eastAsia="宋体"/>
                      <w:color w:val="auto"/>
                      <w:szCs w:val="21"/>
                      <w:lang w:val="en-US" w:eastAsia="zh-CN"/>
                    </w:rPr>
                    <w:t>海泰新型电子材料有限责任公司地下水井</w:t>
                  </w:r>
                </w:p>
              </w:tc>
              <w:tc>
                <w:tcPr>
                  <w:tcW w:w="207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40" w:firstLineChars="200"/>
                    <w:textAlignment w:val="auto"/>
                    <w:rPr>
                      <w:color w:val="auto"/>
                      <w:sz w:val="21"/>
                      <w:szCs w:val="21"/>
                    </w:rPr>
                  </w:pPr>
                  <w:r>
                    <w:rPr>
                      <w:rFonts w:hint="default" w:ascii="Times New Roman" w:hAnsi="Times New Roman" w:cs="Times New Roman"/>
                      <w:color w:val="auto"/>
                      <w:spacing w:val="5"/>
                      <w:sz w:val="21"/>
                      <w:szCs w:val="21"/>
                    </w:rPr>
                    <w:t>pH、总硬度、溶解性总固体、硫酸盐、氯化物、铁、锰、铜、锌、铝、挥发性酚类（以苯酚计）、阴离子表面活性剂、耗氧量（以O</w:t>
                  </w:r>
                  <w:r>
                    <w:rPr>
                      <w:rFonts w:hint="default" w:ascii="Times New Roman" w:hAnsi="Times New Roman" w:cs="Times New Roman"/>
                      <w:color w:val="auto"/>
                      <w:spacing w:val="5"/>
                      <w:sz w:val="21"/>
                      <w:szCs w:val="21"/>
                      <w:vertAlign w:val="subscript"/>
                    </w:rPr>
                    <w:t>2</w:t>
                  </w:r>
                  <w:r>
                    <w:rPr>
                      <w:rFonts w:hint="default" w:ascii="Times New Roman" w:hAnsi="Times New Roman" w:cs="Times New Roman"/>
                      <w:color w:val="auto"/>
                      <w:spacing w:val="5"/>
                      <w:sz w:val="21"/>
                      <w:szCs w:val="21"/>
                    </w:rPr>
                    <w:t>计）、氨氮（以N计）、硫化物、钠、总大肠菌群、菌落总数、亚硝酸盐（以N计）、硝酸盐（以N计）、氰化物、氟化物、碘化物、汞、砷、硒、镉、铬（六价）、铅、</w:t>
                  </w:r>
                  <w:r>
                    <w:rPr>
                      <w:rFonts w:hint="eastAsia" w:ascii="Times New Roman" w:hAnsi="Times New Roman" w:cs="Times New Roman"/>
                      <w:color w:val="auto"/>
                      <w:spacing w:val="5"/>
                      <w:sz w:val="21"/>
                      <w:szCs w:val="21"/>
                      <w:lang w:eastAsia="zh-CN"/>
                    </w:rPr>
                    <w:t>三氯甲烷、四氯化碳、苯、甲苯、</w:t>
                  </w:r>
                  <w:r>
                    <w:rPr>
                      <w:rFonts w:hint="default" w:ascii="Times New Roman" w:hAnsi="Times New Roman" w:cs="Times New Roman"/>
                      <w:color w:val="auto"/>
                      <w:spacing w:val="5"/>
                      <w:sz w:val="21"/>
                      <w:szCs w:val="21"/>
                    </w:rPr>
                    <w:t>石油类。</w:t>
                  </w:r>
                </w:p>
              </w:tc>
              <w:tc>
                <w:tcPr>
                  <w:tcW w:w="781" w:type="pct"/>
                  <w:tcBorders>
                    <w:tl2br w:val="nil"/>
                    <w:tr2bl w:val="nil"/>
                  </w:tcBorders>
                  <w:vAlign w:val="center"/>
                </w:tcPr>
                <w:p>
                  <w:pPr>
                    <w:autoSpaceDE w:val="0"/>
                    <w:autoSpaceDN w:val="0"/>
                    <w:jc w:val="center"/>
                    <w:rPr>
                      <w:color w:val="auto"/>
                      <w:sz w:val="21"/>
                      <w:szCs w:val="21"/>
                    </w:rPr>
                  </w:pPr>
                  <w:r>
                    <w:rPr>
                      <w:rFonts w:hint="eastAsia"/>
                      <w:color w:val="auto"/>
                      <w:sz w:val="21"/>
                      <w:szCs w:val="21"/>
                    </w:rPr>
                    <w:t>1</w:t>
                  </w:r>
                  <w:r>
                    <w:rPr>
                      <w:color w:val="auto"/>
                      <w:sz w:val="21"/>
                      <w:szCs w:val="21"/>
                    </w:rPr>
                    <w:t>次/</w:t>
                  </w:r>
                  <w:r>
                    <w:rPr>
                      <w:rFonts w:hint="eastAsia"/>
                      <w:color w:val="auto"/>
                      <w:sz w:val="21"/>
                      <w:szCs w:val="21"/>
                    </w:rPr>
                    <w:t>年</w:t>
                  </w:r>
                </w:p>
              </w:tc>
            </w:tr>
          </w:tbl>
          <w:p>
            <w:pPr>
              <w:spacing w:line="360" w:lineRule="auto"/>
              <w:ind w:firstLine="480" w:firstLineChars="200"/>
              <w:rPr>
                <w:color w:val="auto"/>
                <w:sz w:val="24"/>
              </w:rPr>
            </w:pPr>
            <w:r>
              <w:rPr>
                <w:rFonts w:hint="eastAsia"/>
                <w:color w:val="auto"/>
                <w:sz w:val="24"/>
              </w:rPr>
              <w:t>②</w:t>
            </w:r>
            <w:r>
              <w:rPr>
                <w:rFonts w:hint="eastAsia"/>
                <w:color w:val="auto"/>
                <w:sz w:val="24"/>
                <w:lang w:eastAsia="zh-CN"/>
              </w:rPr>
              <w:t>土壤：</w:t>
            </w:r>
            <w:r>
              <w:rPr>
                <w:color w:val="auto"/>
                <w:sz w:val="24"/>
              </w:rPr>
              <w:t>依据《排污单位自行监测技术指南</w:t>
            </w:r>
            <w:r>
              <w:rPr>
                <w:rFonts w:hint="eastAsia"/>
                <w:color w:val="auto"/>
                <w:sz w:val="24"/>
              </w:rPr>
              <w:t xml:space="preserve"> 总则</w:t>
            </w:r>
            <w:r>
              <w:rPr>
                <w:color w:val="auto"/>
                <w:sz w:val="24"/>
              </w:rPr>
              <w:t>》（HJ</w:t>
            </w:r>
            <w:r>
              <w:rPr>
                <w:rFonts w:hint="eastAsia"/>
                <w:color w:val="auto"/>
                <w:sz w:val="24"/>
              </w:rPr>
              <w:t>819-2017</w:t>
            </w:r>
            <w:r>
              <w:rPr>
                <w:color w:val="auto"/>
                <w:sz w:val="24"/>
              </w:rPr>
              <w:t>）、《工业企业土壤和地下水自行监测技术指南（试行）》</w:t>
            </w:r>
            <w:r>
              <w:rPr>
                <w:rFonts w:hint="eastAsia"/>
                <w:color w:val="auto"/>
                <w:sz w:val="24"/>
              </w:rPr>
              <w:t>(HJ 1209-2021)</w:t>
            </w:r>
            <w:r>
              <w:rPr>
                <w:color w:val="auto"/>
                <w:sz w:val="24"/>
              </w:rPr>
              <w:t>及《</w:t>
            </w:r>
            <w:r>
              <w:rPr>
                <w:color w:val="auto"/>
                <w:sz w:val="24"/>
                <w:lang w:val="en-US" w:eastAsia="zh-CN"/>
              </w:rPr>
              <w:t xml:space="preserve">环境影响评价技术导则 </w:t>
            </w:r>
            <w:r>
              <w:rPr>
                <w:rFonts w:hint="eastAsia"/>
                <w:color w:val="auto"/>
                <w:sz w:val="24"/>
                <w:lang w:val="en-US" w:eastAsia="zh-CN"/>
              </w:rPr>
              <w:t>土壤环境（试行）</w:t>
            </w:r>
            <w:r>
              <w:rPr>
                <w:color w:val="auto"/>
                <w:sz w:val="24"/>
              </w:rPr>
              <w:t>》（HJ</w:t>
            </w:r>
            <w:r>
              <w:rPr>
                <w:rFonts w:hint="eastAsia"/>
                <w:color w:val="auto"/>
                <w:sz w:val="24"/>
                <w:lang w:val="en-US" w:eastAsia="zh-CN"/>
              </w:rPr>
              <w:t>964</w:t>
            </w:r>
            <w:r>
              <w:rPr>
                <w:rFonts w:hint="eastAsia"/>
                <w:color w:val="auto"/>
                <w:sz w:val="24"/>
              </w:rPr>
              <w:t>-201</w:t>
            </w:r>
            <w:r>
              <w:rPr>
                <w:rFonts w:hint="eastAsia"/>
                <w:color w:val="auto"/>
                <w:sz w:val="24"/>
                <w:lang w:val="en-US" w:eastAsia="zh-CN"/>
              </w:rPr>
              <w:t>8</w:t>
            </w:r>
            <w:r>
              <w:rPr>
                <w:color w:val="auto"/>
                <w:sz w:val="24"/>
              </w:rPr>
              <w:t>）相关要求，结合项目所在区域的水文地质条件，在</w:t>
            </w:r>
            <w:r>
              <w:rPr>
                <w:rFonts w:hint="eastAsia"/>
                <w:color w:val="auto"/>
                <w:sz w:val="24"/>
                <w:lang w:eastAsia="zh-CN"/>
              </w:rPr>
              <w:t>厂区内（危废暂存间旁边）</w:t>
            </w:r>
            <w:r>
              <w:rPr>
                <w:color w:val="auto"/>
                <w:sz w:val="24"/>
              </w:rPr>
              <w:t>布设1个</w:t>
            </w:r>
            <w:r>
              <w:rPr>
                <w:rFonts w:hint="eastAsia"/>
                <w:color w:val="auto"/>
                <w:sz w:val="24"/>
                <w:lang w:eastAsia="zh-CN"/>
              </w:rPr>
              <w:t>土壤</w:t>
            </w:r>
            <w:r>
              <w:rPr>
                <w:color w:val="auto"/>
                <w:sz w:val="24"/>
              </w:rPr>
              <w:t>监测点</w:t>
            </w:r>
            <w:r>
              <w:rPr>
                <w:rFonts w:hint="eastAsia"/>
                <w:color w:val="auto"/>
                <w:sz w:val="24"/>
                <w:lang w:eastAsia="zh-CN"/>
              </w:rPr>
              <w:t>（柱状样）</w:t>
            </w:r>
            <w:r>
              <w:rPr>
                <w:color w:val="auto"/>
                <w:sz w:val="24"/>
              </w:rPr>
              <w:t>，地下水监测计划见</w:t>
            </w:r>
            <w:r>
              <w:rPr>
                <w:rFonts w:hint="eastAsia"/>
                <w:color w:val="auto"/>
                <w:sz w:val="24"/>
              </w:rPr>
              <w:t>下表</w:t>
            </w:r>
            <w:r>
              <w:rPr>
                <w:rFonts w:hint="eastAsia"/>
                <w:color w:val="auto"/>
                <w:sz w:val="24"/>
                <w:lang w:val="en-US" w:eastAsia="zh-CN"/>
              </w:rPr>
              <w:t>4-12</w:t>
            </w:r>
            <w:r>
              <w:rPr>
                <w:color w:val="auto"/>
                <w:sz w:val="24"/>
              </w:rPr>
              <w:t>。</w:t>
            </w:r>
          </w:p>
          <w:p>
            <w:pPr>
              <w:spacing w:line="360" w:lineRule="auto"/>
              <w:ind w:firstLine="482" w:firstLineChars="200"/>
              <w:jc w:val="center"/>
              <w:rPr>
                <w:b/>
                <w:bCs/>
                <w:color w:val="auto"/>
                <w:sz w:val="24"/>
              </w:rPr>
            </w:pPr>
            <w:r>
              <w:rPr>
                <w:b/>
                <w:bCs/>
                <w:color w:val="auto"/>
                <w:sz w:val="24"/>
              </w:rPr>
              <w:t>表</w:t>
            </w:r>
            <w:r>
              <w:rPr>
                <w:rFonts w:hint="eastAsia"/>
                <w:b/>
                <w:bCs/>
                <w:color w:val="auto"/>
                <w:sz w:val="24"/>
                <w:lang w:val="en-US" w:eastAsia="zh-CN"/>
              </w:rPr>
              <w:t>4-12</w:t>
            </w:r>
            <w:r>
              <w:rPr>
                <w:b/>
                <w:bCs/>
                <w:color w:val="auto"/>
                <w:sz w:val="24"/>
              </w:rPr>
              <w:t xml:space="preserve">   </w:t>
            </w:r>
            <w:r>
              <w:rPr>
                <w:rFonts w:hint="eastAsia"/>
                <w:b/>
                <w:bCs/>
                <w:color w:val="auto"/>
                <w:sz w:val="24"/>
                <w:lang w:eastAsia="zh-CN"/>
              </w:rPr>
              <w:t>土壤</w:t>
            </w:r>
            <w:r>
              <w:rPr>
                <w:b/>
                <w:bCs/>
                <w:color w:val="auto"/>
                <w:sz w:val="24"/>
              </w:rPr>
              <w:t>环境影响跟踪监测</w:t>
            </w:r>
            <w:r>
              <w:rPr>
                <w:rFonts w:hint="eastAsia"/>
                <w:b/>
                <w:bCs/>
                <w:color w:val="auto"/>
                <w:sz w:val="24"/>
                <w:lang w:eastAsia="zh-CN"/>
              </w:rPr>
              <w:t>点</w:t>
            </w:r>
            <w:r>
              <w:rPr>
                <w:b/>
                <w:bCs/>
                <w:color w:val="auto"/>
                <w:sz w:val="24"/>
              </w:rPr>
              <w:t>布设情况一览表</w:t>
            </w:r>
          </w:p>
          <w:tbl>
            <w:tblPr>
              <w:tblStyle w:val="31"/>
              <w:tblW w:w="8175" w:type="dxa"/>
              <w:jc w:val="center"/>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742"/>
              <w:gridCol w:w="4156"/>
              <w:gridCol w:w="1278"/>
            </w:tblGrid>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1" w:type="pct"/>
                  <w:tcBorders>
                    <w:tl2br w:val="nil"/>
                    <w:tr2bl w:val="nil"/>
                  </w:tcBorders>
                  <w:vAlign w:val="center"/>
                </w:tcPr>
                <w:p>
                  <w:pPr>
                    <w:autoSpaceDE w:val="0"/>
                    <w:autoSpaceDN w:val="0"/>
                    <w:jc w:val="center"/>
                    <w:rPr>
                      <w:b/>
                      <w:bCs/>
                      <w:color w:val="auto"/>
                      <w:szCs w:val="21"/>
                    </w:rPr>
                  </w:pPr>
                  <w:r>
                    <w:rPr>
                      <w:b/>
                      <w:bCs/>
                      <w:color w:val="auto"/>
                      <w:szCs w:val="21"/>
                    </w:rPr>
                    <w:t>序号</w:t>
                  </w:r>
                </w:p>
              </w:tc>
              <w:tc>
                <w:tcPr>
                  <w:tcW w:w="1065" w:type="pct"/>
                  <w:tcBorders>
                    <w:tl2br w:val="nil"/>
                    <w:tr2bl w:val="nil"/>
                  </w:tcBorders>
                  <w:vAlign w:val="center"/>
                </w:tcPr>
                <w:p>
                  <w:pPr>
                    <w:autoSpaceDE w:val="0"/>
                    <w:autoSpaceDN w:val="0"/>
                    <w:jc w:val="center"/>
                    <w:rPr>
                      <w:b/>
                      <w:bCs/>
                      <w:color w:val="auto"/>
                      <w:szCs w:val="21"/>
                    </w:rPr>
                  </w:pPr>
                  <w:r>
                    <w:rPr>
                      <w:b/>
                      <w:bCs/>
                      <w:color w:val="auto"/>
                      <w:szCs w:val="21"/>
                    </w:rPr>
                    <w:t>监测</w:t>
                  </w:r>
                  <w:r>
                    <w:rPr>
                      <w:rFonts w:hint="eastAsia"/>
                      <w:b/>
                      <w:bCs/>
                      <w:color w:val="auto"/>
                      <w:szCs w:val="21"/>
                    </w:rPr>
                    <w:t>井</w:t>
                  </w:r>
                  <w:r>
                    <w:rPr>
                      <w:b/>
                      <w:bCs/>
                      <w:color w:val="auto"/>
                      <w:szCs w:val="21"/>
                    </w:rPr>
                    <w:t>位置</w:t>
                  </w:r>
                </w:p>
              </w:tc>
              <w:tc>
                <w:tcPr>
                  <w:tcW w:w="2541" w:type="pct"/>
                  <w:tcBorders>
                    <w:tl2br w:val="nil"/>
                    <w:tr2bl w:val="nil"/>
                  </w:tcBorders>
                  <w:vAlign w:val="center"/>
                </w:tcPr>
                <w:p>
                  <w:pPr>
                    <w:autoSpaceDE w:val="0"/>
                    <w:autoSpaceDN w:val="0"/>
                    <w:jc w:val="center"/>
                    <w:rPr>
                      <w:b/>
                      <w:bCs/>
                      <w:color w:val="auto"/>
                      <w:szCs w:val="21"/>
                    </w:rPr>
                  </w:pPr>
                  <w:r>
                    <w:rPr>
                      <w:b/>
                      <w:bCs/>
                      <w:color w:val="auto"/>
                      <w:szCs w:val="21"/>
                    </w:rPr>
                    <w:t>监测项目</w:t>
                  </w:r>
                </w:p>
              </w:tc>
              <w:tc>
                <w:tcPr>
                  <w:tcW w:w="781" w:type="pct"/>
                  <w:tcBorders>
                    <w:tl2br w:val="nil"/>
                    <w:tr2bl w:val="nil"/>
                  </w:tcBorders>
                  <w:vAlign w:val="center"/>
                </w:tcPr>
                <w:p>
                  <w:pPr>
                    <w:autoSpaceDE w:val="0"/>
                    <w:autoSpaceDN w:val="0"/>
                    <w:jc w:val="center"/>
                    <w:rPr>
                      <w:b/>
                      <w:bCs/>
                      <w:color w:val="auto"/>
                      <w:szCs w:val="21"/>
                    </w:rPr>
                  </w:pPr>
                  <w:r>
                    <w:rPr>
                      <w:b/>
                      <w:bCs/>
                      <w:color w:val="auto"/>
                      <w:szCs w:val="21"/>
                    </w:rPr>
                    <w:t>监测频率</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1" w:type="pct"/>
                  <w:tcBorders>
                    <w:tl2br w:val="nil"/>
                    <w:tr2bl w:val="nil"/>
                  </w:tcBorders>
                  <w:vAlign w:val="center"/>
                </w:tcPr>
                <w:p>
                  <w:pPr>
                    <w:autoSpaceDE w:val="0"/>
                    <w:autoSpaceDN w:val="0"/>
                    <w:jc w:val="center"/>
                    <w:rPr>
                      <w:color w:val="auto"/>
                      <w:szCs w:val="21"/>
                    </w:rPr>
                  </w:pPr>
                  <w:r>
                    <w:rPr>
                      <w:color w:val="auto"/>
                      <w:szCs w:val="21"/>
                    </w:rPr>
                    <w:t>1</w:t>
                  </w:r>
                </w:p>
              </w:tc>
              <w:tc>
                <w:tcPr>
                  <w:tcW w:w="1065" w:type="pct"/>
                  <w:tcBorders>
                    <w:tl2br w:val="nil"/>
                    <w:tr2bl w:val="nil"/>
                  </w:tcBorders>
                  <w:vAlign w:val="center"/>
                </w:tcPr>
                <w:p>
                  <w:pPr>
                    <w:autoSpaceDE w:val="0"/>
                    <w:autoSpaceDN w:val="0"/>
                    <w:jc w:val="center"/>
                    <w:rPr>
                      <w:rFonts w:hint="default" w:eastAsia="宋体"/>
                      <w:color w:val="auto"/>
                      <w:szCs w:val="21"/>
                      <w:lang w:val="en-US" w:eastAsia="zh-CN"/>
                    </w:rPr>
                  </w:pPr>
                  <w:r>
                    <w:rPr>
                      <w:rFonts w:hint="default" w:eastAsia="宋体"/>
                      <w:color w:val="auto"/>
                      <w:szCs w:val="21"/>
                      <w:lang w:val="en-US" w:eastAsia="zh-CN"/>
                    </w:rPr>
                    <w:t>厂区内（危废暂存间旁边）</w:t>
                  </w:r>
                </w:p>
              </w:tc>
              <w:tc>
                <w:tcPr>
                  <w:tcW w:w="25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项基本因子：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 荧蒽、苯并[k]荧蒽、䓛、二苯并[a,h]蒽、茚并[1,2,3-cd]、萘。</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color w:val="auto"/>
                      <w:sz w:val="21"/>
                      <w:szCs w:val="21"/>
                    </w:rPr>
                  </w:pPr>
                  <w:r>
                    <w:rPr>
                      <w:rFonts w:hint="default" w:ascii="Times New Roman" w:hAnsi="Times New Roman" w:eastAsia="宋体" w:cs="Times New Roman"/>
                      <w:color w:val="auto"/>
                      <w:sz w:val="21"/>
                      <w:szCs w:val="21"/>
                    </w:rPr>
                    <w:t>特征因子：石油烃。其他因子：pH。</w:t>
                  </w:r>
                </w:p>
              </w:tc>
              <w:tc>
                <w:tcPr>
                  <w:tcW w:w="781" w:type="pct"/>
                  <w:tcBorders>
                    <w:tl2br w:val="nil"/>
                    <w:tr2bl w:val="nil"/>
                  </w:tcBorders>
                  <w:vAlign w:val="center"/>
                </w:tcPr>
                <w:p>
                  <w:pPr>
                    <w:autoSpaceDE w:val="0"/>
                    <w:autoSpaceDN w:val="0"/>
                    <w:jc w:val="center"/>
                    <w:rPr>
                      <w:color w:val="auto"/>
                      <w:sz w:val="21"/>
                      <w:szCs w:val="21"/>
                    </w:rPr>
                  </w:pPr>
                  <w:r>
                    <w:rPr>
                      <w:rFonts w:hint="eastAsia"/>
                      <w:color w:val="auto"/>
                      <w:sz w:val="21"/>
                      <w:szCs w:val="21"/>
                    </w:rPr>
                    <w:t>1</w:t>
                  </w:r>
                  <w:r>
                    <w:rPr>
                      <w:color w:val="auto"/>
                      <w:sz w:val="21"/>
                      <w:szCs w:val="21"/>
                    </w:rPr>
                    <w:t>次/</w:t>
                  </w:r>
                  <w:r>
                    <w:rPr>
                      <w:rFonts w:hint="eastAsia"/>
                      <w:color w:val="auto"/>
                      <w:sz w:val="21"/>
                      <w:szCs w:val="21"/>
                      <w:lang w:val="en-US" w:eastAsia="zh-CN"/>
                    </w:rPr>
                    <w:t>3</w:t>
                  </w:r>
                  <w:r>
                    <w:rPr>
                      <w:rFonts w:hint="eastAsia"/>
                      <w:color w:val="auto"/>
                      <w:sz w:val="21"/>
                      <w:szCs w:val="21"/>
                    </w:rPr>
                    <w:t>年</w:t>
                  </w:r>
                </w:p>
              </w:tc>
            </w:tr>
          </w:tbl>
          <w:p>
            <w:pPr>
              <w:keepNext w:val="0"/>
              <w:keepLines w:val="0"/>
              <w:pageBreakBefore w:val="0"/>
              <w:kinsoku/>
              <w:wordWrap/>
              <w:overflowPunct/>
              <w:topLinePunct w:val="0"/>
              <w:autoSpaceDE/>
              <w:autoSpaceDN/>
              <w:bidi w:val="0"/>
              <w:adjustRightInd w:val="0"/>
              <w:snapToGrid w:val="0"/>
              <w:spacing w:before="120" w:beforeLines="50"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5、环境风险</w:t>
            </w:r>
          </w:p>
          <w:p>
            <w:pPr>
              <w:keepNext w:val="0"/>
              <w:keepLines w:val="0"/>
              <w:pageBreakBefore w:val="0"/>
              <w:widowControl/>
              <w:kinsoku/>
              <w:wordWrap/>
              <w:overflowPunct/>
              <w:topLinePunct w:val="0"/>
              <w:autoSpaceDE/>
              <w:autoSpaceDN/>
              <w:bidi w:val="0"/>
              <w:spacing w:line="360" w:lineRule="auto"/>
              <w:ind w:firstLine="482" w:firstLineChars="200"/>
              <w:jc w:val="left"/>
              <w:textAlignment w:val="auto"/>
              <w:rPr>
                <w:b/>
                <w:bCs/>
                <w:color w:val="auto"/>
                <w:kern w:val="0"/>
                <w:sz w:val="24"/>
                <w:szCs w:val="24"/>
              </w:rPr>
            </w:pPr>
            <w:r>
              <w:rPr>
                <w:rFonts w:hint="eastAsia"/>
                <w:b/>
                <w:bCs/>
                <w:color w:val="auto"/>
                <w:kern w:val="0"/>
                <w:sz w:val="24"/>
                <w:szCs w:val="24"/>
              </w:rPr>
              <w:t>（1）环境风险源辨识</w:t>
            </w:r>
          </w:p>
          <w:p>
            <w:pPr>
              <w:autoSpaceDE w:val="0"/>
              <w:autoSpaceDN w:val="0"/>
              <w:spacing w:line="360" w:lineRule="auto"/>
              <w:ind w:firstLine="480" w:firstLineChars="200"/>
              <w:jc w:val="left"/>
              <w:rPr>
                <w:rFonts w:hint="eastAsia"/>
                <w:color w:val="auto"/>
                <w:kern w:val="0"/>
                <w:sz w:val="24"/>
                <w:szCs w:val="24"/>
              </w:rPr>
            </w:pPr>
            <w:r>
              <w:rPr>
                <w:rFonts w:hint="eastAsia"/>
                <w:color w:val="auto"/>
                <w:kern w:val="0"/>
                <w:sz w:val="24"/>
                <w:szCs w:val="24"/>
              </w:rPr>
              <w:t>根据《建设项目环境风险评价技术导则》（HJ169-2018）中，</w:t>
            </w:r>
            <w:r>
              <w:rPr>
                <w:rFonts w:hint="eastAsia"/>
                <w:color w:val="auto"/>
                <w:kern w:val="0"/>
                <w:sz w:val="24"/>
                <w:szCs w:val="24"/>
                <w:lang w:val="en-US" w:eastAsia="zh-CN"/>
              </w:rPr>
              <w:t>计算所涉及的每种危险物质在厂界内的最大存在总量与其在附录 B 中对应临界量的比值 Q。在不同厂区的同一种物质，按其在厂界内的最大存在总量计算。对于长输管线项目，按照两个截断阀室之间管段危险物质最大存在总量计算。</w:t>
            </w:r>
            <w:r>
              <w:rPr>
                <w:rFonts w:hint="eastAsia"/>
                <w:color w:val="auto"/>
                <w:kern w:val="0"/>
                <w:sz w:val="24"/>
                <w:szCs w:val="24"/>
              </w:rPr>
              <w:t>物质风险识别包括原辅材料、燃料、中间产品、副产品、污染物、火灾和爆炸伴生/次生物等。</w:t>
            </w:r>
          </w:p>
          <w:p>
            <w:pPr>
              <w:autoSpaceDE w:val="0"/>
              <w:autoSpaceDN w:val="0"/>
              <w:spacing w:line="360" w:lineRule="auto"/>
              <w:ind w:firstLine="480" w:firstLineChars="200"/>
              <w:jc w:val="left"/>
              <w:rPr>
                <w:rFonts w:hint="eastAsia"/>
                <w:color w:val="auto"/>
                <w:kern w:val="0"/>
                <w:sz w:val="24"/>
                <w:szCs w:val="24"/>
              </w:rPr>
            </w:pPr>
            <w:r>
              <w:rPr>
                <w:rFonts w:hint="eastAsia"/>
                <w:color w:val="auto"/>
                <w:kern w:val="0"/>
                <w:sz w:val="24"/>
                <w:szCs w:val="24"/>
              </w:rPr>
              <w:t>本项目所涉及的风险物质</w:t>
            </w:r>
            <w:r>
              <w:rPr>
                <w:rFonts w:hint="eastAsia"/>
                <w:color w:val="auto"/>
                <w:kern w:val="0"/>
                <w:sz w:val="24"/>
                <w:szCs w:val="24"/>
                <w:lang w:val="en-US" w:eastAsia="zh-CN"/>
              </w:rPr>
              <w:t>主要为含</w:t>
            </w:r>
            <w:r>
              <w:rPr>
                <w:rFonts w:hint="eastAsia"/>
                <w:color w:val="auto"/>
                <w:kern w:val="0"/>
                <w:sz w:val="24"/>
                <w:szCs w:val="24"/>
                <w:highlight w:val="none"/>
                <w:lang w:val="en-US" w:eastAsia="zh-CN"/>
              </w:rPr>
              <w:t>废矿物油、废有机酸、检测废液（</w:t>
            </w:r>
            <w:r>
              <w:rPr>
                <w:rFonts w:hint="eastAsia"/>
                <w:color w:val="auto"/>
                <w:sz w:val="24"/>
                <w:szCs w:val="24"/>
                <w:lang w:val="en-US" w:eastAsia="zh-CN"/>
              </w:rPr>
              <w:t>COD</w:t>
            </w:r>
            <w:r>
              <w:rPr>
                <w:rFonts w:hint="eastAsia"/>
                <w:color w:val="auto"/>
                <w:sz w:val="24"/>
                <w:szCs w:val="24"/>
                <w:vertAlign w:val="subscript"/>
                <w:lang w:val="en-US" w:eastAsia="zh-CN"/>
              </w:rPr>
              <w:t>Cr</w:t>
            </w:r>
            <w:r>
              <w:rPr>
                <w:rFonts w:hint="eastAsia"/>
                <w:color w:val="auto"/>
                <w:sz w:val="24"/>
                <w:szCs w:val="24"/>
                <w:lang w:val="en-US" w:eastAsia="zh-CN"/>
              </w:rPr>
              <w:t>、NH</w:t>
            </w:r>
            <w:r>
              <w:rPr>
                <w:rFonts w:hint="eastAsia"/>
                <w:color w:val="auto"/>
                <w:sz w:val="24"/>
                <w:szCs w:val="24"/>
                <w:vertAlign w:val="subscript"/>
                <w:lang w:val="en-US" w:eastAsia="zh-CN"/>
              </w:rPr>
              <w:t>3</w:t>
            </w:r>
            <w:r>
              <w:rPr>
                <w:rFonts w:hint="eastAsia"/>
                <w:color w:val="auto"/>
                <w:sz w:val="24"/>
                <w:szCs w:val="24"/>
                <w:lang w:val="en-US" w:eastAsia="zh-CN"/>
              </w:rPr>
              <w:t>-N</w:t>
            </w:r>
            <w:r>
              <w:rPr>
                <w:rFonts w:hint="eastAsia"/>
                <w:color w:val="auto"/>
                <w:kern w:val="0"/>
                <w:sz w:val="24"/>
                <w:szCs w:val="24"/>
                <w:highlight w:val="none"/>
                <w:lang w:val="en-US" w:eastAsia="zh-CN"/>
              </w:rPr>
              <w:t>）和废有机溶剂、母液</w:t>
            </w:r>
            <w:r>
              <w:rPr>
                <w:rFonts w:hint="eastAsia"/>
                <w:color w:val="auto"/>
                <w:kern w:val="0"/>
                <w:sz w:val="24"/>
                <w:szCs w:val="24"/>
                <w:highlight w:val="none"/>
                <w:lang w:eastAsia="zh-CN"/>
              </w:rPr>
              <w:t>。</w:t>
            </w:r>
            <w:r>
              <w:rPr>
                <w:rFonts w:hint="eastAsia"/>
                <w:color w:val="auto"/>
                <w:kern w:val="0"/>
                <w:sz w:val="24"/>
                <w:szCs w:val="24"/>
              </w:rPr>
              <w:t>根据《建设项目环境风险评价技术导则》（HJ169-2018）</w:t>
            </w:r>
            <w:r>
              <w:rPr>
                <w:rFonts w:hint="eastAsia"/>
                <w:color w:val="auto"/>
                <w:kern w:val="0"/>
                <w:sz w:val="24"/>
                <w:szCs w:val="24"/>
                <w:lang w:eastAsia="zh-CN"/>
              </w:rPr>
              <w:t>，同时</w:t>
            </w:r>
            <w:r>
              <w:rPr>
                <w:rFonts w:hint="eastAsia"/>
                <w:color w:val="auto"/>
                <w:kern w:val="0"/>
                <w:sz w:val="24"/>
                <w:szCs w:val="24"/>
                <w:highlight w:val="none"/>
                <w:lang w:val="en-US" w:eastAsia="zh-CN"/>
              </w:rPr>
              <w:t>参考《企业突发环境事件风险分级方法（HJ941-2018）》确定风险物质临界量，取值依据见表4-13。</w:t>
            </w:r>
            <w:r>
              <w:rPr>
                <w:rFonts w:hint="eastAsia"/>
                <w:color w:val="auto"/>
                <w:kern w:val="0"/>
                <w:sz w:val="24"/>
                <w:szCs w:val="24"/>
                <w:lang w:eastAsia="zh-CN"/>
              </w:rPr>
              <w:t>并结合按照</w:t>
            </w:r>
            <w:r>
              <w:rPr>
                <w:rFonts w:hint="eastAsia"/>
                <w:color w:val="auto"/>
                <w:kern w:val="0"/>
                <w:sz w:val="24"/>
                <w:szCs w:val="24"/>
                <w:lang w:val="en-US" w:eastAsia="zh-CN"/>
              </w:rPr>
              <w:t>2022年</w:t>
            </w:r>
            <w:r>
              <w:rPr>
                <w:rFonts w:hint="eastAsia"/>
                <w:color w:val="auto"/>
                <w:kern w:val="0"/>
                <w:sz w:val="24"/>
                <w:szCs w:val="24"/>
                <w:lang w:eastAsia="zh-CN"/>
              </w:rPr>
              <w:t>危险废物管理台账的废物转运周期及周期内的暂存量，</w:t>
            </w:r>
            <w:r>
              <w:rPr>
                <w:rFonts w:hint="eastAsia"/>
                <w:color w:val="auto"/>
                <w:kern w:val="0"/>
                <w:sz w:val="24"/>
                <w:szCs w:val="24"/>
              </w:rPr>
              <w:t>危险物质</w:t>
            </w:r>
            <w:r>
              <w:rPr>
                <w:rFonts w:hint="eastAsia"/>
                <w:color w:val="auto"/>
                <w:kern w:val="0"/>
                <w:sz w:val="24"/>
                <w:szCs w:val="24"/>
                <w:lang w:eastAsia="zh-CN"/>
              </w:rPr>
              <w:t>在每个周期内最大暂存</w:t>
            </w:r>
            <w:r>
              <w:rPr>
                <w:rFonts w:hint="eastAsia"/>
                <w:color w:val="auto"/>
                <w:kern w:val="0"/>
                <w:sz w:val="24"/>
                <w:szCs w:val="24"/>
              </w:rPr>
              <w:t>量与临界量的比值见表</w:t>
            </w:r>
            <w:r>
              <w:rPr>
                <w:rFonts w:hint="eastAsia"/>
                <w:color w:val="auto"/>
                <w:kern w:val="0"/>
                <w:sz w:val="24"/>
                <w:szCs w:val="24"/>
                <w:lang w:val="en-US" w:eastAsia="zh-CN"/>
              </w:rPr>
              <w:t>4-14</w:t>
            </w:r>
            <w:r>
              <w:rPr>
                <w:rFonts w:hint="eastAsia"/>
                <w:color w:val="auto"/>
                <w:kern w:val="0"/>
                <w:sz w:val="24"/>
                <w:szCs w:val="24"/>
              </w:rPr>
              <w:t>。</w:t>
            </w:r>
          </w:p>
          <w:p>
            <w:pPr>
              <w:adjustRightInd w:val="0"/>
              <w:snapToGrid w:val="0"/>
              <w:spacing w:line="360" w:lineRule="auto"/>
              <w:ind w:firstLine="422"/>
              <w:jc w:val="center"/>
              <w:rPr>
                <w:rFonts w:hint="eastAsia" w:cs="Times New Roman"/>
                <w:b/>
                <w:bCs/>
                <w:color w:val="auto"/>
                <w:sz w:val="24"/>
                <w:szCs w:val="24"/>
                <w:lang w:val="en-US" w:eastAsia="zh-CN"/>
              </w:rPr>
            </w:pPr>
            <w:r>
              <w:rPr>
                <w:rFonts w:hint="eastAsia" w:cs="Times New Roman"/>
                <w:b/>
                <w:bCs/>
                <w:color w:val="auto"/>
                <w:sz w:val="24"/>
                <w:szCs w:val="24"/>
                <w:lang w:val="en-US" w:eastAsia="zh-CN"/>
              </w:rPr>
              <w:t>表4-13  风险物质临界值取值依据一览表</w:t>
            </w:r>
          </w:p>
          <w:tbl>
            <w:tblPr>
              <w:tblStyle w:val="86"/>
              <w:tblW w:w="4993"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8"/>
              <w:gridCol w:w="1915"/>
              <w:gridCol w:w="2264"/>
              <w:gridCol w:w="2185"/>
              <w:gridCol w:w="1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373" w:type="pct"/>
                  <w:tcBorders>
                    <w:tl2br w:val="nil"/>
                    <w:tr2bl w:val="nil"/>
                  </w:tcBorders>
                  <w:vAlign w:val="center"/>
                </w:tcPr>
                <w:p>
                  <w:pPr>
                    <w:adjustRightInd w:val="0"/>
                    <w:snapToGrid w:val="0"/>
                    <w:jc w:val="center"/>
                    <w:rPr>
                      <w:rFonts w:hint="eastAsia"/>
                      <w:b/>
                      <w:bCs/>
                      <w:color w:val="auto"/>
                      <w:szCs w:val="21"/>
                    </w:rPr>
                  </w:pPr>
                  <w:r>
                    <w:rPr>
                      <w:rFonts w:hint="eastAsia"/>
                      <w:b/>
                      <w:bCs/>
                      <w:color w:val="auto"/>
                      <w:szCs w:val="21"/>
                    </w:rPr>
                    <w:t>序号</w:t>
                  </w:r>
                </w:p>
              </w:tc>
              <w:tc>
                <w:tcPr>
                  <w:tcW w:w="1156" w:type="pct"/>
                  <w:tcBorders>
                    <w:tl2br w:val="nil"/>
                    <w:tr2bl w:val="nil"/>
                  </w:tcBorders>
                  <w:vAlign w:val="center"/>
                </w:tcPr>
                <w:p>
                  <w:pPr>
                    <w:adjustRightInd w:val="0"/>
                    <w:snapToGrid w:val="0"/>
                    <w:jc w:val="center"/>
                    <w:rPr>
                      <w:rFonts w:hint="eastAsia"/>
                      <w:b/>
                      <w:bCs/>
                      <w:color w:val="auto"/>
                      <w:szCs w:val="21"/>
                    </w:rPr>
                  </w:pPr>
                  <w:r>
                    <w:rPr>
                      <w:rFonts w:hint="eastAsia"/>
                      <w:b/>
                      <w:bCs/>
                      <w:color w:val="auto"/>
                      <w:szCs w:val="21"/>
                    </w:rPr>
                    <w:t>危险物质名称</w:t>
                  </w:r>
                </w:p>
              </w:tc>
              <w:tc>
                <w:tcPr>
                  <w:tcW w:w="1367" w:type="pct"/>
                  <w:tcBorders>
                    <w:tl2br w:val="nil"/>
                    <w:tr2bl w:val="nil"/>
                  </w:tcBorders>
                  <w:vAlign w:val="center"/>
                </w:tcPr>
                <w:p>
                  <w:pPr>
                    <w:adjustRightInd w:val="0"/>
                    <w:snapToGrid w:val="0"/>
                    <w:jc w:val="center"/>
                    <w:rPr>
                      <w:rFonts w:hint="eastAsia"/>
                      <w:b/>
                      <w:bCs/>
                      <w:color w:val="auto"/>
                      <w:szCs w:val="21"/>
                      <w:lang w:eastAsia="zh-CN"/>
                    </w:rPr>
                  </w:pPr>
                  <w:r>
                    <w:rPr>
                      <w:rFonts w:hint="eastAsia"/>
                      <w:b/>
                      <w:bCs/>
                      <w:color w:val="auto"/>
                      <w:szCs w:val="21"/>
                    </w:rPr>
                    <w:t>判别依据</w:t>
                  </w:r>
                </w:p>
              </w:tc>
              <w:tc>
                <w:tcPr>
                  <w:tcW w:w="1319" w:type="pct"/>
                  <w:tcBorders>
                    <w:tl2br w:val="nil"/>
                    <w:tr2bl w:val="nil"/>
                  </w:tcBorders>
                  <w:vAlign w:val="center"/>
                </w:tcPr>
                <w:p>
                  <w:pPr>
                    <w:adjustRightInd w:val="0"/>
                    <w:snapToGrid w:val="0"/>
                    <w:jc w:val="center"/>
                    <w:rPr>
                      <w:rFonts w:hint="eastAsia"/>
                      <w:b/>
                      <w:bCs/>
                      <w:color w:val="auto"/>
                      <w:szCs w:val="21"/>
                    </w:rPr>
                  </w:pPr>
                  <w:r>
                    <w:rPr>
                      <w:rFonts w:hint="eastAsia"/>
                      <w:b/>
                      <w:bCs/>
                      <w:color w:val="auto"/>
                      <w:szCs w:val="21"/>
                    </w:rPr>
                    <w:t>类别</w:t>
                  </w:r>
                </w:p>
              </w:tc>
              <w:tc>
                <w:tcPr>
                  <w:tcW w:w="782" w:type="pct"/>
                  <w:tcBorders>
                    <w:tl2br w:val="nil"/>
                    <w:tr2bl w:val="nil"/>
                  </w:tcBorders>
                  <w:vAlign w:val="center"/>
                </w:tcPr>
                <w:p>
                  <w:pPr>
                    <w:adjustRightInd w:val="0"/>
                    <w:snapToGrid w:val="0"/>
                    <w:jc w:val="center"/>
                    <w:rPr>
                      <w:rFonts w:hint="eastAsia"/>
                      <w:b/>
                      <w:bCs/>
                      <w:color w:val="auto"/>
                      <w:szCs w:val="21"/>
                    </w:rPr>
                  </w:pPr>
                  <w:r>
                    <w:rPr>
                      <w:rFonts w:hint="eastAsia"/>
                      <w:b/>
                      <w:bCs/>
                      <w:color w:val="auto"/>
                      <w:szCs w:val="21"/>
                    </w:rPr>
                    <w:t>临界量 Qn/t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3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1</w:t>
                  </w:r>
                </w:p>
              </w:tc>
              <w:tc>
                <w:tcPr>
                  <w:tcW w:w="1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含矿物油废物</w:t>
                  </w:r>
                </w:p>
              </w:tc>
              <w:tc>
                <w:tcPr>
                  <w:tcW w:w="13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《建设项目环境风险评 价技术导则》</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(HJ169-2018)中附录B</w:t>
                  </w:r>
                </w:p>
              </w:tc>
              <w:tc>
                <w:tcPr>
                  <w:tcW w:w="13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附录B表B. 1中的油类物质 的临界量</w:t>
                  </w:r>
                </w:p>
              </w:tc>
              <w:tc>
                <w:tcPr>
                  <w:tcW w:w="7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2500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73"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2</w:t>
                  </w:r>
                </w:p>
              </w:tc>
              <w:tc>
                <w:tcPr>
                  <w:tcW w:w="1156"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废有机溶剂、母液</w:t>
                  </w:r>
                </w:p>
              </w:tc>
              <w:tc>
                <w:tcPr>
                  <w:tcW w:w="136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《建设项目环境风险评 价技术导则》</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(HJ169-2018)中附录B</w:t>
                  </w:r>
                </w:p>
              </w:tc>
              <w:tc>
                <w:tcPr>
                  <w:tcW w:w="13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表 B.2 中健康危险急性毒性 物质（类别2，类别 3）临界量</w:t>
                  </w:r>
                </w:p>
              </w:tc>
              <w:tc>
                <w:tcPr>
                  <w:tcW w:w="78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lang w:val="en-US" w:eastAsia="zh-CN"/>
                    </w:rPr>
                  </w:pPr>
                  <w:r>
                    <w:rPr>
                      <w:rFonts w:hint="eastAsia" w:ascii="Times New Roman" w:hAnsi="Times New Roman" w:cs="Times New Roman"/>
                      <w:color w:val="auto"/>
                      <w:spacing w:val="-6"/>
                      <w:sz w:val="20"/>
                      <w:szCs w:val="20"/>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37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w:t>
                  </w:r>
                </w:p>
              </w:tc>
              <w:tc>
                <w:tcPr>
                  <w:tcW w:w="1156"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检测废液：CODCr（浓度≥10000mg/L 的有机废液）</w:t>
                  </w:r>
                </w:p>
              </w:tc>
              <w:tc>
                <w:tcPr>
                  <w:tcW w:w="23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《建设项目环境风险评 价技术导则》</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(HJ169-2018)中附录B</w:t>
                  </w:r>
                </w:p>
              </w:tc>
              <w:tc>
                <w:tcPr>
                  <w:tcW w:w="22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附录B表B. 1中的油类物质 的临界量</w:t>
                  </w:r>
                </w:p>
              </w:tc>
              <w:tc>
                <w:tcPr>
                  <w:tcW w:w="78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lang w:val="en-US" w:eastAsia="zh-CN"/>
                    </w:rPr>
                  </w:pPr>
                  <w:r>
                    <w:rPr>
                      <w:rFonts w:hint="eastAsia" w:ascii="Times New Roman" w:hAnsi="Times New Roman" w:cs="Times New Roman"/>
                      <w:color w:val="auto"/>
                      <w:spacing w:val="-6"/>
                      <w:sz w:val="20"/>
                      <w:szCs w:val="20"/>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37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w:t>
                  </w:r>
                </w:p>
              </w:tc>
              <w:tc>
                <w:tcPr>
                  <w:tcW w:w="1156"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检测废液：NH3-N（浓度≥2000mg/L的废液）</w:t>
                  </w:r>
                </w:p>
              </w:tc>
              <w:tc>
                <w:tcPr>
                  <w:tcW w:w="23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《建设项目环境风险评 价技术导则》</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(HJ169-2018)中附录B</w:t>
                  </w:r>
                </w:p>
              </w:tc>
              <w:tc>
                <w:tcPr>
                  <w:tcW w:w="22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附录B表B. 1中的油类物质 的临界量</w:t>
                  </w:r>
                </w:p>
              </w:tc>
              <w:tc>
                <w:tcPr>
                  <w:tcW w:w="7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lang w:val="en-US" w:eastAsia="zh-CN"/>
                    </w:rPr>
                  </w:pPr>
                  <w:r>
                    <w:rPr>
                      <w:rFonts w:hint="eastAsia" w:cs="Times New Roman"/>
                      <w:color w:val="auto"/>
                      <w:spacing w:val="-6"/>
                      <w:sz w:val="20"/>
                      <w:szCs w:val="2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37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w:t>
                  </w:r>
                </w:p>
              </w:tc>
              <w:tc>
                <w:tcPr>
                  <w:tcW w:w="1156"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废有机酸</w:t>
                  </w:r>
                </w:p>
              </w:tc>
              <w:tc>
                <w:tcPr>
                  <w:tcW w:w="230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《建设项目环境风险评 价技术导则》</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(HJ169-2018)中附录B</w:t>
                  </w:r>
                </w:p>
              </w:tc>
              <w:tc>
                <w:tcPr>
                  <w:tcW w:w="22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表 B.2 中健康危险急性毒性 物质（类别2，类别 3）临界量</w:t>
                  </w:r>
                </w:p>
              </w:tc>
              <w:tc>
                <w:tcPr>
                  <w:tcW w:w="7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lang w:val="en-US" w:eastAsia="zh-CN"/>
                    </w:rPr>
                  </w:pPr>
                  <w:r>
                    <w:rPr>
                      <w:rFonts w:hint="eastAsia" w:ascii="Times New Roman" w:hAnsi="Times New Roman" w:eastAsia="宋体" w:cs="Times New Roman"/>
                      <w:color w:val="auto"/>
                      <w:spacing w:val="-6"/>
                      <w:sz w:val="20"/>
                      <w:szCs w:val="20"/>
                      <w:lang w:val="en-US" w:eastAsia="zh-CN"/>
                    </w:rPr>
                    <w:t>50</w:t>
                  </w:r>
                </w:p>
              </w:tc>
            </w:tr>
          </w:tbl>
          <w:p>
            <w:pPr>
              <w:adjustRightInd w:val="0"/>
              <w:snapToGrid w:val="0"/>
              <w:spacing w:line="360" w:lineRule="auto"/>
              <w:ind w:firstLine="422"/>
              <w:jc w:val="cente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表4-</w:t>
            </w:r>
            <w:r>
              <w:rPr>
                <w:rFonts w:hint="eastAsia" w:cs="Times New Roman"/>
                <w:b/>
                <w:bCs/>
                <w:color w:val="auto"/>
                <w:sz w:val="24"/>
                <w:szCs w:val="24"/>
                <w:lang w:val="en-US" w:eastAsia="zh-CN"/>
              </w:rPr>
              <w:t>14</w:t>
            </w:r>
            <w:r>
              <w:rPr>
                <w:rFonts w:hint="eastAsia"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危废暂存间暂存量</w:t>
            </w:r>
            <w:r>
              <w:rPr>
                <w:rFonts w:hint="eastAsia" w:ascii="Times New Roman" w:hAnsi="Times New Roman" w:eastAsia="宋体" w:cs="Times New Roman"/>
                <w:b/>
                <w:bCs/>
                <w:color w:val="auto"/>
                <w:sz w:val="24"/>
                <w:szCs w:val="24"/>
                <w:lang w:val="en-US" w:eastAsia="zh-CN"/>
              </w:rPr>
              <w:t>Q值确定表</w:t>
            </w:r>
          </w:p>
          <w:tbl>
            <w:tblPr>
              <w:tblStyle w:val="31"/>
              <w:tblW w:w="496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4756"/>
              <w:gridCol w:w="1499"/>
              <w:gridCol w:w="1149"/>
              <w:gridCol w:w="8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b/>
                      <w:bCs/>
                      <w:color w:val="auto"/>
                      <w:szCs w:val="21"/>
                    </w:rPr>
                  </w:pPr>
                  <w:r>
                    <w:rPr>
                      <w:rFonts w:hint="eastAsia"/>
                      <w:b/>
                      <w:bCs/>
                      <w:color w:val="auto"/>
                      <w:szCs w:val="21"/>
                    </w:rPr>
                    <w:t>物质</w:t>
                  </w:r>
                </w:p>
              </w:tc>
              <w:tc>
                <w:tcPr>
                  <w:tcW w:w="911" w:type="pct"/>
                  <w:tcBorders>
                    <w:tl2br w:val="nil"/>
                    <w:tr2bl w:val="nil"/>
                  </w:tcBorders>
                  <w:shd w:val="clear" w:color="auto" w:fill="FFFFFF" w:themeFill="background1"/>
                  <w:noWrap w:val="0"/>
                  <w:vAlign w:val="center"/>
                </w:tcPr>
                <w:p>
                  <w:pPr>
                    <w:adjustRightInd w:val="0"/>
                    <w:snapToGrid w:val="0"/>
                    <w:jc w:val="center"/>
                    <w:rPr>
                      <w:b/>
                      <w:bCs/>
                      <w:color w:val="auto"/>
                      <w:szCs w:val="21"/>
                    </w:rPr>
                  </w:pPr>
                  <w:r>
                    <w:rPr>
                      <w:rFonts w:hint="eastAsia"/>
                      <w:b/>
                      <w:bCs/>
                      <w:color w:val="auto"/>
                      <w:szCs w:val="21"/>
                    </w:rPr>
                    <w:t>最大存在总量</w:t>
                  </w:r>
                  <w:r>
                    <w:rPr>
                      <w:rFonts w:hint="eastAsia"/>
                      <w:b/>
                      <w:bCs/>
                      <w:color w:val="auto"/>
                      <w:szCs w:val="21"/>
                      <w:lang w:val="en-US" w:eastAsia="zh-CN"/>
                    </w:rPr>
                    <w:t xml:space="preserve"> </w:t>
                  </w:r>
                </w:p>
              </w:tc>
              <w:tc>
                <w:tcPr>
                  <w:tcW w:w="697" w:type="pct"/>
                  <w:tcBorders>
                    <w:tl2br w:val="nil"/>
                    <w:tr2bl w:val="nil"/>
                  </w:tcBorders>
                  <w:shd w:val="clear" w:color="auto" w:fill="FFFFFF" w:themeFill="background1"/>
                  <w:noWrap w:val="0"/>
                  <w:vAlign w:val="center"/>
                </w:tcPr>
                <w:p>
                  <w:pPr>
                    <w:adjustRightInd w:val="0"/>
                    <w:snapToGrid w:val="0"/>
                    <w:jc w:val="center"/>
                    <w:rPr>
                      <w:b/>
                      <w:bCs/>
                      <w:color w:val="auto"/>
                      <w:szCs w:val="21"/>
                    </w:rPr>
                  </w:pPr>
                  <w:r>
                    <w:rPr>
                      <w:rFonts w:hint="eastAsia"/>
                      <w:b/>
                      <w:bCs/>
                      <w:color w:val="auto"/>
                      <w:szCs w:val="21"/>
                    </w:rPr>
                    <w:t>临界量Q</w:t>
                  </w:r>
                  <w:r>
                    <w:rPr>
                      <w:rFonts w:hint="eastAsia"/>
                      <w:b/>
                      <w:bCs/>
                      <w:color w:val="auto"/>
                      <w:szCs w:val="21"/>
                      <w:vertAlign w:val="subscript"/>
                    </w:rPr>
                    <w:t>n</w:t>
                  </w:r>
                  <w:r>
                    <w:rPr>
                      <w:rFonts w:hint="eastAsia"/>
                      <w:b/>
                      <w:bCs/>
                      <w:color w:val="auto"/>
                      <w:szCs w:val="21"/>
                      <w:lang w:val="en-US" w:eastAsia="zh-CN"/>
                    </w:rPr>
                    <w:t xml:space="preserve"> </w:t>
                  </w:r>
                </w:p>
              </w:tc>
              <w:tc>
                <w:tcPr>
                  <w:tcW w:w="500" w:type="pct"/>
                  <w:tcBorders>
                    <w:tl2br w:val="nil"/>
                    <w:tr2bl w:val="nil"/>
                  </w:tcBorders>
                  <w:shd w:val="clear" w:color="auto" w:fill="FFFFFF" w:themeFill="background1"/>
                  <w:noWrap w:val="0"/>
                  <w:vAlign w:val="center"/>
                </w:tcPr>
                <w:p>
                  <w:pPr>
                    <w:adjustRightInd w:val="0"/>
                    <w:snapToGrid w:val="0"/>
                    <w:jc w:val="center"/>
                    <w:rPr>
                      <w:b/>
                      <w:bCs/>
                      <w:color w:val="auto"/>
                      <w:szCs w:val="21"/>
                    </w:rPr>
                  </w:pPr>
                  <w:r>
                    <w:rPr>
                      <w:rFonts w:hint="eastAsia"/>
                      <w:b/>
                      <w:bCs/>
                      <w:color w:val="auto"/>
                      <w:szCs w:val="21"/>
                    </w:rPr>
                    <w:t>Q值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rFonts w:hint="eastAsia"/>
                      <w:color w:val="auto"/>
                      <w:szCs w:val="21"/>
                      <w:lang w:val="en-US" w:eastAsia="zh-CN"/>
                    </w:rPr>
                  </w:pPr>
                  <w:r>
                    <w:rPr>
                      <w:rFonts w:hint="eastAsia"/>
                      <w:color w:val="auto"/>
                      <w:szCs w:val="21"/>
                      <w:lang w:val="en-US" w:eastAsia="zh-CN"/>
                    </w:rPr>
                    <w:t>含矿物油废物</w:t>
                  </w:r>
                </w:p>
              </w:tc>
              <w:tc>
                <w:tcPr>
                  <w:tcW w:w="911"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5t（1年一次）</w:t>
                  </w:r>
                </w:p>
              </w:tc>
              <w:tc>
                <w:tcPr>
                  <w:tcW w:w="697"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2500t</w:t>
                  </w:r>
                </w:p>
              </w:tc>
              <w:tc>
                <w:tcPr>
                  <w:tcW w:w="500"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rFonts w:hint="eastAsia"/>
                      <w:color w:val="auto"/>
                      <w:szCs w:val="21"/>
                      <w:lang w:val="en-US" w:eastAsia="zh-CN"/>
                    </w:rPr>
                  </w:pPr>
                  <w:r>
                    <w:rPr>
                      <w:rFonts w:hint="eastAsia"/>
                      <w:color w:val="auto"/>
                      <w:szCs w:val="21"/>
                      <w:lang w:val="en-US" w:eastAsia="zh-CN"/>
                    </w:rPr>
                    <w:t>废有机溶剂、母液</w:t>
                  </w:r>
                </w:p>
              </w:tc>
              <w:tc>
                <w:tcPr>
                  <w:tcW w:w="911"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9t（15天一次）</w:t>
                  </w:r>
                </w:p>
              </w:tc>
              <w:tc>
                <w:tcPr>
                  <w:tcW w:w="697" w:type="pct"/>
                  <w:tcBorders>
                    <w:tl2br w:val="nil"/>
                    <w:tr2bl w:val="nil"/>
                  </w:tcBorders>
                  <w:shd w:val="clear" w:color="auto" w:fill="FFFFFF" w:themeFill="background1"/>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50t</w:t>
                  </w:r>
                </w:p>
              </w:tc>
              <w:tc>
                <w:tcPr>
                  <w:tcW w:w="500"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rFonts w:hint="eastAsia"/>
                      <w:color w:val="auto"/>
                      <w:szCs w:val="21"/>
                      <w:lang w:val="en-US" w:eastAsia="zh-CN"/>
                    </w:rPr>
                  </w:pPr>
                  <w:r>
                    <w:rPr>
                      <w:rFonts w:hint="eastAsia"/>
                      <w:color w:val="auto"/>
                      <w:szCs w:val="21"/>
                      <w:lang w:val="en-US" w:eastAsia="zh-CN"/>
                    </w:rPr>
                    <w:t>检测废液：COD</w:t>
                  </w:r>
                  <w:r>
                    <w:rPr>
                      <w:rFonts w:hint="eastAsia"/>
                      <w:color w:val="auto"/>
                      <w:szCs w:val="21"/>
                      <w:vertAlign w:val="subscript"/>
                      <w:lang w:val="en-US" w:eastAsia="zh-CN"/>
                    </w:rPr>
                    <w:t>Cr</w:t>
                  </w:r>
                  <w:r>
                    <w:rPr>
                      <w:rFonts w:hint="eastAsia"/>
                      <w:color w:val="auto"/>
                      <w:szCs w:val="21"/>
                      <w:lang w:val="en-US" w:eastAsia="zh-CN"/>
                    </w:rPr>
                    <w:t>（浓度≥10000mg/L 的有机废液）</w:t>
                  </w:r>
                </w:p>
              </w:tc>
              <w:tc>
                <w:tcPr>
                  <w:tcW w:w="911"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0.5t（1年一次）</w:t>
                  </w:r>
                </w:p>
              </w:tc>
              <w:tc>
                <w:tcPr>
                  <w:tcW w:w="697"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10t</w:t>
                  </w:r>
                </w:p>
              </w:tc>
              <w:tc>
                <w:tcPr>
                  <w:tcW w:w="500"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rFonts w:hint="eastAsia"/>
                      <w:color w:val="auto"/>
                      <w:szCs w:val="21"/>
                      <w:lang w:val="en-US" w:eastAsia="zh-CN"/>
                    </w:rPr>
                  </w:pPr>
                  <w:r>
                    <w:rPr>
                      <w:rFonts w:hint="eastAsia"/>
                      <w:color w:val="auto"/>
                      <w:szCs w:val="21"/>
                      <w:lang w:val="en-US" w:eastAsia="zh-CN"/>
                    </w:rPr>
                    <w:t>检测废液：NH</w:t>
                  </w:r>
                  <w:r>
                    <w:rPr>
                      <w:rFonts w:hint="eastAsia"/>
                      <w:color w:val="auto"/>
                      <w:szCs w:val="21"/>
                      <w:vertAlign w:val="subscript"/>
                      <w:lang w:val="en-US" w:eastAsia="zh-CN"/>
                    </w:rPr>
                    <w:t>3</w:t>
                  </w:r>
                  <w:r>
                    <w:rPr>
                      <w:rFonts w:hint="eastAsia"/>
                      <w:color w:val="auto"/>
                      <w:szCs w:val="21"/>
                      <w:lang w:val="en-US" w:eastAsia="zh-CN"/>
                    </w:rPr>
                    <w:t>-N（浓度≥2000mg/L的废液）</w:t>
                  </w:r>
                </w:p>
              </w:tc>
              <w:tc>
                <w:tcPr>
                  <w:tcW w:w="911"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0.5t（1年一次</w:t>
                  </w:r>
                </w:p>
              </w:tc>
              <w:tc>
                <w:tcPr>
                  <w:tcW w:w="697"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5t</w:t>
                  </w:r>
                </w:p>
              </w:tc>
              <w:tc>
                <w:tcPr>
                  <w:tcW w:w="500"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废有机酸</w:t>
                  </w:r>
                </w:p>
              </w:tc>
              <w:tc>
                <w:tcPr>
                  <w:tcW w:w="911"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3t（10天一次）</w:t>
                  </w:r>
                </w:p>
              </w:tc>
              <w:tc>
                <w:tcPr>
                  <w:tcW w:w="697"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50t</w:t>
                  </w:r>
                </w:p>
              </w:tc>
              <w:tc>
                <w:tcPr>
                  <w:tcW w:w="500"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00" w:type="pct"/>
                  <w:gridSpan w:val="3"/>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rFonts w:hint="eastAsia"/>
                      <w:color w:val="auto"/>
                      <w:szCs w:val="21"/>
                    </w:rPr>
                    <w:t>合计</w:t>
                  </w:r>
                </w:p>
              </w:tc>
              <w:tc>
                <w:tcPr>
                  <w:tcW w:w="500" w:type="pct"/>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0.392</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rPr>
              <w:t>由上表可知，Q值小于1，则本项目环境风险潜势为Ⅰ，环境风险评价工作等级为简单分析。</w:t>
            </w:r>
            <w:r>
              <w:rPr>
                <w:rFonts w:hint="eastAsia"/>
                <w:color w:val="auto"/>
                <w:kern w:val="0"/>
                <w:sz w:val="24"/>
                <w:szCs w:val="24"/>
                <w:lang w:val="en-US" w:eastAsia="zh-CN"/>
              </w:rPr>
              <w:t xml:space="preserve">因此，本项目不需设置环境风险评价专项。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（2）风险潜势初判及评价等级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根据《建设项目环境风险评价技术导则》（HJ169-2018），当Q＜1时，环境风险潜势为I，评价工作等级为简单分析。因此本项目环境风险潜势为I，评价工作等级为简单分析。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（3）危险性识别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根据《建设项目环境风险评价技术导则》（HJ 169-2018），危废暂存间的危险性识别包括主要贮存和环保设施等。本项目为危险废物暂存项目，为危险废物贮存设施，结合本项目实际情况，存在危险性的危险废物贮存设施和环保设施为重点风险源。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（4）环境风险事故识别及影响途径和分析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①环境风险事故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根据本项目运营过程中的潜在危险判断，可能发生的环境事故类型包括：</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 xml:space="preserve">1）危险物质泄漏在贮存过程中，容器发生破裂或损坏，导致危废物质发生泄漏；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 xml:space="preserve">2）废气治理设施故障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 xml:space="preserve">环保设施故障主要为输送管道或阀门发生损坏，活性炭堵塞等引起废气发生事故性排放。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 xml:space="preserve">3）火灾伴生/次生污染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危险废物中储存量较大的易燃液体废矿物油泄漏遇火源发生的火灾，其燃烧时主要污染物为二氧化碳、二氧化硫，在不完全燃烧时有一氧化碳及其它有毒烟气产生。废矿物油泄漏如遇到火源发生火灾过程中，产生的消防废水有可能容纳了项目泄漏的有毒有害物质或扑灭火灾过程产生的有毒有害物质，具有较大的不确定性，消防废水若不能及时收集将污染环境。</w:t>
            </w:r>
          </w:p>
          <w:p>
            <w:pPr>
              <w:widowControl/>
              <w:spacing w:line="360" w:lineRule="auto"/>
              <w:ind w:firstLine="482" w:firstLineChars="200"/>
              <w:jc w:val="left"/>
              <w:rPr>
                <w:rFonts w:hint="eastAsia" w:eastAsia="宋体"/>
                <w:b/>
                <w:bCs/>
                <w:color w:val="auto"/>
                <w:kern w:val="0"/>
                <w:sz w:val="24"/>
                <w:szCs w:val="24"/>
              </w:rPr>
            </w:pPr>
            <w:r>
              <w:rPr>
                <w:rFonts w:hint="eastAsia" w:eastAsia="宋体"/>
                <w:b/>
                <w:bCs/>
                <w:color w:val="auto"/>
                <w:kern w:val="0"/>
                <w:sz w:val="24"/>
                <w:szCs w:val="24"/>
                <w:lang w:eastAsia="zh-CN"/>
              </w:rPr>
              <w:t>（</w:t>
            </w:r>
            <w:r>
              <w:rPr>
                <w:rFonts w:hint="eastAsia"/>
                <w:b/>
                <w:bCs/>
                <w:color w:val="auto"/>
                <w:kern w:val="0"/>
                <w:sz w:val="24"/>
                <w:szCs w:val="24"/>
                <w:lang w:val="en-US" w:eastAsia="zh-CN"/>
              </w:rPr>
              <w:t>5</w:t>
            </w:r>
            <w:r>
              <w:rPr>
                <w:rFonts w:hint="eastAsia" w:eastAsia="宋体"/>
                <w:b/>
                <w:bCs/>
                <w:color w:val="auto"/>
                <w:kern w:val="0"/>
                <w:sz w:val="24"/>
                <w:szCs w:val="24"/>
                <w:lang w:eastAsia="zh-CN"/>
              </w:rPr>
              <w:t>）</w:t>
            </w:r>
            <w:r>
              <w:rPr>
                <w:rFonts w:hint="eastAsia" w:eastAsia="宋体"/>
                <w:b/>
                <w:bCs/>
                <w:color w:val="auto"/>
                <w:kern w:val="0"/>
                <w:sz w:val="24"/>
                <w:szCs w:val="24"/>
              </w:rPr>
              <w:t>风险防范措施</w:t>
            </w:r>
          </w:p>
          <w:p>
            <w:pPr>
              <w:spacing w:line="360" w:lineRule="auto"/>
              <w:ind w:firstLine="480" w:firstLineChars="200"/>
              <w:rPr>
                <w:rFonts w:hint="eastAsia" w:cs="Times New Roman" w:eastAsiaTheme="minorEastAsia"/>
                <w:color w:val="auto"/>
                <w:sz w:val="24"/>
                <w:szCs w:val="24"/>
                <w:lang w:val="en-US" w:eastAsia="zh-CN"/>
              </w:rPr>
            </w:pPr>
            <w:r>
              <w:rPr>
                <w:rFonts w:hint="eastAsia"/>
                <w:color w:val="auto"/>
                <w:kern w:val="0"/>
                <w:sz w:val="24"/>
                <w:szCs w:val="24"/>
                <w:lang w:val="en-US" w:eastAsia="zh-CN"/>
              </w:rPr>
              <w:t>①</w:t>
            </w:r>
            <w:r>
              <w:rPr>
                <w:rFonts w:hint="eastAsia"/>
                <w:color w:val="auto"/>
                <w:kern w:val="0"/>
                <w:sz w:val="24"/>
                <w:szCs w:val="24"/>
              </w:rPr>
              <w:t>根据</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、《危险废物识别标志设置技术规范》（HJ1276-2022）、《危险废物收集、贮存、运输技术规范》（HJ2025-2012）等相关规定和要求。</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①源头控制：</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物收集、贮存、转运过程中应加强管理，防止包装物破损，一旦发生破损应立即采取措施，更换或修补容器；严格按照国家相关要求，收集，贮存、转运危险废物，采取相应的污染控制，风险管制措施。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②根据</w:t>
            </w:r>
            <w:r>
              <w:rPr>
                <w:rFonts w:hint="eastAsia" w:cs="Times New Roman"/>
                <w:color w:val="auto"/>
                <w:sz w:val="24"/>
                <w:szCs w:val="24"/>
                <w:lang w:val="en-US" w:eastAsia="zh-CN"/>
              </w:rPr>
              <w:t>项目</w:t>
            </w:r>
            <w:r>
              <w:rPr>
                <w:rFonts w:hint="eastAsia" w:ascii="Times New Roman" w:hAnsi="Times New Roman" w:cs="Times New Roman"/>
                <w:color w:val="auto"/>
                <w:sz w:val="24"/>
                <w:szCs w:val="24"/>
                <w:lang w:val="en-US" w:eastAsia="zh-CN"/>
              </w:rPr>
              <w:t>的特点，按照防渗标准分区防渗。</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③配备消防设施，建立防火档案，确定本项目的消防安全重点部位，并设置防火标志，实行严格管理。</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④制定灭火应急疏散预案，定期举行消防演练，并制定预案；</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⑤根据《危险废物贮存运输技术规范》（HJ2025-2012），贮存易燃易爆危险废物应配置有机气体报警、火灾报警装置。</w:t>
            </w:r>
          </w:p>
          <w:p>
            <w:pPr>
              <w:autoSpaceDE w:val="0"/>
              <w:autoSpaceDN w:val="0"/>
              <w:spacing w:line="360" w:lineRule="auto"/>
              <w:ind w:firstLine="480" w:firstLineChars="200"/>
              <w:jc w:val="left"/>
              <w:rPr>
                <w:rFonts w:hint="eastAsia"/>
                <w:color w:val="auto"/>
                <w:kern w:val="0"/>
                <w:sz w:val="24"/>
                <w:szCs w:val="24"/>
                <w:lang w:eastAsia="zh-CN"/>
              </w:rPr>
            </w:pPr>
            <w:r>
              <w:rPr>
                <w:rFonts w:hint="eastAsia"/>
                <w:color w:val="auto"/>
                <w:kern w:val="0"/>
                <w:sz w:val="24"/>
                <w:szCs w:val="24"/>
                <w:lang w:val="en-US" w:eastAsia="zh-CN"/>
              </w:rPr>
              <w:t>⑥危险</w:t>
            </w:r>
            <w:r>
              <w:rPr>
                <w:rFonts w:hint="eastAsia"/>
                <w:color w:val="auto"/>
                <w:kern w:val="0"/>
                <w:sz w:val="24"/>
                <w:szCs w:val="24"/>
              </w:rPr>
              <w:t>废</w:t>
            </w:r>
            <w:r>
              <w:rPr>
                <w:rFonts w:hint="eastAsia"/>
                <w:color w:val="auto"/>
                <w:kern w:val="0"/>
                <w:sz w:val="24"/>
                <w:szCs w:val="24"/>
                <w:lang w:val="en-US" w:eastAsia="zh-CN"/>
              </w:rPr>
              <w:t>物</w:t>
            </w:r>
            <w:r>
              <w:rPr>
                <w:rFonts w:hint="eastAsia"/>
                <w:color w:val="auto"/>
                <w:kern w:val="0"/>
                <w:sz w:val="24"/>
                <w:szCs w:val="24"/>
              </w:rPr>
              <w:t>存放过程中，注意存放危险废物堆的防晒、防水等。不相容危险废物要分别存放或存放在不渗透间隔分开的区域内，每个部分都应有防渗漏脚，防漏裙脚的材料要与危险废物相容</w:t>
            </w:r>
            <w:r>
              <w:rPr>
                <w:rFonts w:hint="eastAsia"/>
                <w:color w:val="auto"/>
                <w:kern w:val="0"/>
                <w:sz w:val="24"/>
                <w:szCs w:val="24"/>
                <w:lang w:eastAsia="zh-CN"/>
              </w:rPr>
              <w:t>。</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rPr>
              <w:t>⑦</w:t>
            </w:r>
            <w:r>
              <w:rPr>
                <w:rFonts w:hint="eastAsia"/>
                <w:color w:val="auto"/>
                <w:kern w:val="0"/>
                <w:sz w:val="24"/>
                <w:szCs w:val="24"/>
                <w:lang w:val="en-US" w:eastAsia="zh-CN"/>
              </w:rPr>
              <w:t>为确保不发生事故性废气排放，建设单位必须采取一定的事故性防范保护措施：</w:t>
            </w:r>
          </w:p>
          <w:p>
            <w:pPr>
              <w:numPr>
                <w:ilvl w:val="0"/>
                <w:numId w:val="21"/>
              </w:num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严格执行管理规定，加强环保设备的检修及保养，提高管理人员素质，并设置机器事故应急措施及管理制度，确保设备长期处理良好状态，使设备达到预期的处理效果。</w:t>
            </w:r>
          </w:p>
          <w:p>
            <w:pPr>
              <w:numPr>
                <w:ilvl w:val="0"/>
                <w:numId w:val="0"/>
              </w:numPr>
              <w:autoSpaceDE w:val="0"/>
              <w:autoSpaceDN w:val="0"/>
              <w:spacing w:line="360" w:lineRule="auto"/>
              <w:ind w:firstLine="480" w:firstLineChars="200"/>
              <w:jc w:val="left"/>
              <w:rPr>
                <w:rFonts w:hint="eastAsia"/>
                <w:color w:val="auto"/>
                <w:kern w:val="0"/>
                <w:sz w:val="24"/>
                <w:szCs w:val="24"/>
              </w:rPr>
            </w:pPr>
            <w:r>
              <w:rPr>
                <w:rFonts w:hint="eastAsia"/>
                <w:color w:val="auto"/>
                <w:kern w:val="0"/>
                <w:sz w:val="24"/>
                <w:szCs w:val="24"/>
                <w:lang w:val="en-US" w:eastAsia="zh-CN"/>
              </w:rPr>
              <w:t>2）现场作业人员定时记录废气处理状况，并对设备进行定期检查，并派专人巡视，杜绝事故性废气直排。</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rPr>
              <w:t>⑧</w:t>
            </w:r>
            <w:r>
              <w:rPr>
                <w:rFonts w:hint="eastAsia"/>
                <w:color w:val="auto"/>
                <w:kern w:val="0"/>
                <w:sz w:val="24"/>
                <w:szCs w:val="24"/>
                <w:lang w:val="en-US" w:eastAsia="zh-CN"/>
              </w:rPr>
              <w:t>危险物质发生泄漏，并引起火灾事故的情况下，在火灾事故处理过程中，灭火时产生的消防废水会携带部分污染物质，如外泄物料及消防废水不能及时得到有效的收集和处置将会通过雨水管网污染周边水体。因此建设单位针对泄漏液及消防废水，落实以下防范措施：</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1）根据危废暂存间的平面布置和各仓库存放的各类危险废物类型，在不同贮存区布设围堰；</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2）在危险废物车间的贮存区四周设置导流沟，该导流沟与应急事故池连通，并在合适的位置设立危险废物警告标志牌。</w:t>
            </w:r>
          </w:p>
          <w:p>
            <w:pPr>
              <w:autoSpaceDE w:val="0"/>
              <w:autoSpaceDN w:val="0"/>
              <w:spacing w:line="360" w:lineRule="auto"/>
              <w:ind w:firstLine="480" w:firstLineChars="200"/>
              <w:jc w:val="left"/>
              <w:rPr>
                <w:rFonts w:hint="eastAsia"/>
                <w:b w:val="0"/>
                <w:bCs w:val="0"/>
                <w:color w:val="auto"/>
                <w:kern w:val="0"/>
                <w:sz w:val="24"/>
                <w:szCs w:val="24"/>
                <w:lang w:val="en-US" w:eastAsia="zh-CN"/>
              </w:rPr>
            </w:pPr>
            <w:r>
              <w:rPr>
                <w:rFonts w:hint="eastAsia"/>
                <w:b w:val="0"/>
                <w:bCs w:val="0"/>
                <w:color w:val="auto"/>
                <w:kern w:val="0"/>
                <w:sz w:val="24"/>
                <w:szCs w:val="24"/>
                <w:lang w:val="en-US" w:eastAsia="zh-CN"/>
              </w:rPr>
              <w:t>3）危废暂存间配套依托事故池</w:t>
            </w:r>
          </w:p>
          <w:p>
            <w:pPr>
              <w:autoSpaceDE w:val="0"/>
              <w:autoSpaceDN w:val="0"/>
              <w:spacing w:line="360" w:lineRule="auto"/>
              <w:ind w:firstLine="480" w:firstLineChars="200"/>
              <w:jc w:val="left"/>
              <w:rPr>
                <w:rFonts w:hint="eastAsia"/>
                <w:b w:val="0"/>
                <w:bCs w:val="0"/>
                <w:color w:val="auto"/>
                <w:kern w:val="0"/>
                <w:sz w:val="24"/>
                <w:szCs w:val="24"/>
                <w:lang w:eastAsia="zh-CN"/>
              </w:rPr>
            </w:pPr>
            <w:r>
              <w:rPr>
                <w:rFonts w:hint="eastAsia"/>
                <w:b w:val="0"/>
                <w:bCs w:val="0"/>
                <w:color w:val="auto"/>
                <w:kern w:val="0"/>
                <w:sz w:val="24"/>
                <w:szCs w:val="24"/>
                <w:lang w:eastAsia="zh-CN"/>
              </w:rPr>
              <w:t>事故应急池容积计算：根据《化工建设项目环境保护设计规范》(GB50483-2009) ，事故应急池的容积根据《水体污染防控紧急措施设计导则》中对事故应急池大小的规定：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position w:val="1"/>
                <w:sz w:val="24"/>
                <w:szCs w:val="24"/>
              </w:rPr>
              <w:t>V</w:t>
            </w:r>
            <w:r>
              <w:rPr>
                <w:rFonts w:hint="default" w:ascii="Times New Roman" w:hAnsi="Times New Roman" w:eastAsia="宋体" w:cs="Times New Roman"/>
                <w:color w:val="auto"/>
                <w:spacing w:val="5"/>
                <w:position w:val="1"/>
                <w:sz w:val="24"/>
                <w:szCs w:val="24"/>
                <w:vertAlign w:val="subscript"/>
              </w:rPr>
              <w:t>总</w:t>
            </w:r>
            <w:r>
              <w:rPr>
                <w:rFonts w:hint="default" w:ascii="Times New Roman" w:hAnsi="Times New Roman" w:eastAsia="Times New Roman" w:cs="Times New Roman"/>
                <w:color w:val="auto"/>
                <w:spacing w:val="3"/>
                <w:position w:val="1"/>
                <w:sz w:val="24"/>
                <w:szCs w:val="24"/>
              </w:rPr>
              <w:t>=</w:t>
            </w:r>
            <w:r>
              <w:rPr>
                <w:rFonts w:hint="eastAsia" w:ascii="Times New Roman" w:hAnsi="Times New Roman" w:eastAsia="宋体" w:cs="Times New Roman"/>
                <w:color w:val="auto"/>
                <w:spacing w:val="3"/>
                <w:position w:val="1"/>
                <w:sz w:val="24"/>
                <w:szCs w:val="24"/>
                <w:lang w:eastAsia="zh-CN"/>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1</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2</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3</w:t>
            </w:r>
            <w:r>
              <w:rPr>
                <w:rFonts w:hint="eastAsia" w:ascii="Times New Roman" w:hAnsi="Times New Roman" w:eastAsia="宋体" w:cs="Times New Roman"/>
                <w:color w:val="auto"/>
                <w:spacing w:val="3"/>
                <w:position w:val="1"/>
                <w:sz w:val="24"/>
                <w:szCs w:val="24"/>
                <w:lang w:eastAsia="zh-CN"/>
              </w:rPr>
              <w:t>）</w:t>
            </w:r>
            <w:r>
              <w:rPr>
                <w:rFonts w:hint="default" w:ascii="Times New Roman" w:hAnsi="Times New Roman" w:eastAsia="Times New Roman" w:cs="Times New Roman"/>
                <w:color w:val="auto"/>
                <w:position w:val="1"/>
                <w:sz w:val="24"/>
                <w:szCs w:val="24"/>
                <w:vertAlign w:val="subscript"/>
              </w:rPr>
              <w:t>max</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4</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5</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rPr>
              <w:t>注：</w:t>
            </w:r>
            <w:r>
              <w:rPr>
                <w:rFonts w:hint="eastAsia" w:ascii="Times New Roman" w:hAnsi="Times New Roman" w:eastAsia="宋体" w:cs="Times New Roman"/>
                <w:color w:val="auto"/>
                <w:spacing w:val="3"/>
                <w:position w:val="1"/>
                <w:sz w:val="24"/>
                <w:szCs w:val="24"/>
                <w:lang w:eastAsia="zh-CN"/>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1</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2</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3</w:t>
            </w:r>
            <w:r>
              <w:rPr>
                <w:rFonts w:hint="eastAsia" w:ascii="Times New Roman" w:hAnsi="Times New Roman" w:eastAsia="宋体" w:cs="Times New Roman"/>
                <w:color w:val="auto"/>
                <w:spacing w:val="3"/>
                <w:position w:val="1"/>
                <w:sz w:val="24"/>
                <w:szCs w:val="24"/>
                <w:lang w:eastAsia="zh-CN"/>
              </w:rPr>
              <w:t>）</w:t>
            </w:r>
            <w:r>
              <w:rPr>
                <w:rFonts w:hint="default" w:ascii="Times New Roman" w:hAnsi="Times New Roman" w:eastAsia="Times New Roman" w:cs="Times New Roman"/>
                <w:color w:val="auto"/>
                <w:position w:val="1"/>
                <w:sz w:val="24"/>
                <w:szCs w:val="24"/>
                <w:vertAlign w:val="subscript"/>
              </w:rPr>
              <w:t>ma</w:t>
            </w:r>
            <w:r>
              <w:rPr>
                <w:rFonts w:hint="eastAsia" w:ascii="Times New Roman" w:hAnsi="Times New Roman" w:eastAsia="宋体" w:cs="Times New Roman"/>
                <w:color w:val="auto"/>
                <w:position w:val="1"/>
                <w:sz w:val="24"/>
                <w:szCs w:val="24"/>
                <w:vertAlign w:val="subscript"/>
                <w:lang w:val="en-US" w:eastAsia="zh-CN"/>
              </w:rPr>
              <w:t>x</w:t>
            </w:r>
            <w:r>
              <w:rPr>
                <w:rFonts w:hint="default" w:ascii="Times New Roman" w:hAnsi="Times New Roman" w:eastAsia="宋体" w:cs="Times New Roman"/>
                <w:color w:val="auto"/>
                <w:spacing w:val="2"/>
                <w:sz w:val="24"/>
                <w:szCs w:val="24"/>
              </w:rPr>
              <w:t>是指对</w:t>
            </w:r>
            <w:r>
              <w:rPr>
                <w:rFonts w:hint="default" w:ascii="Times New Roman" w:hAnsi="Times New Roman" w:eastAsia="宋体" w:cs="Times New Roman"/>
                <w:color w:val="auto"/>
                <w:spacing w:val="1"/>
                <w:sz w:val="24"/>
                <w:szCs w:val="24"/>
              </w:rPr>
              <w:t xml:space="preserve">收集系统范围内不同罐组成或装置分别计算 </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1</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rPr>
              <w:t>2-</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3</w:t>
            </w:r>
            <w:r>
              <w:rPr>
                <w:rFonts w:hint="eastAsia" w:ascii="Times New Roman" w:hAnsi="Times New Roman" w:eastAsia="宋体" w:cs="Times New Roman"/>
                <w:color w:val="auto"/>
                <w:spacing w:val="1"/>
                <w:position w:val="-1"/>
                <w:sz w:val="24"/>
                <w:szCs w:val="24"/>
                <w:lang w:eastAsia="zh-CN"/>
              </w:rPr>
              <w:t>；</w:t>
            </w:r>
            <w:r>
              <w:rPr>
                <w:rFonts w:hint="default" w:ascii="Times New Roman" w:hAnsi="Times New Roman" w:eastAsia="宋体" w:cs="Times New Roman"/>
                <w:color w:val="auto"/>
                <w:spacing w:val="7"/>
                <w:sz w:val="24"/>
                <w:szCs w:val="24"/>
              </w:rPr>
              <w:t>取其中最大值</w:t>
            </w:r>
            <w:r>
              <w:rPr>
                <w:rFonts w:hint="default" w:ascii="Times New Roman" w:hAnsi="Times New Roman" w:eastAsia="宋体" w:cs="Times New Roman"/>
                <w:color w:val="auto"/>
                <w:spacing w:val="5"/>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18"/>
                <w:position w:val="-1"/>
                <w:sz w:val="24"/>
                <w:szCs w:val="24"/>
                <w:vertAlign w:val="subscript"/>
              </w:rPr>
              <w:t>1</w:t>
            </w:r>
            <w:r>
              <w:rPr>
                <w:rFonts w:hint="eastAsia" w:ascii="Times New Roman" w:hAnsi="Times New Roman" w:eastAsia="宋体" w:cs="Times New Roman"/>
                <w:color w:val="auto"/>
                <w:spacing w:val="18"/>
                <w:sz w:val="24"/>
                <w:szCs w:val="24"/>
                <w:lang w:val="en-US" w:eastAsia="zh-CN"/>
              </w:rPr>
              <w:t>-</w:t>
            </w:r>
            <w:r>
              <w:rPr>
                <w:rFonts w:hint="default" w:ascii="Times New Roman" w:hAnsi="Times New Roman" w:eastAsia="宋体" w:cs="Times New Roman"/>
                <w:color w:val="auto"/>
                <w:spacing w:val="9"/>
                <w:sz w:val="24"/>
                <w:szCs w:val="24"/>
              </w:rPr>
              <w:t>收集系统范围内发生事故的一个罐组或一套装置的物料量，</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pacing w:val="9"/>
                <w:sz w:val="24"/>
                <w:szCs w:val="24"/>
                <w:lang w:eastAsia="zh-CN"/>
              </w:rPr>
              <w:t>（</w:t>
            </w:r>
            <w:r>
              <w:rPr>
                <w:rFonts w:hint="default" w:ascii="Times New Roman" w:hAnsi="Times New Roman" w:eastAsia="宋体" w:cs="Times New Roman"/>
                <w:color w:val="auto"/>
                <w:spacing w:val="9"/>
                <w:sz w:val="24"/>
                <w:szCs w:val="24"/>
              </w:rPr>
              <w:t>储存相同</w:t>
            </w:r>
            <w:r>
              <w:rPr>
                <w:rFonts w:hint="default" w:ascii="Times New Roman" w:hAnsi="Times New Roman" w:eastAsia="宋体" w:cs="Times New Roman"/>
                <w:color w:val="auto"/>
                <w:spacing w:val="13"/>
                <w:sz w:val="24"/>
                <w:szCs w:val="24"/>
              </w:rPr>
              <w:t>物</w:t>
            </w:r>
            <w:r>
              <w:rPr>
                <w:rFonts w:hint="default" w:ascii="Times New Roman" w:hAnsi="Times New Roman" w:eastAsia="宋体" w:cs="Times New Roman"/>
                <w:color w:val="auto"/>
                <w:spacing w:val="7"/>
                <w:sz w:val="24"/>
                <w:szCs w:val="24"/>
              </w:rPr>
              <w:t>料的罐组按</w:t>
            </w:r>
            <w:r>
              <w:rPr>
                <w:rFonts w:hint="default" w:ascii="Times New Roman" w:hAnsi="Times New Roman" w:eastAsia="Times New Roman" w:cs="Times New Roman"/>
                <w:color w:val="auto"/>
                <w:spacing w:val="7"/>
                <w:sz w:val="24"/>
                <w:szCs w:val="24"/>
              </w:rPr>
              <w:t>1</w:t>
            </w:r>
            <w:r>
              <w:rPr>
                <w:rFonts w:hint="default" w:ascii="Times New Roman" w:hAnsi="Times New Roman" w:eastAsia="宋体" w:cs="Times New Roman"/>
                <w:color w:val="auto"/>
                <w:spacing w:val="7"/>
                <w:sz w:val="24"/>
                <w:szCs w:val="24"/>
              </w:rPr>
              <w:t>个最大储罐计，装置物料量按存留最大物料量的</w:t>
            </w:r>
            <w:r>
              <w:rPr>
                <w:rFonts w:hint="default" w:ascii="Times New Roman" w:hAnsi="Times New Roman" w:eastAsia="Times New Roman" w:cs="Times New Roman"/>
                <w:color w:val="auto"/>
                <w:spacing w:val="7"/>
                <w:sz w:val="24"/>
                <w:szCs w:val="24"/>
              </w:rPr>
              <w:t>1</w:t>
            </w:r>
            <w:r>
              <w:rPr>
                <w:rFonts w:hint="default" w:ascii="Times New Roman" w:hAnsi="Times New Roman" w:eastAsia="宋体" w:cs="Times New Roman"/>
                <w:color w:val="auto"/>
                <w:spacing w:val="7"/>
                <w:sz w:val="24"/>
                <w:szCs w:val="24"/>
              </w:rPr>
              <w:t>台反应器或中间储</w:t>
            </w:r>
            <w:r>
              <w:rPr>
                <w:rFonts w:hint="default" w:ascii="Times New Roman" w:hAnsi="Times New Roman" w:eastAsia="宋体" w:cs="Times New Roman"/>
                <w:color w:val="auto"/>
                <w:spacing w:val="16"/>
                <w:sz w:val="24"/>
                <w:szCs w:val="24"/>
              </w:rPr>
              <w:t>罐</w:t>
            </w:r>
            <w:r>
              <w:rPr>
                <w:rFonts w:hint="default" w:ascii="Times New Roman" w:hAnsi="Times New Roman" w:eastAsia="宋体" w:cs="Times New Roman"/>
                <w:color w:val="auto"/>
                <w:spacing w:val="13"/>
                <w:sz w:val="24"/>
                <w:szCs w:val="24"/>
              </w:rPr>
              <w:t>计</w:t>
            </w:r>
            <w:r>
              <w:rPr>
                <w:rFonts w:hint="eastAsia" w:ascii="Times New Roman" w:hAnsi="Times New Roman" w:eastAsia="宋体" w:cs="Times New Roman"/>
                <w:color w:val="auto"/>
                <w:spacing w:val="8"/>
                <w:sz w:val="24"/>
                <w:szCs w:val="24"/>
                <w:lang w:eastAsia="zh-CN"/>
              </w:rPr>
              <w:t>）</w:t>
            </w:r>
            <w:r>
              <w:rPr>
                <w:rFonts w:hint="default" w:ascii="Times New Roman" w:hAnsi="Times New Roman" w:eastAsia="宋体" w:cs="Times New Roman"/>
                <w:color w:val="auto"/>
                <w:spacing w:val="8"/>
                <w:sz w:val="24"/>
                <w:szCs w:val="24"/>
              </w:rPr>
              <w:t>。本项目最大储存容器为废矿物油</w:t>
            </w:r>
            <w:r>
              <w:rPr>
                <w:rFonts w:hint="eastAsia" w:cs="Times New Roman"/>
                <w:color w:val="auto"/>
                <w:spacing w:val="8"/>
                <w:sz w:val="24"/>
                <w:szCs w:val="24"/>
                <w:lang w:eastAsia="zh-CN"/>
              </w:rPr>
              <w:t>、废有机酸、</w:t>
            </w:r>
            <w:r>
              <w:rPr>
                <w:rFonts w:hint="eastAsia" w:ascii="Times New Roman" w:hAnsi="Times New Roman" w:eastAsia="宋体" w:cs="Times New Roman"/>
                <w:color w:val="auto"/>
                <w:spacing w:val="8"/>
                <w:sz w:val="24"/>
                <w:szCs w:val="24"/>
                <w:lang w:eastAsia="zh-CN"/>
              </w:rPr>
              <w:t>废有机</w:t>
            </w:r>
            <w:r>
              <w:rPr>
                <w:rFonts w:hint="eastAsia" w:cs="Times New Roman"/>
                <w:color w:val="auto"/>
                <w:spacing w:val="8"/>
                <w:sz w:val="24"/>
                <w:szCs w:val="24"/>
                <w:lang w:eastAsia="zh-CN"/>
              </w:rPr>
              <w:t>溶剂</w:t>
            </w:r>
            <w:r>
              <w:rPr>
                <w:rFonts w:hint="default" w:ascii="Times New Roman" w:hAnsi="Times New Roman" w:eastAsia="宋体" w:cs="Times New Roman"/>
                <w:color w:val="auto"/>
                <w:spacing w:val="8"/>
                <w:sz w:val="24"/>
                <w:szCs w:val="24"/>
              </w:rPr>
              <w:t>储罐，其</w:t>
            </w:r>
            <w:r>
              <w:rPr>
                <w:rFonts w:hint="eastAsia" w:cs="Times New Roman"/>
                <w:color w:val="auto"/>
                <w:spacing w:val="8"/>
                <w:sz w:val="24"/>
                <w:szCs w:val="24"/>
                <w:lang w:eastAsia="zh-CN"/>
              </w:rPr>
              <w:t>单独容器</w:t>
            </w:r>
            <w:r>
              <w:rPr>
                <w:rFonts w:hint="default" w:ascii="Times New Roman" w:hAnsi="Times New Roman" w:eastAsia="宋体" w:cs="Times New Roman"/>
                <w:color w:val="auto"/>
                <w:spacing w:val="8"/>
                <w:sz w:val="24"/>
                <w:szCs w:val="24"/>
              </w:rPr>
              <w:t>最大储存量</w:t>
            </w:r>
            <w:r>
              <w:rPr>
                <w:rFonts w:hint="eastAsia" w:cs="Times New Roman"/>
                <w:color w:val="auto"/>
                <w:spacing w:val="8"/>
                <w:sz w:val="24"/>
                <w:szCs w:val="24"/>
                <w:lang w:eastAsia="zh-CN"/>
              </w:rPr>
              <w:t>总和</w:t>
            </w:r>
            <w:r>
              <w:rPr>
                <w:rFonts w:hint="default" w:ascii="Times New Roman" w:hAnsi="Times New Roman" w:eastAsia="宋体" w:cs="Times New Roman"/>
                <w:color w:val="auto"/>
                <w:spacing w:val="8"/>
                <w:sz w:val="24"/>
                <w:szCs w:val="24"/>
              </w:rPr>
              <w:t>为</w:t>
            </w:r>
            <w:r>
              <w:rPr>
                <w:rFonts w:hint="eastAsia" w:eastAsia="宋体" w:cs="Times New Roman"/>
                <w:color w:val="auto"/>
                <w:spacing w:val="-1"/>
                <w:position w:val="2"/>
                <w:sz w:val="24"/>
                <w:szCs w:val="24"/>
                <w:lang w:val="en-US" w:eastAsia="zh-CN"/>
              </w:rPr>
              <w:t>3</w:t>
            </w:r>
            <w:r>
              <w:rPr>
                <w:rFonts w:hint="eastAsia" w:ascii="Times New Roman" w:hAnsi="Times New Roman" w:eastAsia="宋体" w:cs="Times New Roman"/>
                <w:color w:val="auto"/>
                <w:spacing w:val="-1"/>
                <w:position w:val="2"/>
                <w:sz w:val="24"/>
                <w:szCs w:val="24"/>
                <w:lang w:val="en-US" w:eastAsia="zh-CN"/>
              </w:rPr>
              <w:t>0m</w:t>
            </w:r>
            <w:r>
              <w:rPr>
                <w:rFonts w:hint="eastAsia" w:ascii="Times New Roman" w:hAnsi="Times New Roman" w:eastAsia="宋体" w:cs="Times New Roman"/>
                <w:color w:val="auto"/>
                <w:spacing w:val="-1"/>
                <w:position w:val="2"/>
                <w:sz w:val="24"/>
                <w:szCs w:val="24"/>
                <w:vertAlign w:val="superscript"/>
                <w:lang w:val="en-US" w:eastAsia="zh-CN"/>
              </w:rPr>
              <w:t>3</w:t>
            </w:r>
            <w:r>
              <w:rPr>
                <w:rFonts w:hint="default" w:ascii="Times New Roman" w:hAnsi="Times New Roman" w:eastAsia="宋体" w:cs="Times New Roman"/>
                <w:color w:val="auto"/>
                <w:position w:val="2"/>
                <w:sz w:val="24"/>
                <w:szCs w:val="24"/>
              </w:rPr>
              <w:t>，则故</w:t>
            </w:r>
            <w:r>
              <w:rPr>
                <w:rFonts w:hint="default" w:ascii="Times New Roman" w:hAnsi="Times New Roman" w:eastAsia="Times New Roman" w:cs="Times New Roman"/>
                <w:color w:val="auto"/>
                <w:position w:val="2"/>
                <w:sz w:val="24"/>
                <w:szCs w:val="24"/>
              </w:rPr>
              <w:t>V</w:t>
            </w:r>
            <w:r>
              <w:rPr>
                <w:rFonts w:hint="default" w:ascii="Times New Roman" w:hAnsi="Times New Roman" w:eastAsia="Times New Roman" w:cs="Times New Roman"/>
                <w:color w:val="auto"/>
                <w:sz w:val="24"/>
                <w:szCs w:val="24"/>
                <w:vertAlign w:val="subscript"/>
              </w:rPr>
              <w:t>1</w:t>
            </w:r>
            <w:r>
              <w:rPr>
                <w:rFonts w:hint="default" w:ascii="Times New Roman" w:hAnsi="Times New Roman" w:eastAsia="Times New Roman" w:cs="Times New Roman"/>
                <w:color w:val="auto"/>
                <w:position w:val="2"/>
                <w:sz w:val="24"/>
                <w:szCs w:val="24"/>
              </w:rPr>
              <w:t>=</w:t>
            </w:r>
            <w:r>
              <w:rPr>
                <w:rFonts w:hint="eastAsia" w:eastAsia="宋体" w:cs="Times New Roman"/>
                <w:color w:val="auto"/>
                <w:spacing w:val="-1"/>
                <w:position w:val="2"/>
                <w:sz w:val="24"/>
                <w:szCs w:val="24"/>
                <w:lang w:val="en-US" w:eastAsia="zh-CN"/>
              </w:rPr>
              <w:t>3</w:t>
            </w:r>
            <w:r>
              <w:rPr>
                <w:rFonts w:hint="eastAsia" w:ascii="Times New Roman" w:hAnsi="Times New Roman" w:eastAsia="宋体" w:cs="Times New Roman"/>
                <w:color w:val="auto"/>
                <w:spacing w:val="-1"/>
                <w:position w:val="2"/>
                <w:sz w:val="24"/>
                <w:szCs w:val="24"/>
                <w:lang w:val="en-US" w:eastAsia="zh-CN"/>
              </w:rPr>
              <w:t>0m</w:t>
            </w:r>
            <w:r>
              <w:rPr>
                <w:rFonts w:hint="eastAsia" w:ascii="Times New Roman" w:hAnsi="Times New Roman" w:eastAsia="宋体" w:cs="Times New Roman"/>
                <w:color w:val="auto"/>
                <w:spacing w:val="-1"/>
                <w:position w:val="2"/>
                <w:sz w:val="24"/>
                <w:szCs w:val="24"/>
                <w:vertAlign w:val="superscript"/>
                <w:lang w:val="en-US" w:eastAsia="zh-CN"/>
              </w:rPr>
              <w:t>3</w:t>
            </w:r>
            <w:r>
              <w:rPr>
                <w:rFonts w:hint="default" w:ascii="Times New Roman" w:hAnsi="Times New Roman" w:eastAsia="宋体" w:cs="Times New Roman"/>
                <w:color w:val="auto"/>
                <w:position w:val="2"/>
                <w:sz w:val="24"/>
                <w:szCs w:val="24"/>
              </w:rPr>
              <w:t>。</w:t>
            </w:r>
          </w:p>
          <w:p>
            <w:pPr>
              <w:keepNext w:val="0"/>
              <w:keepLines w:val="0"/>
              <w:pageBreakBefore w:val="0"/>
              <w:widowControl/>
              <w:tabs>
                <w:tab w:val="left" w:pos="238"/>
              </w:tabs>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5"/>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9"/>
                <w:position w:val="-1"/>
                <w:sz w:val="24"/>
                <w:szCs w:val="24"/>
                <w:vertAlign w:val="subscript"/>
              </w:rPr>
              <w:t>2</w:t>
            </w:r>
            <w:r>
              <w:rPr>
                <w:rFonts w:hint="eastAsia" w:ascii="Times New Roman" w:hAnsi="Times New Roman" w:eastAsia="宋体" w:cs="Times New Roman"/>
                <w:color w:val="auto"/>
                <w:spacing w:val="9"/>
                <w:sz w:val="24"/>
                <w:szCs w:val="24"/>
                <w:lang w:val="en-US" w:eastAsia="zh-CN"/>
              </w:rPr>
              <w:t>-</w:t>
            </w:r>
            <w:r>
              <w:rPr>
                <w:rFonts w:hint="default" w:ascii="Times New Roman" w:hAnsi="Times New Roman" w:eastAsia="宋体" w:cs="Times New Roman"/>
                <w:color w:val="auto"/>
                <w:spacing w:val="9"/>
                <w:sz w:val="24"/>
                <w:szCs w:val="24"/>
              </w:rPr>
              <w:t>发生事故的储罐或装置的消防废水量，</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pacing w:val="9"/>
                <w:sz w:val="24"/>
                <w:szCs w:val="24"/>
              </w:rPr>
              <w:t>。根据《消防给水及消防栓系</w:t>
            </w:r>
            <w:r>
              <w:rPr>
                <w:rFonts w:hint="default" w:ascii="Times New Roman" w:hAnsi="Times New Roman" w:eastAsia="宋体" w:cs="Times New Roman"/>
                <w:color w:val="auto"/>
                <w:spacing w:val="8"/>
                <w:sz w:val="24"/>
                <w:szCs w:val="24"/>
              </w:rPr>
              <w:t>统</w:t>
            </w:r>
            <w:r>
              <w:rPr>
                <w:rFonts w:hint="default" w:ascii="Times New Roman" w:hAnsi="Times New Roman" w:eastAsia="宋体" w:cs="Times New Roman"/>
                <w:color w:val="auto"/>
                <w:spacing w:val="2"/>
                <w:sz w:val="24"/>
                <w:szCs w:val="24"/>
              </w:rPr>
              <w:t>技术规范》</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Times New Roman" w:cs="Times New Roman"/>
                <w:color w:val="auto"/>
                <w:sz w:val="24"/>
                <w:szCs w:val="24"/>
              </w:rPr>
              <w:t>GB</w:t>
            </w:r>
            <w:r>
              <w:rPr>
                <w:rFonts w:hint="default" w:ascii="Times New Roman" w:hAnsi="Times New Roman" w:eastAsia="Times New Roman" w:cs="Times New Roman"/>
                <w:color w:val="auto"/>
                <w:spacing w:val="2"/>
                <w:sz w:val="24"/>
                <w:szCs w:val="24"/>
              </w:rPr>
              <w:t>50974-2014</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1"/>
                <w:sz w:val="24"/>
                <w:szCs w:val="24"/>
              </w:rPr>
              <w:t>工厂、仓库、办公区等占地面的小于等于</w:t>
            </w:r>
            <w:r>
              <w:rPr>
                <w:rFonts w:hint="default" w:ascii="Times New Roman" w:hAnsi="Times New Roman" w:eastAsia="Times New Roman" w:cs="Times New Roman"/>
                <w:color w:val="auto"/>
                <w:spacing w:val="1"/>
                <w:sz w:val="24"/>
                <w:szCs w:val="24"/>
              </w:rPr>
              <w:t>100</w:t>
            </w:r>
            <w:r>
              <w:rPr>
                <w:rFonts w:hint="default" w:ascii="Times New Roman" w:hAnsi="Times New Roman" w:eastAsia="Times New Roman" w:cs="Times New Roman"/>
                <w:color w:val="auto"/>
                <w:sz w:val="24"/>
                <w:szCs w:val="24"/>
              </w:rPr>
              <w:t>h</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pacing w:val="1"/>
                <w:sz w:val="24"/>
                <w:szCs w:val="24"/>
              </w:rPr>
              <w:t>，且</w:t>
            </w:r>
            <w:r>
              <w:rPr>
                <w:rFonts w:hint="default" w:ascii="Times New Roman" w:hAnsi="Times New Roman" w:eastAsia="宋体" w:cs="Times New Roman"/>
                <w:color w:val="auto"/>
                <w:spacing w:val="7"/>
                <w:sz w:val="24"/>
                <w:szCs w:val="24"/>
              </w:rPr>
              <w:t>附有居住区人数小于等于</w:t>
            </w:r>
            <w:r>
              <w:rPr>
                <w:rFonts w:hint="default" w:ascii="Times New Roman" w:hAnsi="Times New Roman" w:eastAsia="Times New Roman" w:cs="Times New Roman"/>
                <w:color w:val="auto"/>
                <w:spacing w:val="7"/>
                <w:sz w:val="24"/>
                <w:szCs w:val="24"/>
              </w:rPr>
              <w:t>1.5</w:t>
            </w:r>
            <w:r>
              <w:rPr>
                <w:rFonts w:hint="default" w:ascii="Times New Roman" w:hAnsi="Times New Roman" w:eastAsia="宋体" w:cs="Times New Roman"/>
                <w:color w:val="auto"/>
                <w:spacing w:val="7"/>
                <w:sz w:val="24"/>
                <w:szCs w:val="24"/>
              </w:rPr>
              <w:t>万人时，同一时间内的火灾处数为</w:t>
            </w:r>
            <w:r>
              <w:rPr>
                <w:rFonts w:hint="default" w:ascii="Times New Roman" w:hAnsi="Times New Roman" w:eastAsia="Times New Roman" w:cs="Times New Roman"/>
                <w:color w:val="auto"/>
                <w:spacing w:val="7"/>
                <w:sz w:val="24"/>
                <w:szCs w:val="24"/>
              </w:rPr>
              <w:t>1</w:t>
            </w:r>
            <w:r>
              <w:rPr>
                <w:rFonts w:hint="default" w:ascii="Times New Roman" w:hAnsi="Times New Roman" w:eastAsia="宋体" w:cs="Times New Roman"/>
                <w:color w:val="auto"/>
                <w:spacing w:val="7"/>
                <w:sz w:val="24"/>
                <w:szCs w:val="24"/>
              </w:rPr>
              <w:t>处。本项目</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pacing w:val="6"/>
                <w:sz w:val="24"/>
                <w:szCs w:val="24"/>
              </w:rPr>
              <w:t>二级耐火等级，</w:t>
            </w:r>
            <w:r>
              <w:rPr>
                <w:rFonts w:hint="default" w:ascii="Times New Roman" w:hAnsi="Times New Roman" w:eastAsia="宋体" w:cs="Times New Roman"/>
                <w:color w:val="auto"/>
                <w:spacing w:val="3"/>
                <w:sz w:val="24"/>
                <w:szCs w:val="24"/>
              </w:rPr>
              <w:t>火灾危险性类别为丙级，占地面积为</w:t>
            </w:r>
            <w:r>
              <w:rPr>
                <w:rFonts w:hint="eastAsia" w:ascii="Times New Roman" w:hAnsi="Times New Roman" w:eastAsia="宋体" w:cs="Times New Roman"/>
                <w:color w:val="auto"/>
                <w:spacing w:val="3"/>
                <w:sz w:val="24"/>
                <w:szCs w:val="24"/>
                <w:lang w:val="en-US" w:eastAsia="zh-CN"/>
              </w:rPr>
              <w:t>170m</w:t>
            </w:r>
            <w:r>
              <w:rPr>
                <w:rFonts w:hint="eastAsia" w:ascii="Times New Roman" w:hAnsi="Times New Roman" w:eastAsia="宋体" w:cs="Times New Roman"/>
                <w:color w:val="auto"/>
                <w:spacing w:val="3"/>
                <w:sz w:val="24"/>
                <w:szCs w:val="24"/>
                <w:vertAlign w:val="superscript"/>
                <w:lang w:val="en-US" w:eastAsia="zh-CN"/>
              </w:rPr>
              <w:t>2</w:t>
            </w:r>
            <w:r>
              <w:rPr>
                <w:rFonts w:hint="default" w:ascii="Times New Roman" w:hAnsi="Times New Roman" w:eastAsia="Times New Roman" w:cs="Times New Roman"/>
                <w:color w:val="auto"/>
                <w:spacing w:val="3"/>
                <w:position w:val="8"/>
                <w:sz w:val="24"/>
                <w:szCs w:val="24"/>
              </w:rPr>
              <w:t xml:space="preserve"> </w:t>
            </w:r>
            <w:r>
              <w:rPr>
                <w:rFonts w:hint="default" w:ascii="Times New Roman" w:hAnsi="Times New Roman" w:eastAsia="宋体" w:cs="Times New Roman"/>
                <w:color w:val="auto"/>
                <w:spacing w:val="3"/>
                <w:sz w:val="24"/>
                <w:szCs w:val="24"/>
              </w:rPr>
              <w:t>，高度为</w:t>
            </w:r>
            <w:r>
              <w:rPr>
                <w:rFonts w:hint="eastAsia" w:ascii="Times New Roman" w:hAnsi="Times New Roman" w:eastAsia="宋体" w:cs="Times New Roman"/>
                <w:color w:val="auto"/>
                <w:spacing w:val="3"/>
                <w:sz w:val="24"/>
                <w:szCs w:val="24"/>
                <w:lang w:val="en-US" w:eastAsia="zh-CN"/>
              </w:rPr>
              <w:t>4</w:t>
            </w:r>
            <w:r>
              <w:rPr>
                <w:rFonts w:hint="default" w:ascii="Times New Roman" w:hAnsi="Times New Roman" w:eastAsia="Times New Roman" w:cs="Times New Roman"/>
                <w:color w:val="auto"/>
                <w:sz w:val="24"/>
                <w:szCs w:val="24"/>
              </w:rPr>
              <w:t>m</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Times New Roman" w:cs="Times New Roman"/>
                <w:color w:val="auto"/>
                <w:sz w:val="24"/>
                <w:szCs w:val="24"/>
              </w:rPr>
              <w:t>h</w:t>
            </w:r>
            <w:r>
              <w:rPr>
                <w:rFonts w:hint="default" w:ascii="Times New Roman" w:hAnsi="Times New Roman" w:eastAsia="Times New Roman" w:cs="Times New Roman"/>
                <w:color w:val="auto"/>
                <w:spacing w:val="3"/>
                <w:sz w:val="24"/>
                <w:szCs w:val="24"/>
              </w:rPr>
              <w:t>≤24</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w:t>
            </w:r>
            <w:r>
              <w:rPr>
                <w:rFonts w:hint="eastAsia" w:ascii="Times New Roman" w:hAnsi="Times New Roman" w:eastAsia="宋体" w:cs="Times New Roman"/>
                <w:color w:val="auto"/>
                <w:spacing w:val="3"/>
                <w:sz w:val="24"/>
                <w:szCs w:val="24"/>
                <w:lang w:eastAsia="zh-CN"/>
              </w:rPr>
              <w:t>本项目建筑体积</w:t>
            </w:r>
            <w:r>
              <w:rPr>
                <w:rFonts w:hint="eastAsia" w:ascii="Times New Roman" w:hAnsi="Times New Roman" w:eastAsia="宋体" w:cs="Times New Roman"/>
                <w:color w:val="auto"/>
                <w:spacing w:val="3"/>
                <w:sz w:val="24"/>
                <w:szCs w:val="24"/>
                <w:lang w:val="en-US" w:eastAsia="zh-CN"/>
              </w:rPr>
              <w:t>680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pacing w:val="5"/>
                <w:sz w:val="24"/>
                <w:szCs w:val="24"/>
                <w:lang w:eastAsia="zh-CN"/>
              </w:rPr>
              <w:t>，根据《消防给水及消防栓系统技术规范》</w:t>
            </w:r>
            <w:r>
              <w:rPr>
                <w:rFonts w:hint="eastAsia" w:ascii="Times New Roman" w:hAnsi="Times New Roman" w:eastAsia="宋体" w:cs="Times New Roman"/>
                <w:color w:val="auto"/>
                <w:sz w:val="24"/>
                <w:szCs w:val="24"/>
                <w:lang w:eastAsia="zh-CN"/>
              </w:rPr>
              <w:t>（</w:t>
            </w:r>
            <w:r>
              <w:rPr>
                <w:rFonts w:hint="default" w:ascii="Times New Roman" w:hAnsi="Times New Roman" w:eastAsia="Times New Roman" w:cs="Times New Roman"/>
                <w:color w:val="auto"/>
                <w:sz w:val="24"/>
                <w:szCs w:val="24"/>
              </w:rPr>
              <w:t>GB</w:t>
            </w:r>
            <w:r>
              <w:rPr>
                <w:rFonts w:hint="default" w:ascii="Times New Roman" w:hAnsi="Times New Roman" w:eastAsia="Times New Roman" w:cs="Times New Roman"/>
                <w:color w:val="auto"/>
                <w:spacing w:val="-1"/>
                <w:sz w:val="24"/>
                <w:szCs w:val="24"/>
              </w:rPr>
              <w:t>50974-2</w:t>
            </w:r>
            <w:r>
              <w:rPr>
                <w:rFonts w:hint="default" w:ascii="Times New Roman" w:hAnsi="Times New Roman" w:eastAsia="Times New Roman" w:cs="Times New Roman"/>
                <w:color w:val="auto"/>
                <w:sz w:val="24"/>
                <w:szCs w:val="24"/>
              </w:rPr>
              <w:t>014</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表 </w:t>
            </w:r>
            <w:r>
              <w:rPr>
                <w:rFonts w:hint="default" w:ascii="Times New Roman" w:hAnsi="Times New Roman" w:eastAsia="Times New Roman" w:cs="Times New Roman"/>
                <w:color w:val="auto"/>
                <w:sz w:val="24"/>
                <w:szCs w:val="24"/>
              </w:rPr>
              <w:t>3.5.2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rPr>
              <w:t>丙类厂房</w:t>
            </w:r>
            <w:r>
              <w:rPr>
                <w:rFonts w:hint="eastAsia" w:ascii="Times New Roman" w:hAnsi="Times New Roman" w:eastAsia="宋体" w:cs="Times New Roman"/>
                <w:color w:val="auto"/>
                <w:sz w:val="24"/>
                <w:szCs w:val="24"/>
                <w:highlight w:val="none"/>
                <w:lang w:eastAsia="zh-CN"/>
              </w:rPr>
              <w:t>、仓库（</w:t>
            </w:r>
            <w:r>
              <w:rPr>
                <w:rFonts w:hint="default" w:ascii="Times New Roman" w:hAnsi="Times New Roman" w:eastAsia="Times New Roman" w:cs="Times New Roman"/>
                <w:color w:val="auto"/>
                <w:sz w:val="24"/>
                <w:szCs w:val="24"/>
                <w:highlight w:val="none"/>
              </w:rPr>
              <w:t>h≤24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，建筑体积</w:t>
            </w:r>
            <w:r>
              <w:rPr>
                <w:rFonts w:hint="default" w:ascii="Times New Roman" w:hAnsi="Times New Roman" w:eastAsia="Times New Roman" w:cs="Times New Roman"/>
                <w:color w:val="auto"/>
                <w:sz w:val="24"/>
                <w:szCs w:val="24"/>
                <w:highlight w:val="none"/>
              </w:rPr>
              <w:t>V</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Times New Roman" w:cs="Times New Roman"/>
                <w:color w:val="auto"/>
                <w:sz w:val="24"/>
                <w:szCs w:val="24"/>
                <w:highlight w:val="none"/>
              </w:rPr>
              <w:t>5000</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的室内消火栓设</w:t>
            </w:r>
            <w:r>
              <w:rPr>
                <w:rFonts w:hint="default" w:ascii="Times New Roman" w:hAnsi="Times New Roman" w:eastAsia="宋体" w:cs="Times New Roman"/>
                <w:color w:val="auto"/>
                <w:spacing w:val="4"/>
                <w:sz w:val="24"/>
                <w:szCs w:val="24"/>
                <w:highlight w:val="none"/>
              </w:rPr>
              <w:t>计流</w:t>
            </w:r>
            <w:r>
              <w:rPr>
                <w:rFonts w:hint="default" w:ascii="Times New Roman" w:hAnsi="Times New Roman" w:eastAsia="宋体" w:cs="Times New Roman"/>
                <w:color w:val="auto"/>
                <w:spacing w:val="3"/>
                <w:sz w:val="24"/>
                <w:szCs w:val="24"/>
                <w:highlight w:val="none"/>
              </w:rPr>
              <w:t>量</w:t>
            </w:r>
            <w:r>
              <w:rPr>
                <w:rFonts w:hint="default" w:ascii="Times New Roman" w:hAnsi="Times New Roman" w:eastAsia="宋体" w:cs="Times New Roman"/>
                <w:color w:val="auto"/>
                <w:spacing w:val="2"/>
                <w:sz w:val="24"/>
                <w:szCs w:val="24"/>
                <w:highlight w:val="none"/>
              </w:rPr>
              <w:t>为</w:t>
            </w:r>
            <w:r>
              <w:rPr>
                <w:rFonts w:hint="eastAsia" w:ascii="Times New Roman" w:hAnsi="Times New Roman" w:eastAsia="宋体" w:cs="Times New Roman"/>
                <w:color w:val="auto"/>
                <w:spacing w:val="2"/>
                <w:sz w:val="24"/>
                <w:szCs w:val="24"/>
                <w:highlight w:val="none"/>
                <w:lang w:val="en-US" w:eastAsia="zh-CN"/>
              </w:rPr>
              <w:t>20</w:t>
            </w:r>
            <w:r>
              <w:rPr>
                <w:rFonts w:hint="default" w:ascii="Times New Roman" w:hAnsi="Times New Roman" w:eastAsia="Times New Roman" w:cs="Times New Roman"/>
                <w:color w:val="auto"/>
                <w:sz w:val="24"/>
                <w:szCs w:val="24"/>
                <w:highlight w:val="none"/>
              </w:rPr>
              <w:t>L</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Times New Roman" w:cs="Times New Roman"/>
                <w:color w:val="auto"/>
                <w:sz w:val="24"/>
                <w:szCs w:val="24"/>
                <w:highlight w:val="none"/>
              </w:rPr>
              <w:t>s</w:t>
            </w:r>
            <w:r>
              <w:rPr>
                <w:rFonts w:hint="default" w:ascii="Times New Roman" w:hAnsi="Times New Roman" w:eastAsia="Times New Roman" w:cs="Times New Roman"/>
                <w:color w:val="auto"/>
                <w:spacing w:val="2"/>
                <w:sz w:val="24"/>
                <w:szCs w:val="24"/>
                <w:highlight w:val="none"/>
              </w:rPr>
              <w:t xml:space="preserve"> </w:t>
            </w:r>
            <w:r>
              <w:rPr>
                <w:rFonts w:hint="default" w:ascii="Times New Roman" w:hAnsi="Times New Roman" w:eastAsia="宋体" w:cs="Times New Roman"/>
                <w:color w:val="auto"/>
                <w:spacing w:val="2"/>
                <w:sz w:val="24"/>
                <w:szCs w:val="24"/>
                <w:highlight w:val="none"/>
              </w:rPr>
              <w:t>；丙类厂房</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2"/>
                <w:sz w:val="24"/>
                <w:szCs w:val="24"/>
              </w:rPr>
              <w:t>≤</w:t>
            </w:r>
            <w:r>
              <w:rPr>
                <w:rFonts w:hint="eastAsia" w:ascii="Times New Roman" w:hAnsi="Times New Roman" w:eastAsia="宋体" w:cs="Times New Roman"/>
                <w:color w:val="auto"/>
                <w:spacing w:val="2"/>
                <w:sz w:val="24"/>
                <w:szCs w:val="24"/>
                <w:lang w:val="en-US" w:eastAsia="zh-CN"/>
              </w:rPr>
              <w:t>15</w:t>
            </w:r>
            <w:r>
              <w:rPr>
                <w:rFonts w:hint="default" w:ascii="Times New Roman" w:hAnsi="Times New Roman" w:eastAsia="Times New Roman" w:cs="Times New Roman"/>
                <w:color w:val="auto"/>
                <w:spacing w:val="2"/>
                <w:sz w:val="24"/>
                <w:szCs w:val="24"/>
              </w:rPr>
              <w:t>00</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rPr>
              <w:t>的室外消防水量为</w:t>
            </w:r>
            <w:r>
              <w:rPr>
                <w:rFonts w:hint="eastAsia" w:ascii="Times New Roman" w:hAnsi="Times New Roman" w:eastAsia="宋体" w:cs="Times New Roman"/>
                <w:color w:val="auto"/>
                <w:spacing w:val="2"/>
                <w:sz w:val="24"/>
                <w:szCs w:val="24"/>
                <w:lang w:val="en-US" w:eastAsia="zh-CN"/>
              </w:rPr>
              <w:t>15</w:t>
            </w:r>
            <w:r>
              <w:rPr>
                <w:rFonts w:hint="default" w:ascii="Times New Roman" w:hAnsi="Times New Roman" w:eastAsia="Times New Roman" w:cs="Times New Roman"/>
                <w:color w:val="auto"/>
                <w:sz w:val="24"/>
                <w:szCs w:val="24"/>
              </w:rPr>
              <w:t>L</w:t>
            </w:r>
            <w:r>
              <w:rPr>
                <w:rFonts w:hint="default" w:ascii="Times New Roman" w:hAnsi="Times New Roman" w:eastAsia="Times New Roman" w:cs="Times New Roman"/>
                <w:color w:val="auto"/>
                <w:spacing w:val="2"/>
                <w:sz w:val="24"/>
                <w:szCs w:val="24"/>
              </w:rPr>
              <w:t>/</w:t>
            </w:r>
            <w:r>
              <w:rPr>
                <w:rFonts w:hint="default" w:ascii="Times New Roman" w:hAnsi="Times New Roman" w:eastAsia="Times New Roman" w:cs="Times New Roman"/>
                <w:color w:val="auto"/>
                <w:sz w:val="24"/>
                <w:szCs w:val="24"/>
              </w:rPr>
              <w:t>s</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2"/>
                <w:sz w:val="24"/>
                <w:szCs w:val="24"/>
                <w:highlight w:val="none"/>
              </w:rPr>
              <w:t>由于本项目</w:t>
            </w:r>
            <w:r>
              <w:rPr>
                <w:rFonts w:hint="default" w:ascii="Times New Roman" w:hAnsi="Times New Roman" w:eastAsia="宋体" w:cs="Times New Roman"/>
                <w:color w:val="auto"/>
                <w:spacing w:val="9"/>
                <w:sz w:val="24"/>
                <w:szCs w:val="24"/>
                <w:highlight w:val="none"/>
              </w:rPr>
              <w:t>规</w:t>
            </w:r>
            <w:r>
              <w:rPr>
                <w:rFonts w:hint="default" w:ascii="Times New Roman" w:hAnsi="Times New Roman" w:eastAsia="宋体" w:cs="Times New Roman"/>
                <w:color w:val="auto"/>
                <w:spacing w:val="5"/>
                <w:sz w:val="24"/>
                <w:szCs w:val="24"/>
                <w:highlight w:val="none"/>
              </w:rPr>
              <w:t>模较小，一次火灾持续时间按</w:t>
            </w:r>
            <w:r>
              <w:rPr>
                <w:rFonts w:hint="default" w:ascii="Times New Roman" w:hAnsi="Times New Roman" w:eastAsia="Times New Roman" w:cs="Times New Roman"/>
                <w:color w:val="auto"/>
                <w:spacing w:val="5"/>
                <w:sz w:val="24"/>
                <w:szCs w:val="24"/>
                <w:highlight w:val="none"/>
              </w:rPr>
              <w:t>1</w:t>
            </w:r>
            <w:r>
              <w:rPr>
                <w:rFonts w:hint="default" w:ascii="Times New Roman" w:hAnsi="Times New Roman" w:eastAsia="宋体" w:cs="Times New Roman"/>
                <w:color w:val="auto"/>
                <w:spacing w:val="5"/>
                <w:sz w:val="24"/>
                <w:szCs w:val="24"/>
                <w:highlight w:val="none"/>
              </w:rPr>
              <w:t>小时计，则一次消防用水量为</w:t>
            </w:r>
            <w:r>
              <w:rPr>
                <w:rFonts w:hint="default" w:ascii="Times New Roman" w:hAnsi="Times New Roman" w:eastAsia="Times New Roman" w:cs="Times New Roman"/>
                <w:color w:val="auto"/>
                <w:spacing w:val="5"/>
                <w:sz w:val="24"/>
                <w:szCs w:val="24"/>
                <w:highlight w:val="none"/>
              </w:rPr>
              <w:t>162</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pacing w:val="5"/>
                <w:sz w:val="24"/>
                <w:szCs w:val="24"/>
                <w:highlight w:val="none"/>
              </w:rPr>
              <w:t>。</w:t>
            </w:r>
          </w:p>
          <w:p>
            <w:pPr>
              <w:keepNext w:val="0"/>
              <w:keepLines w:val="0"/>
              <w:pageBreakBefore w:val="0"/>
              <w:widowControl/>
              <w:tabs>
                <w:tab w:val="left" w:pos="238"/>
              </w:tabs>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14"/>
                <w:position w:val="-1"/>
                <w:sz w:val="24"/>
                <w:szCs w:val="24"/>
                <w:vertAlign w:val="subscript"/>
              </w:rPr>
              <w:t>3</w:t>
            </w:r>
            <w:r>
              <w:rPr>
                <w:rFonts w:hint="default" w:ascii="Times New Roman" w:hAnsi="Times New Roman" w:eastAsia="宋体" w:cs="Times New Roman"/>
                <w:color w:val="auto"/>
                <w:spacing w:val="14"/>
                <w:sz w:val="24"/>
                <w:szCs w:val="24"/>
              </w:rPr>
              <w:t>：</w:t>
            </w:r>
            <w:r>
              <w:rPr>
                <w:rFonts w:hint="default" w:ascii="Times New Roman" w:hAnsi="Times New Roman" w:eastAsia="宋体" w:cs="Times New Roman"/>
                <w:color w:val="auto"/>
                <w:spacing w:val="12"/>
                <w:sz w:val="24"/>
                <w:szCs w:val="24"/>
              </w:rPr>
              <w:t>发</w:t>
            </w:r>
            <w:r>
              <w:rPr>
                <w:rFonts w:hint="default" w:ascii="Times New Roman" w:hAnsi="Times New Roman" w:eastAsia="宋体" w:cs="Times New Roman"/>
                <w:color w:val="auto"/>
                <w:spacing w:val="7"/>
                <w:sz w:val="24"/>
                <w:szCs w:val="24"/>
              </w:rPr>
              <w:t>生事故时可以转输到其他储存或处理设施的物料量，</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pacing w:val="7"/>
                <w:sz w:val="24"/>
                <w:szCs w:val="24"/>
              </w:rPr>
              <w:t>。</w:t>
            </w:r>
            <w:r>
              <w:rPr>
                <w:rFonts w:hint="eastAsia" w:cs="Times New Roman" w:eastAsiaTheme="minorEastAsia"/>
                <w:color w:val="auto"/>
                <w:kern w:val="0"/>
                <w:sz w:val="24"/>
                <w:szCs w:val="24"/>
                <w:lang w:val="en-US" w:eastAsia="zh-CN"/>
              </w:rPr>
              <w:t>危废暂存间为渭南高新区海泰新型电子材料有限责任公司危险废物收集与暂存项目，根据《渭南高新区海泰新型电子材料有限责任公司环境影响后评价》、《突发环境事件应急预案》（2021.5.26备案，见备案文件：6105002021011M），渭南高新区海泰新型电子材料有限责任公司共设置了2个事故池，一个500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，一个400m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，作为厂区污水处理站事故状态下的事故废水收集池。污水站现状污水量为220m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/d（设计规模为300m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/d），事故状态下按照2天考虑，则事故废水量为600m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，500＋400－600=300m</w:t>
            </w:r>
            <w:r>
              <w:rPr>
                <w:rFonts w:hint="eastAsia" w:cs="Times New Roman" w:eastAsiaTheme="minorEastAsia"/>
                <w:color w:val="auto"/>
                <w:kern w:val="0"/>
                <w:sz w:val="24"/>
                <w:szCs w:val="24"/>
                <w:vertAlign w:val="superscript"/>
                <w:lang w:val="en-US" w:eastAsia="zh-CN"/>
              </w:rPr>
              <w:t>3</w:t>
            </w:r>
            <w:r>
              <w:rPr>
                <w:rFonts w:hint="eastAsia" w:cs="Times New Roman"/>
                <w:color w:val="auto"/>
                <w:spacing w:val="7"/>
                <w:sz w:val="24"/>
                <w:szCs w:val="24"/>
                <w:lang w:eastAsia="zh-CN"/>
              </w:rPr>
              <w:t>，因此，事故池仍有</w:t>
            </w:r>
            <w:r>
              <w:rPr>
                <w:rFonts w:hint="eastAsia" w:cs="Times New Roman"/>
                <w:color w:val="auto"/>
                <w:spacing w:val="7"/>
                <w:sz w:val="24"/>
                <w:szCs w:val="24"/>
                <w:lang w:val="en-US" w:eastAsia="zh-CN"/>
              </w:rPr>
              <w:t>300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eastAsia="zh-CN"/>
              </w:rPr>
              <w:t>的有效容积。</w:t>
            </w:r>
            <w:r>
              <w:rPr>
                <w:rFonts w:hint="eastAsia" w:ascii="Times New Roman" w:hAnsi="Times New Roman" w:eastAsia="宋体" w:cs="Times New Roman"/>
                <w:color w:val="auto"/>
                <w:spacing w:val="-6"/>
                <w:sz w:val="24"/>
                <w:szCs w:val="24"/>
                <w:lang w:eastAsia="zh-CN"/>
              </w:rPr>
              <w:t>危废间</w:t>
            </w:r>
            <w:r>
              <w:rPr>
                <w:rFonts w:hint="default" w:ascii="Times New Roman" w:hAnsi="Times New Roman" w:eastAsia="宋体" w:cs="Times New Roman"/>
                <w:color w:val="auto"/>
                <w:spacing w:val="-6"/>
                <w:sz w:val="24"/>
                <w:szCs w:val="24"/>
              </w:rPr>
              <w:t>内设置有</w:t>
            </w:r>
            <w:r>
              <w:rPr>
                <w:rFonts w:hint="default" w:ascii="Times New Roman" w:hAnsi="Times New Roman" w:eastAsia="宋体" w:cs="Times New Roman"/>
                <w:color w:val="auto"/>
                <w:spacing w:val="-3"/>
                <w:sz w:val="24"/>
                <w:szCs w:val="24"/>
              </w:rPr>
              <w:t>导流沟，导流沟长度共计约</w:t>
            </w:r>
            <w:r>
              <w:rPr>
                <w:rFonts w:hint="eastAsia" w:ascii="Times New Roman" w:hAnsi="Times New Roman" w:eastAsia="宋体" w:cs="Times New Roman"/>
                <w:color w:val="auto"/>
                <w:spacing w:val="-3"/>
                <w:sz w:val="24"/>
                <w:szCs w:val="24"/>
                <w:lang w:val="en-US" w:eastAsia="zh-CN"/>
              </w:rPr>
              <w:t>5</w:t>
            </w:r>
            <w:r>
              <w:rPr>
                <w:rFonts w:hint="default" w:ascii="Times New Roman" w:hAnsi="Times New Roman" w:eastAsia="Times New Roman" w:cs="Times New Roman"/>
                <w:color w:val="auto"/>
                <w:spacing w:val="-3"/>
                <w:sz w:val="24"/>
                <w:szCs w:val="24"/>
              </w:rPr>
              <w:t>0m</w:t>
            </w:r>
            <w:r>
              <w:rPr>
                <w:rFonts w:hint="default" w:ascii="Times New Roman" w:hAnsi="Times New Roman" w:eastAsia="宋体" w:cs="Times New Roman"/>
                <w:color w:val="auto"/>
                <w:spacing w:val="-3"/>
                <w:sz w:val="24"/>
                <w:szCs w:val="24"/>
              </w:rPr>
              <w:t>，导流沟宽</w:t>
            </w:r>
            <w:r>
              <w:rPr>
                <w:rFonts w:hint="default" w:ascii="Times New Roman" w:hAnsi="Times New Roman" w:eastAsia="Times New Roman" w:cs="Times New Roman"/>
                <w:color w:val="auto"/>
                <w:spacing w:val="-3"/>
                <w:sz w:val="24"/>
                <w:szCs w:val="24"/>
              </w:rPr>
              <w:t>0.3m×</w:t>
            </w:r>
            <w:r>
              <w:rPr>
                <w:rFonts w:hint="default" w:ascii="Times New Roman" w:hAnsi="Times New Roman" w:eastAsia="宋体" w:cs="Times New Roman"/>
                <w:color w:val="auto"/>
                <w:spacing w:val="-3"/>
                <w:sz w:val="24"/>
                <w:szCs w:val="24"/>
              </w:rPr>
              <w:t>高</w:t>
            </w:r>
            <w:r>
              <w:rPr>
                <w:rFonts w:hint="default" w:ascii="Times New Roman" w:hAnsi="Times New Roman" w:eastAsia="Times New Roman" w:cs="Times New Roman"/>
                <w:color w:val="auto"/>
                <w:spacing w:val="-3"/>
                <w:sz w:val="24"/>
                <w:szCs w:val="24"/>
              </w:rPr>
              <w:t>0.3m</w:t>
            </w:r>
            <w:r>
              <w:rPr>
                <w:rFonts w:hint="default" w:ascii="Times New Roman" w:hAnsi="Times New Roman" w:eastAsia="宋体" w:cs="Times New Roman"/>
                <w:color w:val="auto"/>
                <w:spacing w:val="-3"/>
                <w:sz w:val="24"/>
                <w:szCs w:val="24"/>
              </w:rPr>
              <w:t>，</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pacing w:val="-1"/>
                <w:sz w:val="24"/>
                <w:szCs w:val="24"/>
              </w:rPr>
              <w:t>可收集的容积约</w:t>
            </w:r>
            <w:r>
              <w:rPr>
                <w:rFonts w:hint="eastAsia" w:ascii="Times New Roman" w:hAnsi="Times New Roman" w:eastAsia="宋体" w:cs="Times New Roman"/>
                <w:color w:val="auto"/>
                <w:spacing w:val="-1"/>
                <w:sz w:val="24"/>
                <w:szCs w:val="24"/>
                <w:lang w:val="en-US" w:eastAsia="zh-CN"/>
              </w:rPr>
              <w:t>30m</w:t>
            </w:r>
            <w:r>
              <w:rPr>
                <w:rFonts w:hint="eastAsia" w:ascii="Times New Roman" w:hAnsi="Times New Roman" w:eastAsia="宋体" w:cs="Times New Roman"/>
                <w:color w:val="auto"/>
                <w:spacing w:val="-1"/>
                <w:sz w:val="24"/>
                <w:szCs w:val="24"/>
                <w:vertAlign w:val="superscript"/>
                <w:lang w:val="en-US" w:eastAsia="zh-CN"/>
              </w:rPr>
              <w:t>3</w:t>
            </w:r>
            <w:r>
              <w:rPr>
                <w:rFonts w:hint="default" w:ascii="Times New Roman" w:hAnsi="Times New Roman" w:eastAsia="宋体" w:cs="Times New Roman"/>
                <w:color w:val="auto"/>
                <w:spacing w:val="-1"/>
                <w:sz w:val="24"/>
                <w:szCs w:val="24"/>
              </w:rPr>
              <w:t>。综上，本项目</w:t>
            </w: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1"/>
                <w:position w:val="-1"/>
                <w:sz w:val="24"/>
                <w:szCs w:val="24"/>
                <w:vertAlign w:val="subscript"/>
              </w:rPr>
              <w:t>3</w:t>
            </w:r>
            <w:r>
              <w:rPr>
                <w:rFonts w:hint="default" w:ascii="Times New Roman" w:hAnsi="Times New Roman" w:eastAsia="Times New Roman" w:cs="Times New Roman"/>
                <w:color w:val="auto"/>
                <w:spacing w:val="-1"/>
                <w:sz w:val="24"/>
                <w:szCs w:val="24"/>
              </w:rPr>
              <w:t>=</w:t>
            </w:r>
            <w:r>
              <w:rPr>
                <w:rFonts w:hint="eastAsia" w:cs="Times New Roman"/>
                <w:color w:val="auto"/>
                <w:spacing w:val="-1"/>
                <w:sz w:val="24"/>
                <w:szCs w:val="24"/>
                <w:lang w:val="en-US" w:eastAsia="zh-CN"/>
              </w:rPr>
              <w:t>30</w:t>
            </w:r>
            <w:r>
              <w:rPr>
                <w:rFonts w:hint="eastAsia" w:ascii="Times New Roman" w:hAnsi="Times New Roman" w:eastAsia="宋体" w:cs="Times New Roman"/>
                <w:color w:val="auto"/>
                <w:spacing w:val="-1"/>
                <w:sz w:val="24"/>
                <w:szCs w:val="24"/>
                <w:lang w:val="en-US" w:eastAsia="zh-CN"/>
              </w:rPr>
              <w:t>0</w:t>
            </w:r>
            <w:r>
              <w:rPr>
                <w:rFonts w:hint="default" w:ascii="Times New Roman" w:hAnsi="Times New Roman" w:eastAsia="Times New Roman" w:cs="Times New Roman"/>
                <w:color w:val="auto"/>
                <w:spacing w:val="2"/>
                <w:sz w:val="24"/>
                <w:szCs w:val="24"/>
                <w:highlight w:val="none"/>
              </w:rPr>
              <w:t>＋</w:t>
            </w:r>
            <w:r>
              <w:rPr>
                <w:rFonts w:hint="eastAsia" w:ascii="Times New Roman" w:hAnsi="Times New Roman" w:eastAsia="宋体" w:cs="Times New Roman"/>
                <w:color w:val="auto"/>
                <w:spacing w:val="-1"/>
                <w:sz w:val="24"/>
                <w:szCs w:val="24"/>
                <w:lang w:val="en-US" w:eastAsia="zh-CN"/>
              </w:rPr>
              <w:t>30</w:t>
            </w:r>
            <w:r>
              <w:rPr>
                <w:rFonts w:hint="default" w:ascii="Times New Roman" w:hAnsi="Times New Roman" w:eastAsia="Times New Roman" w:cs="Times New Roman"/>
                <w:color w:val="auto"/>
                <w:sz w:val="24"/>
                <w:szCs w:val="24"/>
              </w:rPr>
              <w:t>=</w:t>
            </w:r>
            <w:r>
              <w:rPr>
                <w:rFonts w:hint="eastAsia" w:cs="Times New Roman"/>
                <w:color w:val="auto"/>
                <w:sz w:val="24"/>
                <w:szCs w:val="24"/>
                <w:lang w:val="en-US" w:eastAsia="zh-CN"/>
              </w:rPr>
              <w:t>330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16"/>
                <w:position w:val="-1"/>
                <w:sz w:val="24"/>
                <w:szCs w:val="24"/>
                <w:vertAlign w:val="subscript"/>
              </w:rPr>
              <w:t>4</w:t>
            </w:r>
            <w:r>
              <w:rPr>
                <w:rFonts w:hint="eastAsia" w:ascii="Times New Roman" w:hAnsi="Times New Roman" w:eastAsia="宋体" w:cs="Times New Roman"/>
                <w:color w:val="auto"/>
                <w:spacing w:val="16"/>
                <w:sz w:val="24"/>
                <w:szCs w:val="24"/>
                <w:lang w:val="en-US" w:eastAsia="zh-CN"/>
              </w:rPr>
              <w:t>-</w:t>
            </w:r>
            <w:r>
              <w:rPr>
                <w:rFonts w:hint="default" w:ascii="Times New Roman" w:hAnsi="Times New Roman" w:eastAsia="宋体" w:cs="Times New Roman"/>
                <w:color w:val="auto"/>
                <w:spacing w:val="8"/>
                <w:sz w:val="24"/>
                <w:szCs w:val="24"/>
              </w:rPr>
              <w:t>发生事故时仍必须进入该收集系统的生产废水量，</w:t>
            </w:r>
            <w:r>
              <w:rPr>
                <w:rFonts w:hint="eastAsia" w:ascii="Times New Roman" w:hAnsi="Times New Roman" w:eastAsia="宋体" w:cs="Times New Roman"/>
                <w:color w:val="auto"/>
                <w:spacing w:val="8"/>
                <w:sz w:val="24"/>
                <w:szCs w:val="24"/>
                <w:lang w:val="en-US" w:eastAsia="zh-CN"/>
              </w:rPr>
              <w:t>m</w:t>
            </w:r>
            <w:r>
              <w:rPr>
                <w:rFonts w:hint="eastAsia" w:ascii="Times New Roman" w:hAnsi="Times New Roman" w:eastAsia="宋体" w:cs="Times New Roman"/>
                <w:color w:val="auto"/>
                <w:spacing w:val="8"/>
                <w:sz w:val="24"/>
                <w:szCs w:val="24"/>
                <w:vertAlign w:val="superscript"/>
                <w:lang w:val="en-US" w:eastAsia="zh-CN"/>
              </w:rPr>
              <w:t>3</w:t>
            </w:r>
            <w:r>
              <w:rPr>
                <w:rFonts w:hint="default" w:ascii="Times New Roman" w:hAnsi="Times New Roman" w:eastAsia="宋体" w:cs="Times New Roman"/>
                <w:color w:val="auto"/>
                <w:spacing w:val="8"/>
                <w:sz w:val="24"/>
                <w:szCs w:val="24"/>
              </w:rPr>
              <w:t>。本项目为危险废物</w:t>
            </w:r>
            <w:r>
              <w:rPr>
                <w:rFonts w:hint="default" w:ascii="Times New Roman" w:hAnsi="Times New Roman" w:eastAsia="宋体" w:cs="Times New Roman"/>
                <w:color w:val="auto"/>
                <w:spacing w:val="5"/>
                <w:sz w:val="24"/>
                <w:szCs w:val="24"/>
              </w:rPr>
              <w:t>暂存项目，不涉及生产废水。即</w:t>
            </w: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5"/>
                <w:position w:val="-1"/>
                <w:sz w:val="24"/>
                <w:szCs w:val="24"/>
              </w:rPr>
              <w:t>4</w:t>
            </w:r>
            <w:r>
              <w:rPr>
                <w:rFonts w:hint="default" w:ascii="Times New Roman" w:hAnsi="Times New Roman" w:eastAsia="Times New Roman" w:cs="Times New Roman"/>
                <w:color w:val="auto"/>
                <w:spacing w:val="5"/>
                <w:sz w:val="24"/>
                <w:szCs w:val="24"/>
              </w:rPr>
              <w:t>=0</w:t>
            </w:r>
            <w:r>
              <w:rPr>
                <w:rFonts w:hint="default" w:ascii="Times New Roman" w:hAnsi="Times New Roman" w:eastAsia="宋体" w:cs="Times New Roman"/>
                <w:color w:val="auto"/>
                <w:spacing w:val="5"/>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13"/>
                <w:position w:val="-1"/>
                <w:sz w:val="24"/>
                <w:szCs w:val="24"/>
                <w:vertAlign w:val="subscript"/>
              </w:rPr>
              <w:t>5</w:t>
            </w:r>
            <w:r>
              <w:rPr>
                <w:rFonts w:hint="default" w:ascii="Times New Roman" w:hAnsi="Times New Roman" w:eastAsia="宋体" w:cs="Times New Roman"/>
                <w:color w:val="auto"/>
                <w:spacing w:val="7"/>
                <w:sz w:val="24"/>
                <w:szCs w:val="24"/>
              </w:rPr>
              <w:t>：发生事故时可能进入该系统的降雨量，</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pacing w:val="7"/>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7"/>
                <w:position w:val="1"/>
                <w:sz w:val="24"/>
                <w:szCs w:val="24"/>
              </w:rPr>
              <w:t>本项目为</w:t>
            </w:r>
            <w:r>
              <w:rPr>
                <w:rFonts w:hint="eastAsia" w:ascii="Times New Roman" w:hAnsi="Times New Roman" w:eastAsia="宋体" w:cs="Times New Roman"/>
                <w:color w:val="auto"/>
                <w:spacing w:val="7"/>
                <w:position w:val="1"/>
                <w:sz w:val="24"/>
                <w:szCs w:val="24"/>
                <w:lang w:eastAsia="zh-CN"/>
              </w:rPr>
              <w:t>单独的危废暂存间</w:t>
            </w:r>
            <w:r>
              <w:rPr>
                <w:rFonts w:hint="default" w:ascii="Times New Roman" w:hAnsi="Times New Roman" w:eastAsia="宋体" w:cs="Times New Roman"/>
                <w:color w:val="auto"/>
                <w:spacing w:val="7"/>
                <w:position w:val="1"/>
                <w:sz w:val="24"/>
                <w:szCs w:val="24"/>
              </w:rPr>
              <w:t>，</w:t>
            </w:r>
            <w:r>
              <w:rPr>
                <w:rFonts w:hint="eastAsia" w:ascii="Times New Roman" w:hAnsi="Times New Roman" w:eastAsia="宋体" w:cs="Times New Roman"/>
                <w:color w:val="auto"/>
                <w:spacing w:val="7"/>
                <w:position w:val="1"/>
                <w:sz w:val="24"/>
                <w:szCs w:val="24"/>
                <w:lang w:eastAsia="zh-CN"/>
              </w:rPr>
              <w:t>密闭建筑</w:t>
            </w:r>
            <w:r>
              <w:rPr>
                <w:rFonts w:hint="default" w:ascii="Times New Roman" w:hAnsi="Times New Roman" w:eastAsia="宋体" w:cs="Times New Roman"/>
                <w:color w:val="auto"/>
                <w:spacing w:val="7"/>
                <w:position w:val="1"/>
                <w:sz w:val="24"/>
                <w:szCs w:val="24"/>
              </w:rPr>
              <w:t>，无露天部分，故</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7"/>
                <w:sz w:val="24"/>
                <w:szCs w:val="24"/>
                <w:vertAlign w:val="subscript"/>
              </w:rPr>
              <w:t>5</w:t>
            </w:r>
            <w:r>
              <w:rPr>
                <w:rFonts w:hint="default" w:ascii="Times New Roman" w:hAnsi="Times New Roman" w:eastAsia="Times New Roman" w:cs="Times New Roman"/>
                <w:color w:val="auto"/>
                <w:spacing w:val="7"/>
                <w:position w:val="1"/>
                <w:sz w:val="24"/>
                <w:szCs w:val="24"/>
              </w:rPr>
              <w:t>=0</w:t>
            </w:r>
            <w:r>
              <w:rPr>
                <w:rFonts w:hint="eastAsia" w:ascii="Times New Roman" w:hAnsi="Times New Roman" w:eastAsia="宋体" w:cs="Times New Roman"/>
                <w:color w:val="auto"/>
                <w:position w:val="1"/>
                <w:sz w:val="24"/>
                <w:szCs w:val="24"/>
                <w:lang w:val="en-US" w:eastAsia="zh-CN"/>
              </w:rPr>
              <w:t>m</w:t>
            </w:r>
            <w:r>
              <w:rPr>
                <w:rFonts w:hint="eastAsia" w:ascii="Times New Roman" w:hAnsi="Times New Roman" w:eastAsia="宋体" w:cs="Times New Roman"/>
                <w:color w:val="auto"/>
                <w:position w:val="1"/>
                <w:sz w:val="24"/>
                <w:szCs w:val="24"/>
                <w:vertAlign w:val="superscript"/>
                <w:lang w:val="en-US" w:eastAsia="zh-CN"/>
              </w:rPr>
              <w:t>3</w:t>
            </w:r>
            <w:r>
              <w:rPr>
                <w:rFonts w:hint="default" w:ascii="Times New Roman" w:hAnsi="Times New Roman" w:eastAsia="宋体" w:cs="Times New Roman"/>
                <w:color w:val="auto"/>
                <w:spacing w:val="4"/>
                <w:position w:val="1"/>
                <w:sz w:val="24"/>
                <w:szCs w:val="24"/>
              </w:rPr>
              <w:t>。</w:t>
            </w:r>
          </w:p>
          <w:p>
            <w:pPr>
              <w:autoSpaceDE w:val="0"/>
              <w:autoSpaceDN w:val="0"/>
              <w:spacing w:line="360" w:lineRule="auto"/>
              <w:ind w:firstLine="496" w:firstLineChars="200"/>
              <w:jc w:val="left"/>
              <w:rPr>
                <w:rFonts w:hint="default" w:ascii="Times New Roman" w:hAnsi="Times New Roman" w:eastAsia="宋体" w:cs="Times New Roman"/>
                <w:color w:val="auto"/>
                <w:spacing w:val="11"/>
                <w:sz w:val="24"/>
                <w:szCs w:val="24"/>
                <w:highlight w:val="none"/>
              </w:rPr>
            </w:pPr>
            <w:r>
              <w:rPr>
                <w:rFonts w:hint="default" w:ascii="Times New Roman" w:hAnsi="Times New Roman" w:eastAsia="宋体" w:cs="Times New Roman"/>
                <w:color w:val="auto"/>
                <w:spacing w:val="4"/>
                <w:sz w:val="24"/>
                <w:szCs w:val="24"/>
                <w:highlight w:val="none"/>
              </w:rPr>
              <w:t>根据以上计算结果，</w:t>
            </w:r>
            <w:r>
              <w:rPr>
                <w:rFonts w:hint="default" w:ascii="Times New Roman" w:hAnsi="Times New Roman" w:eastAsia="Times New Roman" w:cs="Times New Roman"/>
                <w:color w:val="auto"/>
                <w:sz w:val="24"/>
                <w:szCs w:val="24"/>
                <w:highlight w:val="none"/>
              </w:rPr>
              <w:t>V</w:t>
            </w:r>
            <w:r>
              <w:rPr>
                <w:rFonts w:hint="default" w:ascii="Times New Roman" w:hAnsi="Times New Roman" w:eastAsia="宋体" w:cs="Times New Roman"/>
                <w:color w:val="auto"/>
                <w:spacing w:val="4"/>
                <w:position w:val="-3"/>
                <w:sz w:val="24"/>
                <w:szCs w:val="24"/>
                <w:highlight w:val="none"/>
                <w:vertAlign w:val="subscript"/>
              </w:rPr>
              <w:t>总</w:t>
            </w:r>
            <w:r>
              <w:rPr>
                <w:rFonts w:hint="default" w:ascii="Times New Roman" w:hAnsi="Times New Roman" w:eastAsia="Times New Roman" w:cs="Times New Roman"/>
                <w:color w:val="auto"/>
                <w:spacing w:val="4"/>
                <w:sz w:val="24"/>
                <w:szCs w:val="24"/>
                <w:highlight w:val="none"/>
              </w:rPr>
              <w:t>=</w:t>
            </w:r>
            <w:r>
              <w:rPr>
                <w:rFonts w:hint="eastAsia" w:ascii="Times New Roman" w:hAnsi="Times New Roman" w:eastAsia="宋体" w:cs="Times New Roman"/>
                <w:color w:val="auto"/>
                <w:spacing w:val="4"/>
                <w:sz w:val="24"/>
                <w:szCs w:val="24"/>
                <w:highlight w:val="none"/>
                <w:lang w:eastAsia="zh-CN"/>
              </w:rPr>
              <w:t>（</w:t>
            </w:r>
            <w:r>
              <w:rPr>
                <w:rFonts w:hint="eastAsia" w:cs="Times New Roman"/>
                <w:color w:val="auto"/>
                <w:spacing w:val="4"/>
                <w:sz w:val="24"/>
                <w:szCs w:val="24"/>
                <w:highlight w:val="none"/>
                <w:lang w:val="en-US" w:eastAsia="zh-CN"/>
              </w:rPr>
              <w:t>3</w:t>
            </w:r>
            <w:r>
              <w:rPr>
                <w:rFonts w:hint="eastAsia" w:ascii="Times New Roman" w:hAnsi="Times New Roman" w:eastAsia="宋体" w:cs="Times New Roman"/>
                <w:color w:val="auto"/>
                <w:spacing w:val="4"/>
                <w:sz w:val="24"/>
                <w:szCs w:val="24"/>
                <w:highlight w:val="none"/>
                <w:lang w:val="en-US" w:eastAsia="zh-CN"/>
              </w:rPr>
              <w:t>0</w:t>
            </w:r>
            <w:r>
              <w:rPr>
                <w:rFonts w:hint="default" w:ascii="Times New Roman" w:hAnsi="Times New Roman" w:eastAsia="Times New Roman" w:cs="Times New Roman"/>
                <w:color w:val="auto"/>
                <w:spacing w:val="2"/>
                <w:sz w:val="24"/>
                <w:szCs w:val="24"/>
                <w:highlight w:val="none"/>
              </w:rPr>
              <w:t>＋162－</w:t>
            </w:r>
            <w:r>
              <w:rPr>
                <w:rFonts w:hint="eastAsia" w:cs="Times New Roman"/>
                <w:color w:val="auto"/>
                <w:spacing w:val="2"/>
                <w:sz w:val="24"/>
                <w:szCs w:val="24"/>
                <w:highlight w:val="none"/>
                <w:lang w:val="en-US" w:eastAsia="zh-CN"/>
              </w:rPr>
              <w:t>33</w:t>
            </w:r>
            <w:r>
              <w:rPr>
                <w:rFonts w:hint="eastAsia" w:ascii="Times New Roman" w:hAnsi="Times New Roman" w:eastAsia="宋体" w:cs="Times New Roman"/>
                <w:color w:val="auto"/>
                <w:spacing w:val="2"/>
                <w:sz w:val="24"/>
                <w:szCs w:val="24"/>
                <w:highlight w:val="none"/>
                <w:lang w:val="en-US" w:eastAsia="zh-CN"/>
              </w:rPr>
              <w:t>0</w:t>
            </w:r>
            <w:r>
              <w:rPr>
                <w:rFonts w:hint="eastAsia" w:ascii="Times New Roman" w:hAnsi="Times New Roman" w:eastAsia="宋体" w:cs="Times New Roman"/>
                <w:color w:val="auto"/>
                <w:spacing w:val="4"/>
                <w:sz w:val="24"/>
                <w:szCs w:val="24"/>
                <w:highlight w:val="none"/>
                <w:lang w:eastAsia="zh-CN"/>
              </w:rPr>
              <w:t>）</w:t>
            </w:r>
            <w:r>
              <w:rPr>
                <w:rFonts w:hint="default" w:ascii="Times New Roman" w:hAnsi="Times New Roman" w:eastAsia="Times New Roman" w:cs="Times New Roman"/>
                <w:color w:val="auto"/>
                <w:sz w:val="24"/>
                <w:szCs w:val="24"/>
                <w:highlight w:val="none"/>
                <w:vertAlign w:val="subscript"/>
              </w:rPr>
              <w:t>max</w:t>
            </w:r>
            <w:r>
              <w:rPr>
                <w:rFonts w:hint="default" w:ascii="Times New Roman" w:hAnsi="Times New Roman" w:eastAsia="Times New Roman" w:cs="Times New Roman"/>
                <w:color w:val="auto"/>
                <w:spacing w:val="2"/>
                <w:sz w:val="24"/>
                <w:szCs w:val="24"/>
                <w:highlight w:val="none"/>
              </w:rPr>
              <w:t>＋0＋0=</w:t>
            </w:r>
            <w:r>
              <w:rPr>
                <w:rFonts w:hint="eastAsia" w:cs="Times New Roman"/>
                <w:color w:val="auto"/>
                <w:spacing w:val="2"/>
                <w:sz w:val="24"/>
                <w:szCs w:val="24"/>
                <w:highlight w:val="none"/>
                <w:lang w:val="en-US" w:eastAsia="zh-CN"/>
              </w:rPr>
              <w:t>－138</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，即本项目</w:t>
            </w:r>
            <w:r>
              <w:rPr>
                <w:rFonts w:hint="eastAsia" w:cs="Times New Roman"/>
                <w:color w:val="auto"/>
                <w:spacing w:val="2"/>
                <w:sz w:val="24"/>
                <w:szCs w:val="24"/>
                <w:highlight w:val="none"/>
                <w:lang w:eastAsia="zh-CN"/>
              </w:rPr>
              <w:t>无需新增</w:t>
            </w:r>
            <w:r>
              <w:rPr>
                <w:rFonts w:hint="default" w:ascii="Times New Roman" w:hAnsi="Times New Roman" w:eastAsia="宋体" w:cs="Times New Roman"/>
                <w:color w:val="auto"/>
                <w:spacing w:val="5"/>
                <w:sz w:val="24"/>
                <w:szCs w:val="24"/>
                <w:highlight w:val="none"/>
              </w:rPr>
              <w:t>事故应急池</w:t>
            </w:r>
            <w:r>
              <w:rPr>
                <w:rFonts w:hint="eastAsia" w:ascii="Times New Roman" w:hAnsi="Times New Roman" w:eastAsia="宋体" w:cs="Times New Roman"/>
                <w:color w:val="auto"/>
                <w:spacing w:val="5"/>
                <w:sz w:val="24"/>
                <w:szCs w:val="24"/>
                <w:highlight w:val="none"/>
                <w:lang w:eastAsia="zh-CN"/>
              </w:rPr>
              <w:t>。</w:t>
            </w:r>
            <w:r>
              <w:rPr>
                <w:rFonts w:hint="eastAsia" w:cs="Times New Roman"/>
                <w:color w:val="auto"/>
                <w:spacing w:val="5"/>
                <w:sz w:val="24"/>
                <w:szCs w:val="24"/>
                <w:highlight w:val="none"/>
                <w:lang w:eastAsia="zh-CN"/>
              </w:rPr>
              <w:t>本次危废暂存间事故状态下可直接依托</w:t>
            </w:r>
            <w:r>
              <w:rPr>
                <w:rFonts w:hint="eastAsia" w:cs="Times New Roman" w:eastAsiaTheme="minorEastAsia"/>
                <w:color w:val="auto"/>
                <w:kern w:val="0"/>
                <w:sz w:val="24"/>
                <w:szCs w:val="24"/>
                <w:lang w:val="en-US" w:eastAsia="zh-CN"/>
              </w:rPr>
              <w:t>渭南高新区海泰新型电子材料有限责任公司现有事故池，</w:t>
            </w:r>
            <w:r>
              <w:rPr>
                <w:rFonts w:hint="eastAsia" w:cs="Times New Roman"/>
                <w:color w:val="auto"/>
                <w:spacing w:val="5"/>
                <w:sz w:val="24"/>
                <w:szCs w:val="24"/>
                <w:highlight w:val="none"/>
                <w:lang w:eastAsia="zh-CN"/>
              </w:rPr>
              <w:t>危废暂存间和污水站同时事故状态下，</w:t>
            </w:r>
            <w:r>
              <w:rPr>
                <w:rFonts w:hint="eastAsia" w:ascii="Times New Roman" w:hAnsi="Times New Roman" w:eastAsia="宋体" w:cs="Times New Roman"/>
                <w:color w:val="auto"/>
                <w:spacing w:val="5"/>
                <w:sz w:val="24"/>
                <w:szCs w:val="24"/>
                <w:highlight w:val="none"/>
                <w:lang w:eastAsia="zh-CN"/>
              </w:rPr>
              <w:t>事故池</w:t>
            </w:r>
            <w:r>
              <w:rPr>
                <w:rFonts w:hint="eastAsia" w:cs="Times New Roman"/>
                <w:color w:val="auto"/>
                <w:spacing w:val="5"/>
                <w:sz w:val="24"/>
                <w:szCs w:val="24"/>
                <w:highlight w:val="none"/>
                <w:lang w:eastAsia="zh-CN"/>
              </w:rPr>
              <w:t>仍然有</w:t>
            </w:r>
            <w:r>
              <w:rPr>
                <w:rFonts w:hint="eastAsia" w:cs="Times New Roman"/>
                <w:color w:val="auto"/>
                <w:spacing w:val="5"/>
                <w:sz w:val="24"/>
                <w:szCs w:val="24"/>
                <w:highlight w:val="none"/>
                <w:lang w:val="en-US" w:eastAsia="zh-CN"/>
              </w:rPr>
              <w:t>138</w:t>
            </w:r>
            <w:r>
              <w:rPr>
                <w:rFonts w:hint="eastAsia" w:ascii="Times New Roman" w:hAnsi="Times New Roman" w:eastAsia="宋体" w:cs="Times New Roman"/>
                <w:color w:val="auto"/>
                <w:spacing w:val="5"/>
                <w:sz w:val="24"/>
                <w:szCs w:val="24"/>
                <w:highlight w:val="none"/>
                <w:lang w:val="en-US" w:eastAsia="zh-CN"/>
              </w:rPr>
              <w:t>m</w:t>
            </w:r>
            <w:r>
              <w:rPr>
                <w:rFonts w:hint="eastAsia" w:ascii="Times New Roman" w:hAnsi="Times New Roman" w:eastAsia="宋体" w:cs="Times New Roman"/>
                <w:color w:val="auto"/>
                <w:spacing w:val="5"/>
                <w:sz w:val="24"/>
                <w:szCs w:val="24"/>
                <w:highlight w:val="none"/>
                <w:vertAlign w:val="superscript"/>
                <w:lang w:val="en-US" w:eastAsia="zh-CN"/>
              </w:rPr>
              <w:t>3</w:t>
            </w:r>
            <w:r>
              <w:rPr>
                <w:rFonts w:hint="eastAsia" w:cs="Times New Roman"/>
                <w:color w:val="auto"/>
                <w:spacing w:val="11"/>
                <w:sz w:val="24"/>
                <w:szCs w:val="24"/>
                <w:highlight w:val="none"/>
                <w:lang w:eastAsia="zh-CN"/>
              </w:rPr>
              <w:t>的有效容积，</w:t>
            </w:r>
            <w:r>
              <w:rPr>
                <w:rFonts w:hint="default" w:ascii="Times New Roman" w:hAnsi="Times New Roman" w:eastAsia="宋体" w:cs="Times New Roman"/>
                <w:color w:val="auto"/>
                <w:spacing w:val="11"/>
                <w:sz w:val="24"/>
                <w:szCs w:val="24"/>
                <w:highlight w:val="none"/>
              </w:rPr>
              <w:t>可满足要求。</w:t>
            </w:r>
          </w:p>
          <w:p>
            <w:pPr>
              <w:autoSpaceDE w:val="0"/>
              <w:autoSpaceDN w:val="0"/>
              <w:spacing w:line="360" w:lineRule="auto"/>
              <w:ind w:firstLine="524" w:firstLineChars="200"/>
              <w:jc w:val="left"/>
              <w:rPr>
                <w:rFonts w:hint="eastAsia"/>
                <w:b w:val="0"/>
                <w:bCs w:val="0"/>
                <w:color w:val="auto"/>
                <w:kern w:val="0"/>
                <w:sz w:val="24"/>
                <w:szCs w:val="24"/>
                <w:lang w:eastAsia="zh-CN"/>
              </w:rPr>
            </w:pPr>
            <w:r>
              <w:rPr>
                <w:rFonts w:hint="default" w:ascii="Times New Roman" w:hAnsi="Times New Roman" w:eastAsia="宋体" w:cs="Times New Roman"/>
                <w:color w:val="auto"/>
                <w:spacing w:val="11"/>
                <w:sz w:val="24"/>
                <w:szCs w:val="24"/>
              </w:rPr>
              <w:t>当项目内部发生泄漏和火灾情况下，</w:t>
            </w:r>
            <w:r>
              <w:rPr>
                <w:rFonts w:hint="eastAsia" w:cs="Times New Roman"/>
                <w:color w:val="auto"/>
                <w:spacing w:val="16"/>
                <w:sz w:val="24"/>
                <w:szCs w:val="24"/>
                <w:lang w:eastAsia="zh-CN"/>
              </w:rPr>
              <w:t>泄漏</w:t>
            </w:r>
            <w:r>
              <w:rPr>
                <w:rFonts w:hint="default" w:ascii="Times New Roman" w:hAnsi="Times New Roman" w:eastAsia="宋体" w:cs="Times New Roman"/>
                <w:color w:val="auto"/>
                <w:spacing w:val="11"/>
                <w:sz w:val="24"/>
                <w:szCs w:val="24"/>
              </w:rPr>
              <w:t>液和消防废水优先截留于</w:t>
            </w:r>
            <w:r>
              <w:rPr>
                <w:rFonts w:hint="eastAsia" w:cs="Times New Roman"/>
                <w:color w:val="auto"/>
                <w:spacing w:val="11"/>
                <w:sz w:val="24"/>
                <w:szCs w:val="24"/>
                <w:lang w:eastAsia="zh-CN"/>
              </w:rPr>
              <w:t>危废暂存间（贮存库）</w:t>
            </w:r>
            <w:r>
              <w:rPr>
                <w:rFonts w:hint="default" w:ascii="Times New Roman" w:hAnsi="Times New Roman" w:eastAsia="宋体" w:cs="Times New Roman"/>
                <w:color w:val="auto"/>
                <w:spacing w:val="11"/>
                <w:sz w:val="24"/>
                <w:szCs w:val="24"/>
              </w:rPr>
              <w:t>内，当截留设施容积未能满足其产生量时，</w:t>
            </w:r>
            <w:r>
              <w:rPr>
                <w:rFonts w:hint="default" w:ascii="Times New Roman" w:hAnsi="Times New Roman" w:eastAsia="宋体" w:cs="Times New Roman"/>
                <w:color w:val="auto"/>
                <w:spacing w:val="11"/>
                <w:sz w:val="24"/>
                <w:szCs w:val="24"/>
                <w:lang w:val="en-US" w:eastAsia="zh-CN"/>
              </w:rPr>
              <w:t>将泄漏液和消防废水自流至应急事故池，待事故结束后，将事故废水按照环保要求合理合规处置。</w:t>
            </w:r>
            <w:r>
              <w:rPr>
                <w:rFonts w:hint="default" w:ascii="Times New Roman" w:hAnsi="Times New Roman" w:eastAsia="宋体" w:cs="Times New Roman"/>
                <w:color w:val="auto"/>
                <w:spacing w:val="9"/>
                <w:sz w:val="24"/>
                <w:szCs w:val="24"/>
              </w:rPr>
              <w:t>另外，导流沟、收集井及应急池等应做防渗防漏处理。</w:t>
            </w:r>
          </w:p>
          <w:p>
            <w:pPr>
              <w:autoSpaceDE w:val="0"/>
              <w:autoSpaceDN w:val="0"/>
              <w:spacing w:line="360" w:lineRule="auto"/>
              <w:ind w:firstLine="482" w:firstLineChars="200"/>
              <w:jc w:val="left"/>
              <w:rPr>
                <w:rFonts w:hint="eastAsia"/>
                <w:b/>
                <w:bCs/>
                <w:color w:val="auto"/>
                <w:kern w:val="0"/>
                <w:sz w:val="24"/>
                <w:szCs w:val="24"/>
              </w:rPr>
            </w:pPr>
            <w:r>
              <w:rPr>
                <w:rFonts w:hint="eastAsia"/>
                <w:b/>
                <w:bCs/>
                <w:color w:val="auto"/>
                <w:kern w:val="0"/>
                <w:sz w:val="24"/>
                <w:szCs w:val="24"/>
                <w:lang w:eastAsia="zh-CN"/>
              </w:rPr>
              <w:t>（</w:t>
            </w:r>
            <w:r>
              <w:rPr>
                <w:rFonts w:hint="eastAsia"/>
                <w:b/>
                <w:bCs/>
                <w:color w:val="auto"/>
                <w:kern w:val="0"/>
                <w:sz w:val="24"/>
                <w:szCs w:val="24"/>
                <w:lang w:val="en-US" w:eastAsia="zh-CN"/>
              </w:rPr>
              <w:t>6</w:t>
            </w:r>
            <w:r>
              <w:rPr>
                <w:rFonts w:hint="eastAsia"/>
                <w:b/>
                <w:bCs/>
                <w:color w:val="auto"/>
                <w:kern w:val="0"/>
                <w:sz w:val="24"/>
                <w:szCs w:val="24"/>
                <w:lang w:eastAsia="zh-CN"/>
              </w:rPr>
              <w:t>）</w:t>
            </w:r>
            <w:r>
              <w:rPr>
                <w:rFonts w:hint="eastAsia"/>
                <w:b/>
                <w:bCs/>
                <w:color w:val="auto"/>
                <w:kern w:val="0"/>
                <w:sz w:val="24"/>
                <w:szCs w:val="24"/>
              </w:rPr>
              <w:t>事故应急预案</w:t>
            </w:r>
          </w:p>
          <w:p>
            <w:pPr>
              <w:autoSpaceDE w:val="0"/>
              <w:autoSpaceDN w:val="0"/>
              <w:spacing w:line="360" w:lineRule="auto"/>
              <w:ind w:firstLine="480" w:firstLineChars="200"/>
              <w:jc w:val="left"/>
              <w:rPr>
                <w:rFonts w:hint="eastAsia"/>
                <w:color w:val="auto"/>
                <w:kern w:val="0"/>
                <w:sz w:val="24"/>
                <w:szCs w:val="24"/>
              </w:rPr>
            </w:pPr>
            <w:r>
              <w:rPr>
                <w:rFonts w:hint="eastAsia"/>
                <w:color w:val="auto"/>
                <w:sz w:val="24"/>
                <w:szCs w:val="24"/>
              </w:rPr>
              <w:t>危废</w:t>
            </w:r>
            <w:r>
              <w:rPr>
                <w:rFonts w:hint="eastAsia"/>
                <w:color w:val="auto"/>
                <w:sz w:val="24"/>
                <w:szCs w:val="24"/>
                <w:lang w:val="en-US" w:eastAsia="zh-CN"/>
              </w:rPr>
              <w:t>贮存</w:t>
            </w:r>
            <w:r>
              <w:rPr>
                <w:rFonts w:hint="eastAsia"/>
                <w:color w:val="auto"/>
                <w:sz w:val="24"/>
                <w:szCs w:val="24"/>
              </w:rPr>
              <w:t>过程中有</w:t>
            </w:r>
            <w:r>
              <w:rPr>
                <w:rFonts w:hint="eastAsia"/>
                <w:color w:val="auto"/>
                <w:sz w:val="24"/>
                <w:szCs w:val="24"/>
                <w:lang w:eastAsia="zh-CN"/>
              </w:rPr>
              <w:t>泄漏</w:t>
            </w:r>
            <w:r>
              <w:rPr>
                <w:rFonts w:hint="eastAsia"/>
                <w:color w:val="auto"/>
                <w:sz w:val="24"/>
                <w:szCs w:val="24"/>
              </w:rPr>
              <w:t>的风险，需加强管理，定期查看有无泄漏或遗撒情况。新增风险纳入到现有突发环境事件应急体系，</w:t>
            </w:r>
            <w:r>
              <w:rPr>
                <w:rFonts w:hint="eastAsia"/>
                <w:color w:val="auto"/>
                <w:sz w:val="24"/>
                <w:szCs w:val="24"/>
                <w:lang w:eastAsia="zh-CN"/>
              </w:rPr>
              <w:t>编制突发环境事件应急预案，</w:t>
            </w:r>
            <w:r>
              <w:rPr>
                <w:rFonts w:hint="eastAsia"/>
                <w:color w:val="auto"/>
                <w:sz w:val="24"/>
                <w:szCs w:val="24"/>
              </w:rPr>
              <w:t>同时按照相关要求，及时对突发环境事件应急预案进行修订。</w:t>
            </w:r>
          </w:p>
          <w:p>
            <w:pPr>
              <w:autoSpaceDE w:val="0"/>
              <w:autoSpaceDN w:val="0"/>
              <w:spacing w:line="360" w:lineRule="auto"/>
              <w:ind w:firstLine="482" w:firstLineChars="200"/>
              <w:jc w:val="left"/>
              <w:rPr>
                <w:rFonts w:hint="eastAsia" w:eastAsia="宋体"/>
                <w:b/>
                <w:bCs/>
                <w:color w:val="auto"/>
                <w:kern w:val="0"/>
                <w:sz w:val="24"/>
                <w:szCs w:val="24"/>
                <w:lang w:eastAsia="zh-CN"/>
              </w:rPr>
            </w:pPr>
            <w:r>
              <w:rPr>
                <w:rFonts w:hint="eastAsia" w:eastAsia="宋体"/>
                <w:b/>
                <w:bCs/>
                <w:color w:val="auto"/>
                <w:kern w:val="0"/>
                <w:sz w:val="24"/>
                <w:szCs w:val="24"/>
                <w:lang w:eastAsia="zh-CN"/>
              </w:rPr>
              <w:t>（</w:t>
            </w:r>
            <w:r>
              <w:rPr>
                <w:rFonts w:hint="eastAsia"/>
                <w:b/>
                <w:bCs/>
                <w:color w:val="auto"/>
                <w:kern w:val="0"/>
                <w:sz w:val="24"/>
                <w:szCs w:val="24"/>
                <w:lang w:val="en-US" w:eastAsia="zh-CN"/>
              </w:rPr>
              <w:t>7</w:t>
            </w:r>
            <w:r>
              <w:rPr>
                <w:rFonts w:hint="eastAsia" w:eastAsia="宋体"/>
                <w:b/>
                <w:bCs/>
                <w:color w:val="auto"/>
                <w:kern w:val="0"/>
                <w:sz w:val="24"/>
                <w:szCs w:val="24"/>
                <w:lang w:eastAsia="zh-CN"/>
              </w:rPr>
              <w:t>）风险评价结论</w:t>
            </w:r>
          </w:p>
          <w:p>
            <w:pPr>
              <w:autoSpaceDE w:val="0"/>
              <w:autoSpaceDN w:val="0"/>
              <w:spacing w:line="360" w:lineRule="auto"/>
              <w:ind w:firstLine="480" w:firstLineChars="200"/>
              <w:jc w:val="left"/>
              <w:rPr>
                <w:rFonts w:hint="eastAsia"/>
                <w:color w:val="auto"/>
                <w:sz w:val="24"/>
                <w:szCs w:val="24"/>
                <w:lang w:val="en-US" w:eastAsia="zh-CN"/>
              </w:rPr>
            </w:pPr>
            <w:r>
              <w:rPr>
                <w:rFonts w:hint="eastAsia"/>
                <w:color w:val="auto"/>
                <w:kern w:val="0"/>
                <w:sz w:val="24"/>
                <w:szCs w:val="24"/>
              </w:rPr>
              <w:t>采取以上措施后，可以将本项目环境风险降至最低程度。本项目没有构成重大危险源，建设单位只要按照设计求严格施工，并在切实落评价中所提出的各项综合风险防范、事故处置、应急措施的基础上，风险事故的环境影响控制在可接受范围内。</w:t>
            </w:r>
          </w:p>
          <w:p>
            <w:pPr>
              <w:adjustRightInd w:val="0"/>
              <w:snapToGrid w:val="0"/>
              <w:spacing w:before="120" w:beforeLines="50"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6、本项目污染物排放“三本账”</w:t>
            </w:r>
          </w:p>
          <w:p>
            <w:pPr>
              <w:numPr>
                <w:ilvl w:val="0"/>
                <w:numId w:val="0"/>
              </w:numPr>
              <w:spacing w:line="360" w:lineRule="auto"/>
              <w:ind w:leftChars="0" w:firstLine="480" w:firstLineChars="200"/>
              <w:rPr>
                <w:rFonts w:hint="eastAsia"/>
                <w:color w:val="auto"/>
                <w:sz w:val="24"/>
                <w:szCs w:val="24"/>
              </w:rPr>
            </w:pPr>
            <w:r>
              <w:rPr>
                <w:rFonts w:hint="eastAsia"/>
                <w:color w:val="auto"/>
                <w:sz w:val="24"/>
                <w:szCs w:val="24"/>
                <w:lang w:eastAsia="zh-CN"/>
              </w:rPr>
              <w:t>本项目虽然属于在原有危废暂存间基础上进行了扩建，增加了一个危废暂存间。实际建设原因为：由于</w:t>
            </w:r>
            <w:r>
              <w:rPr>
                <w:rFonts w:hint="eastAsia" w:cs="Times New Roman" w:eastAsiaTheme="minorEastAsia"/>
                <w:color w:val="auto"/>
                <w:kern w:val="0"/>
                <w:sz w:val="24"/>
                <w:szCs w:val="24"/>
                <w:lang w:val="en-US" w:eastAsia="zh-CN"/>
              </w:rPr>
              <w:t>现有的危险废物一定程度上产生贮存积压，危废暂存间贮存空间随之减小，为减轻现有危废暂存间贮存空间压力、避免危险废物因贮存空间减小导致不同种类的危险废物接触，</w:t>
            </w:r>
            <w:r>
              <w:rPr>
                <w:rFonts w:hint="eastAsia" w:cs="Times New Roman"/>
                <w:color w:val="auto"/>
                <w:sz w:val="24"/>
                <w:szCs w:val="24"/>
                <w:lang w:val="en-US" w:eastAsia="zh-CN"/>
              </w:rPr>
              <w:t>利用现有的储存间（紧邻现有危废暂存间东侧）进行改造，不新增占地</w:t>
            </w:r>
            <w:r>
              <w:rPr>
                <w:rFonts w:hint="eastAsia"/>
                <w:color w:val="auto"/>
                <w:sz w:val="24"/>
                <w:szCs w:val="24"/>
              </w:rPr>
              <w:t>。</w:t>
            </w:r>
          </w:p>
          <w:p>
            <w:pPr>
              <w:numPr>
                <w:ilvl w:val="0"/>
                <w:numId w:val="0"/>
              </w:numPr>
              <w:spacing w:line="360" w:lineRule="auto"/>
              <w:ind w:leftChars="0" w:firstLine="480" w:firstLineChars="200"/>
              <w:rPr>
                <w:rFonts w:hint="eastAsia" w:cs="宋体"/>
                <w:color w:val="auto"/>
                <w:sz w:val="24"/>
                <w:szCs w:val="24"/>
                <w:lang w:val="en-US" w:eastAsia="zh-CN"/>
              </w:rPr>
            </w:pPr>
            <w:r>
              <w:rPr>
                <w:rFonts w:hint="eastAsia"/>
                <w:color w:val="auto"/>
                <w:sz w:val="24"/>
                <w:szCs w:val="24"/>
                <w:lang w:eastAsia="zh-CN"/>
              </w:rPr>
              <w:t>因此，实际的污染物排放没有变化、环保措施没有变化，</w:t>
            </w:r>
            <w:r>
              <w:rPr>
                <w:rFonts w:hint="eastAsia" w:cs="宋体"/>
                <w:color w:val="auto"/>
                <w:sz w:val="24"/>
                <w:szCs w:val="24"/>
                <w:lang w:val="en-US" w:eastAsia="zh-CN"/>
              </w:rPr>
              <w:t>项目扩建完成后污染物“三本账”见表4-15。</w:t>
            </w:r>
          </w:p>
          <w:p>
            <w:pPr>
              <w:jc w:val="center"/>
              <w:rPr>
                <w:rFonts w:hint="eastAsia"/>
                <w:b/>
                <w:bCs/>
                <w:color w:val="auto"/>
                <w:sz w:val="24"/>
                <w:szCs w:val="24"/>
                <w:lang w:val="en-US" w:eastAsia="zh-CN"/>
              </w:rPr>
            </w:pPr>
            <w:r>
              <w:rPr>
                <w:rFonts w:hint="eastAsia"/>
                <w:b/>
                <w:bCs/>
                <w:color w:val="auto"/>
                <w:sz w:val="24"/>
                <w:szCs w:val="24"/>
                <w:lang w:val="en-US" w:eastAsia="zh-CN"/>
              </w:rPr>
              <w:t>表</w:t>
            </w:r>
            <w:r>
              <w:rPr>
                <w:rFonts w:hint="eastAsia" w:ascii="Times New Roman" w:hAnsi="Times New Roman"/>
                <w:b/>
                <w:bCs/>
                <w:color w:val="auto"/>
                <w:sz w:val="24"/>
                <w:szCs w:val="24"/>
                <w:lang w:val="en-US" w:eastAsia="zh-CN"/>
              </w:rPr>
              <w:t>4</w:t>
            </w:r>
            <w:r>
              <w:rPr>
                <w:rFonts w:hint="eastAsia"/>
                <w:b/>
                <w:bCs/>
                <w:color w:val="auto"/>
                <w:sz w:val="24"/>
                <w:szCs w:val="24"/>
                <w:lang w:val="en-US" w:eastAsia="zh-CN"/>
              </w:rPr>
              <w:t>-15   项目扩建完成后污染物排放“三本账”</w:t>
            </w:r>
          </w:p>
          <w:tbl>
            <w:tblPr>
              <w:tblStyle w:val="31"/>
              <w:tblW w:w="4975"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4"/>
              <w:gridCol w:w="1348"/>
              <w:gridCol w:w="1461"/>
              <w:gridCol w:w="1373"/>
              <w:gridCol w:w="1138"/>
              <w:gridCol w:w="1276"/>
              <w:gridCol w:w="10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378" w:type="pct"/>
                  <w:tcBorders>
                    <w:tl2br w:val="nil"/>
                    <w:tr2bl w:val="nil"/>
                  </w:tcBorders>
                  <w:shd w:val="clear" w:color="auto" w:fill="auto"/>
                  <w:vAlign w:val="center"/>
                </w:tcPr>
                <w:p>
                  <w:pPr>
                    <w:pStyle w:val="74"/>
                    <w:adjustRightInd w:val="0"/>
                    <w:snapToGrid w:val="0"/>
                    <w:spacing w:line="240" w:lineRule="atLeast"/>
                    <w:rPr>
                      <w:rFonts w:eastAsia="宋体"/>
                      <w:b/>
                      <w:bCs/>
                      <w:color w:val="auto"/>
                      <w:szCs w:val="21"/>
                    </w:rPr>
                  </w:pPr>
                  <w:r>
                    <w:rPr>
                      <w:rFonts w:eastAsia="宋体"/>
                      <w:b/>
                      <w:bCs/>
                      <w:color w:val="auto"/>
                      <w:szCs w:val="21"/>
                    </w:rPr>
                    <w:t>类别</w:t>
                  </w:r>
                </w:p>
              </w:tc>
              <w:tc>
                <w:tcPr>
                  <w:tcW w:w="818" w:type="pct"/>
                  <w:tcBorders>
                    <w:tl2br w:val="nil"/>
                    <w:tr2bl w:val="nil"/>
                  </w:tcBorders>
                  <w:shd w:val="clear" w:color="auto" w:fill="auto"/>
                  <w:vAlign w:val="center"/>
                </w:tcPr>
                <w:p>
                  <w:pPr>
                    <w:pStyle w:val="74"/>
                    <w:adjustRightInd w:val="0"/>
                    <w:snapToGrid w:val="0"/>
                    <w:spacing w:line="240" w:lineRule="atLeast"/>
                    <w:rPr>
                      <w:rFonts w:eastAsia="宋体"/>
                      <w:b/>
                      <w:bCs/>
                      <w:color w:val="auto"/>
                      <w:szCs w:val="21"/>
                    </w:rPr>
                  </w:pPr>
                  <w:r>
                    <w:rPr>
                      <w:rFonts w:eastAsia="宋体"/>
                      <w:b/>
                      <w:bCs/>
                      <w:color w:val="auto"/>
                      <w:szCs w:val="21"/>
                    </w:rPr>
                    <w:t>污染物名称</w:t>
                  </w:r>
                </w:p>
              </w:tc>
              <w:tc>
                <w:tcPr>
                  <w:tcW w:w="886" w:type="pct"/>
                  <w:tcBorders>
                    <w:tl2br w:val="nil"/>
                    <w:tr2bl w:val="nil"/>
                  </w:tcBorders>
                  <w:shd w:val="clear" w:color="auto" w:fill="auto"/>
                  <w:vAlign w:val="center"/>
                </w:tcPr>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扩建前工程排放量t/a</w:t>
                  </w:r>
                </w:p>
              </w:tc>
              <w:tc>
                <w:tcPr>
                  <w:tcW w:w="833" w:type="pct"/>
                  <w:tcBorders>
                    <w:tl2br w:val="nil"/>
                    <w:tr2bl w:val="nil"/>
                  </w:tcBorders>
                  <w:shd w:val="clear" w:color="auto" w:fill="auto"/>
                  <w:vAlign w:val="center"/>
                </w:tcPr>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扩建后工程</w:t>
                  </w:r>
                </w:p>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 xml:space="preserve"> 排放量t/a</w:t>
                  </w:r>
                </w:p>
              </w:tc>
              <w:tc>
                <w:tcPr>
                  <w:tcW w:w="690" w:type="pct"/>
                  <w:tcBorders>
                    <w:tl2br w:val="nil"/>
                    <w:tr2bl w:val="nil"/>
                  </w:tcBorders>
                  <w:shd w:val="clear" w:color="auto" w:fill="auto"/>
                  <w:vAlign w:val="center"/>
                </w:tcPr>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以新带老削减量t/a</w:t>
                  </w:r>
                </w:p>
              </w:tc>
              <w:tc>
                <w:tcPr>
                  <w:tcW w:w="774" w:type="pct"/>
                  <w:tcBorders>
                    <w:tl2br w:val="nil"/>
                    <w:tr2bl w:val="nil"/>
                  </w:tcBorders>
                  <w:shd w:val="clear" w:color="auto" w:fill="auto"/>
                  <w:vAlign w:val="center"/>
                </w:tcPr>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总体工程排放量t/a</w:t>
                  </w:r>
                </w:p>
              </w:tc>
              <w:tc>
                <w:tcPr>
                  <w:tcW w:w="618" w:type="pct"/>
                  <w:tcBorders>
                    <w:tl2br w:val="nil"/>
                    <w:tr2bl w:val="nil"/>
                  </w:tcBorders>
                  <w:shd w:val="clear" w:color="auto" w:fill="auto"/>
                  <w:vAlign w:val="center"/>
                </w:tcPr>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排放增减量t/a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8" w:type="pct"/>
                  <w:vMerge w:val="restart"/>
                  <w:tcBorders>
                    <w:tl2br w:val="nil"/>
                    <w:tr2bl w:val="nil"/>
                  </w:tcBorders>
                  <w:shd w:val="clear" w:color="auto" w:fill="auto"/>
                  <w:vAlign w:val="center"/>
                </w:tcPr>
                <w:p>
                  <w:pPr>
                    <w:pStyle w:val="74"/>
                    <w:adjustRightInd w:val="0"/>
                    <w:snapToGrid w:val="0"/>
                    <w:spacing w:line="240" w:lineRule="atLeast"/>
                    <w:rPr>
                      <w:rFonts w:eastAsia="宋体"/>
                      <w:color w:val="auto"/>
                      <w:szCs w:val="21"/>
                    </w:rPr>
                  </w:pPr>
                  <w:r>
                    <w:rPr>
                      <w:rFonts w:hint="eastAsia" w:eastAsia="宋体"/>
                      <w:color w:val="auto"/>
                      <w:szCs w:val="21"/>
                    </w:rPr>
                    <w:t>废</w:t>
                  </w:r>
                  <w:r>
                    <w:rPr>
                      <w:rFonts w:hint="eastAsia" w:eastAsia="宋体"/>
                      <w:color w:val="auto"/>
                      <w:szCs w:val="21"/>
                      <w:lang w:eastAsia="zh-CN"/>
                    </w:rPr>
                    <w:t>气</w:t>
                  </w:r>
                </w:p>
              </w:tc>
              <w:tc>
                <w:tcPr>
                  <w:tcW w:w="818" w:type="pct"/>
                  <w:tcBorders>
                    <w:tl2br w:val="nil"/>
                    <w:tr2bl w:val="nil"/>
                  </w:tcBorders>
                  <w:shd w:val="clear" w:color="auto" w:fill="auto"/>
                  <w:vAlign w:val="center"/>
                </w:tcPr>
                <w:p>
                  <w:pPr>
                    <w:adjustRightInd w:val="0"/>
                    <w:snapToGrid w:val="0"/>
                    <w:spacing w:line="240" w:lineRule="atLeast"/>
                    <w:jc w:val="center"/>
                    <w:rPr>
                      <w:rFonts w:hint="eastAsia" w:eastAsia="宋体"/>
                      <w:color w:val="auto"/>
                      <w:szCs w:val="21"/>
                      <w:lang w:eastAsia="zh-CN"/>
                    </w:rPr>
                  </w:pPr>
                  <w:r>
                    <w:rPr>
                      <w:rFonts w:hint="eastAsia"/>
                      <w:color w:val="auto"/>
                      <w:szCs w:val="21"/>
                      <w:lang w:eastAsia="zh-CN"/>
                    </w:rPr>
                    <w:t>非甲烷总烃</w:t>
                  </w:r>
                </w:p>
              </w:tc>
              <w:tc>
                <w:tcPr>
                  <w:tcW w:w="1461"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cs="Times New Roman"/>
                      <w:color w:val="auto"/>
                      <w:sz w:val="21"/>
                      <w:szCs w:val="21"/>
                      <w:highlight w:val="none"/>
                      <w:lang w:val="en-US" w:eastAsia="zh-CN"/>
                    </w:rPr>
                    <w:t>1.49</w:t>
                  </w:r>
                </w:p>
              </w:tc>
              <w:tc>
                <w:tcPr>
                  <w:tcW w:w="1373"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cs="Times New Roman"/>
                      <w:color w:val="auto"/>
                      <w:sz w:val="21"/>
                      <w:szCs w:val="21"/>
                      <w:highlight w:val="none"/>
                      <w:lang w:val="en-US" w:eastAsia="zh-CN"/>
                    </w:rPr>
                    <w:t>1.49</w:t>
                  </w:r>
                </w:p>
              </w:tc>
              <w:tc>
                <w:tcPr>
                  <w:tcW w:w="690" w:type="pct"/>
                  <w:tcBorders>
                    <w:tl2br w:val="nil"/>
                    <w:tr2bl w:val="nil"/>
                  </w:tcBorders>
                  <w:shd w:val="clear" w:color="auto" w:fill="auto"/>
                  <w:vAlign w:val="center"/>
                </w:tcPr>
                <w:p>
                  <w:pPr>
                    <w:pStyle w:val="74"/>
                    <w:adjustRightInd w:val="0"/>
                    <w:snapToGrid w:val="0"/>
                    <w:spacing w:line="240" w:lineRule="atLeast"/>
                    <w:rPr>
                      <w:rFonts w:hint="eastAsia" w:eastAsia="宋体"/>
                      <w:color w:val="auto"/>
                      <w:szCs w:val="21"/>
                      <w:lang w:val="en-US" w:eastAsia="zh-CN"/>
                    </w:rPr>
                  </w:pPr>
                  <w:r>
                    <w:rPr>
                      <w:rFonts w:hint="eastAsia" w:eastAsia="宋体"/>
                      <w:color w:val="auto"/>
                      <w:szCs w:val="21"/>
                      <w:lang w:val="en-US" w:eastAsia="zh-CN"/>
                    </w:rPr>
                    <w:t>0</w:t>
                  </w:r>
                </w:p>
              </w:tc>
              <w:tc>
                <w:tcPr>
                  <w:tcW w:w="1276"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cs="Times New Roman"/>
                      <w:color w:val="auto"/>
                      <w:sz w:val="21"/>
                      <w:szCs w:val="21"/>
                      <w:highlight w:val="none"/>
                      <w:lang w:val="en-US" w:eastAsia="zh-CN"/>
                    </w:rPr>
                    <w:t>1.49</w:t>
                  </w:r>
                </w:p>
              </w:tc>
              <w:tc>
                <w:tcPr>
                  <w:tcW w:w="618"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8" w:type="pct"/>
                  <w:vMerge w:val="continue"/>
                  <w:tcBorders>
                    <w:tl2br w:val="nil"/>
                    <w:tr2bl w:val="nil"/>
                  </w:tcBorders>
                  <w:shd w:val="clear" w:color="auto" w:fill="auto"/>
                  <w:vAlign w:val="center"/>
                </w:tcPr>
                <w:p>
                  <w:pPr>
                    <w:pStyle w:val="74"/>
                    <w:adjustRightInd w:val="0"/>
                    <w:snapToGrid w:val="0"/>
                    <w:spacing w:line="240" w:lineRule="atLeast"/>
                    <w:rPr>
                      <w:rFonts w:eastAsia="宋体"/>
                      <w:color w:val="auto"/>
                      <w:szCs w:val="21"/>
                    </w:rPr>
                  </w:pPr>
                </w:p>
              </w:tc>
              <w:tc>
                <w:tcPr>
                  <w:tcW w:w="818" w:type="pct"/>
                  <w:tcBorders>
                    <w:tl2br w:val="nil"/>
                    <w:tr2bl w:val="nil"/>
                  </w:tcBorders>
                  <w:shd w:val="clear" w:color="auto" w:fill="auto"/>
                  <w:vAlign w:val="center"/>
                </w:tcPr>
                <w:p>
                  <w:pPr>
                    <w:adjustRightInd w:val="0"/>
                    <w:snapToGrid w:val="0"/>
                    <w:spacing w:line="240" w:lineRule="atLeast"/>
                    <w:jc w:val="center"/>
                    <w:rPr>
                      <w:rFonts w:hint="eastAsia" w:eastAsia="宋体"/>
                      <w:color w:val="auto"/>
                      <w:szCs w:val="21"/>
                      <w:lang w:eastAsia="zh-CN"/>
                    </w:rPr>
                  </w:pPr>
                  <w:r>
                    <w:rPr>
                      <w:rFonts w:hint="eastAsia"/>
                      <w:color w:val="auto"/>
                      <w:szCs w:val="21"/>
                      <w:lang w:eastAsia="zh-CN"/>
                    </w:rPr>
                    <w:t>甲苯</w:t>
                  </w:r>
                </w:p>
              </w:tc>
              <w:tc>
                <w:tcPr>
                  <w:tcW w:w="1461"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0.02891</w:t>
                  </w:r>
                </w:p>
              </w:tc>
              <w:tc>
                <w:tcPr>
                  <w:tcW w:w="1373"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0.02891</w:t>
                  </w:r>
                </w:p>
              </w:tc>
              <w:tc>
                <w:tcPr>
                  <w:tcW w:w="690" w:type="pct"/>
                  <w:tcBorders>
                    <w:tl2br w:val="nil"/>
                    <w:tr2bl w:val="nil"/>
                  </w:tcBorders>
                  <w:shd w:val="clear" w:color="auto" w:fill="auto"/>
                  <w:vAlign w:val="center"/>
                </w:tcPr>
                <w:p>
                  <w:pPr>
                    <w:pStyle w:val="74"/>
                    <w:adjustRightInd w:val="0"/>
                    <w:snapToGrid w:val="0"/>
                    <w:spacing w:line="240" w:lineRule="atLeast"/>
                    <w:rPr>
                      <w:rFonts w:hint="eastAsia" w:eastAsia="宋体"/>
                      <w:color w:val="auto"/>
                      <w:szCs w:val="21"/>
                      <w:lang w:val="en-US" w:eastAsia="zh-CN"/>
                    </w:rPr>
                  </w:pPr>
                  <w:r>
                    <w:rPr>
                      <w:rFonts w:hint="eastAsia" w:eastAsia="宋体"/>
                      <w:color w:val="auto"/>
                      <w:szCs w:val="21"/>
                      <w:lang w:val="en-US" w:eastAsia="zh-CN"/>
                    </w:rPr>
                    <w:t>0</w:t>
                  </w:r>
                </w:p>
              </w:tc>
              <w:tc>
                <w:tcPr>
                  <w:tcW w:w="1276"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0.02891</w:t>
                  </w:r>
                </w:p>
              </w:tc>
              <w:tc>
                <w:tcPr>
                  <w:tcW w:w="618"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8" w:type="pct"/>
                  <w:vMerge w:val="continue"/>
                  <w:tcBorders>
                    <w:tl2br w:val="nil"/>
                    <w:tr2bl w:val="nil"/>
                  </w:tcBorders>
                  <w:shd w:val="clear" w:color="auto" w:fill="auto"/>
                  <w:vAlign w:val="center"/>
                </w:tcPr>
                <w:p>
                  <w:pPr>
                    <w:pStyle w:val="74"/>
                    <w:adjustRightInd w:val="0"/>
                    <w:snapToGrid w:val="0"/>
                    <w:spacing w:line="240" w:lineRule="atLeast"/>
                    <w:rPr>
                      <w:rFonts w:eastAsia="宋体"/>
                      <w:color w:val="auto"/>
                      <w:szCs w:val="21"/>
                    </w:rPr>
                  </w:pPr>
                </w:p>
              </w:tc>
              <w:tc>
                <w:tcPr>
                  <w:tcW w:w="818" w:type="pct"/>
                  <w:tcBorders>
                    <w:tl2br w:val="nil"/>
                    <w:tr2bl w:val="nil"/>
                  </w:tcBorders>
                  <w:shd w:val="clear" w:color="auto" w:fill="auto"/>
                  <w:vAlign w:val="center"/>
                </w:tcPr>
                <w:p>
                  <w:pPr>
                    <w:adjustRightInd w:val="0"/>
                    <w:snapToGrid w:val="0"/>
                    <w:spacing w:line="240" w:lineRule="atLeast"/>
                    <w:jc w:val="center"/>
                    <w:rPr>
                      <w:rFonts w:hint="eastAsia" w:eastAsia="宋体"/>
                      <w:color w:val="auto"/>
                      <w:szCs w:val="21"/>
                      <w:lang w:eastAsia="zh-CN"/>
                    </w:rPr>
                  </w:pPr>
                  <w:r>
                    <w:rPr>
                      <w:rFonts w:hint="eastAsia"/>
                      <w:color w:val="auto"/>
                      <w:szCs w:val="21"/>
                      <w:lang w:eastAsia="zh-CN"/>
                    </w:rPr>
                    <w:t>甲醇</w:t>
                  </w:r>
                </w:p>
              </w:tc>
              <w:tc>
                <w:tcPr>
                  <w:tcW w:w="1461"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0.349</w:t>
                  </w:r>
                </w:p>
              </w:tc>
              <w:tc>
                <w:tcPr>
                  <w:tcW w:w="1373"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0.349</w:t>
                  </w:r>
                </w:p>
              </w:tc>
              <w:tc>
                <w:tcPr>
                  <w:tcW w:w="690" w:type="pct"/>
                  <w:tcBorders>
                    <w:tl2br w:val="nil"/>
                    <w:tr2bl w:val="nil"/>
                  </w:tcBorders>
                  <w:shd w:val="clear" w:color="auto" w:fill="auto"/>
                  <w:vAlign w:val="center"/>
                </w:tcPr>
                <w:p>
                  <w:pPr>
                    <w:pStyle w:val="74"/>
                    <w:adjustRightInd w:val="0"/>
                    <w:snapToGrid w:val="0"/>
                    <w:spacing w:line="240" w:lineRule="atLeast"/>
                    <w:rPr>
                      <w:rFonts w:hint="eastAsia" w:eastAsia="宋体"/>
                      <w:color w:val="auto"/>
                      <w:szCs w:val="21"/>
                      <w:lang w:val="en-US" w:eastAsia="zh-CN"/>
                    </w:rPr>
                  </w:pPr>
                  <w:r>
                    <w:rPr>
                      <w:rFonts w:hint="eastAsia" w:eastAsia="宋体"/>
                      <w:color w:val="auto"/>
                      <w:szCs w:val="21"/>
                      <w:lang w:val="en-US" w:eastAsia="zh-CN"/>
                    </w:rPr>
                    <w:t>0</w:t>
                  </w:r>
                </w:p>
              </w:tc>
              <w:tc>
                <w:tcPr>
                  <w:tcW w:w="1276"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0.349</w:t>
                  </w:r>
                </w:p>
              </w:tc>
              <w:tc>
                <w:tcPr>
                  <w:tcW w:w="618"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8" w:type="pct"/>
                  <w:vMerge w:val="continue"/>
                  <w:tcBorders>
                    <w:tl2br w:val="nil"/>
                    <w:tr2bl w:val="nil"/>
                  </w:tcBorders>
                  <w:shd w:val="clear" w:color="auto" w:fill="auto"/>
                  <w:vAlign w:val="center"/>
                </w:tcPr>
                <w:p>
                  <w:pPr>
                    <w:pStyle w:val="74"/>
                    <w:adjustRightInd w:val="0"/>
                    <w:snapToGrid w:val="0"/>
                    <w:spacing w:line="240" w:lineRule="atLeast"/>
                    <w:rPr>
                      <w:rFonts w:eastAsia="宋体"/>
                      <w:color w:val="auto"/>
                      <w:szCs w:val="21"/>
                    </w:rPr>
                  </w:pPr>
                </w:p>
              </w:tc>
              <w:tc>
                <w:tcPr>
                  <w:tcW w:w="818" w:type="pct"/>
                  <w:tcBorders>
                    <w:tl2br w:val="nil"/>
                    <w:tr2bl w:val="nil"/>
                  </w:tcBorders>
                  <w:shd w:val="clear" w:color="auto" w:fill="auto"/>
                  <w:vAlign w:val="center"/>
                </w:tcPr>
                <w:p>
                  <w:pPr>
                    <w:adjustRightInd w:val="0"/>
                    <w:snapToGrid w:val="0"/>
                    <w:spacing w:line="240" w:lineRule="atLeast"/>
                    <w:jc w:val="center"/>
                    <w:rPr>
                      <w:rFonts w:hint="eastAsia" w:eastAsia="宋体"/>
                      <w:color w:val="auto"/>
                      <w:szCs w:val="21"/>
                      <w:lang w:eastAsia="zh-CN"/>
                    </w:rPr>
                  </w:pPr>
                  <w:r>
                    <w:rPr>
                      <w:rFonts w:hint="eastAsia"/>
                      <w:color w:val="auto"/>
                      <w:szCs w:val="21"/>
                      <w:lang w:eastAsia="zh-CN"/>
                    </w:rPr>
                    <w:t>臭气浓度</w:t>
                  </w:r>
                </w:p>
              </w:tc>
              <w:tc>
                <w:tcPr>
                  <w:tcW w:w="886"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w:t>
                  </w:r>
                </w:p>
              </w:tc>
              <w:tc>
                <w:tcPr>
                  <w:tcW w:w="833" w:type="pct"/>
                  <w:tcBorders>
                    <w:tl2br w:val="nil"/>
                    <w:tr2bl w:val="nil"/>
                  </w:tcBorders>
                  <w:shd w:val="clear" w:color="auto" w:fill="auto"/>
                  <w:vAlign w:val="center"/>
                </w:tcPr>
                <w:p>
                  <w:pPr>
                    <w:pStyle w:val="74"/>
                    <w:adjustRightInd w:val="0"/>
                    <w:snapToGrid w:val="0"/>
                    <w:spacing w:line="240" w:lineRule="atLeast"/>
                    <w:jc w:val="center"/>
                    <w:rPr>
                      <w:rFonts w:hint="default" w:eastAsia="宋体"/>
                      <w:color w:val="auto"/>
                      <w:szCs w:val="21"/>
                      <w:lang w:val="en-US" w:eastAsia="zh-CN"/>
                    </w:rPr>
                  </w:pPr>
                  <w:r>
                    <w:rPr>
                      <w:rFonts w:hint="eastAsia" w:eastAsia="宋体"/>
                      <w:color w:val="auto"/>
                      <w:szCs w:val="21"/>
                      <w:lang w:val="en-US" w:eastAsia="zh-CN"/>
                    </w:rPr>
                    <w:t>/</w:t>
                  </w:r>
                </w:p>
              </w:tc>
              <w:tc>
                <w:tcPr>
                  <w:tcW w:w="690" w:type="pct"/>
                  <w:tcBorders>
                    <w:tl2br w:val="nil"/>
                    <w:tr2bl w:val="nil"/>
                  </w:tcBorders>
                  <w:shd w:val="clear" w:color="auto" w:fill="auto"/>
                  <w:vAlign w:val="center"/>
                </w:tcPr>
                <w:p>
                  <w:pPr>
                    <w:pStyle w:val="74"/>
                    <w:adjustRightInd w:val="0"/>
                    <w:snapToGrid w:val="0"/>
                    <w:spacing w:line="240" w:lineRule="atLeast"/>
                    <w:rPr>
                      <w:rFonts w:hint="eastAsia" w:eastAsia="宋体"/>
                      <w:color w:val="auto"/>
                      <w:szCs w:val="21"/>
                      <w:lang w:val="en-US" w:eastAsia="zh-CN"/>
                    </w:rPr>
                  </w:pPr>
                  <w:r>
                    <w:rPr>
                      <w:rFonts w:hint="eastAsia" w:eastAsia="宋体"/>
                      <w:color w:val="auto"/>
                      <w:szCs w:val="21"/>
                      <w:lang w:val="en-US" w:eastAsia="zh-CN"/>
                    </w:rPr>
                    <w:t>/</w:t>
                  </w:r>
                </w:p>
              </w:tc>
              <w:tc>
                <w:tcPr>
                  <w:tcW w:w="774"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w:t>
                  </w:r>
                </w:p>
              </w:tc>
              <w:tc>
                <w:tcPr>
                  <w:tcW w:w="618"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w:t>
                  </w:r>
                </w:p>
              </w:tc>
            </w:tr>
          </w:tbl>
          <w:p>
            <w:pPr>
              <w:pStyle w:val="30"/>
              <w:ind w:left="0" w:leftChars="0" w:firstLine="0" w:firstLineChars="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0" w:firstLineChars="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0" w:firstLineChars="0"/>
              <w:rPr>
                <w:rFonts w:hint="eastAsia"/>
                <w:color w:val="auto"/>
                <w:lang w:val="en-US" w:eastAsia="zh-CN"/>
              </w:rPr>
            </w:pPr>
          </w:p>
        </w:tc>
      </w:tr>
    </w:tbl>
    <w:p>
      <w:pPr>
        <w:rPr>
          <w:rFonts w:hint="eastAsia" w:ascii="黑体" w:hAnsi="黑体" w:eastAsia="黑体"/>
          <w:snapToGrid w:val="0"/>
          <w:color w:val="auto"/>
          <w:sz w:val="30"/>
          <w:szCs w:val="30"/>
        </w:rPr>
      </w:pPr>
      <w:r>
        <w:rPr>
          <w:rFonts w:hint="eastAsia" w:ascii="黑体" w:hAnsi="黑体" w:eastAsia="黑体"/>
          <w:snapToGrid w:val="0"/>
          <w:color w:val="auto"/>
          <w:sz w:val="30"/>
          <w:szCs w:val="30"/>
        </w:rPr>
        <w:br w:type="page"/>
      </w:r>
    </w:p>
    <w:p>
      <w:pPr>
        <w:pStyle w:val="27"/>
        <w:jc w:val="center"/>
        <w:outlineLvl w:val="0"/>
        <w:rPr>
          <w:rFonts w:ascii="黑体" w:hAnsi="黑体" w:eastAsia="黑体"/>
          <w:snapToGrid w:val="0"/>
          <w:color w:val="auto"/>
          <w:sz w:val="30"/>
          <w:szCs w:val="30"/>
        </w:rPr>
      </w:pPr>
      <w:bookmarkStart w:id="14" w:name="_Toc19677"/>
      <w:r>
        <w:rPr>
          <w:rFonts w:hint="eastAsia" w:ascii="黑体" w:hAnsi="黑体" w:eastAsia="黑体"/>
          <w:snapToGrid w:val="0"/>
          <w:color w:val="auto"/>
          <w:sz w:val="30"/>
          <w:szCs w:val="30"/>
        </w:rPr>
        <w:t>五、</w:t>
      </w:r>
      <w:bookmarkStart w:id="15" w:name="_Hlk54167917"/>
      <w:r>
        <w:rPr>
          <w:rFonts w:hint="eastAsia" w:ascii="黑体" w:hAnsi="黑体" w:eastAsia="黑体"/>
          <w:snapToGrid w:val="0"/>
          <w:color w:val="auto"/>
          <w:sz w:val="30"/>
          <w:szCs w:val="30"/>
        </w:rPr>
        <w:t>环境保护措施监督检查清单</w:t>
      </w:r>
      <w:bookmarkEnd w:id="14"/>
      <w:bookmarkEnd w:id="15"/>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498"/>
        <w:gridCol w:w="1148"/>
        <w:gridCol w:w="1954"/>
        <w:gridCol w:w="26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7" w:type="dxa"/>
            <w:tcBorders>
              <w:tl2br w:val="single" w:color="auto" w:sz="4" w:space="0"/>
            </w:tcBorders>
          </w:tcPr>
          <w:p>
            <w:pPr>
              <w:adjustRightInd w:val="0"/>
              <w:snapToGrid w:val="0"/>
              <w:ind w:firstLine="720" w:firstLineChars="300"/>
              <w:rPr>
                <w:rFonts w:ascii="宋体" w:hAnsi="宋体" w:cs="宋体"/>
                <w:color w:val="auto"/>
                <w:sz w:val="24"/>
                <w:szCs w:val="24"/>
              </w:rPr>
            </w:pPr>
            <w:r>
              <w:rPr>
                <w:rFonts w:hint="eastAsia" w:ascii="宋体" w:hAnsi="宋体" w:cs="宋体"/>
                <w:color w:val="auto"/>
                <w:sz w:val="24"/>
                <w:szCs w:val="24"/>
              </w:rPr>
              <w:t>内容</w:t>
            </w:r>
          </w:p>
          <w:p>
            <w:pPr>
              <w:adjustRightInd w:val="0"/>
              <w:snapToGrid w:val="0"/>
              <w:rPr>
                <w:rFonts w:ascii="宋体" w:hAnsi="宋体" w:cs="宋体"/>
                <w:color w:val="auto"/>
                <w:sz w:val="24"/>
                <w:szCs w:val="24"/>
              </w:rPr>
            </w:pPr>
            <w:r>
              <w:rPr>
                <w:rFonts w:hint="eastAsia" w:ascii="宋体" w:hAnsi="宋体" w:cs="宋体"/>
                <w:color w:val="auto"/>
                <w:sz w:val="24"/>
                <w:szCs w:val="24"/>
              </w:rPr>
              <w:t>要素</w:t>
            </w:r>
          </w:p>
        </w:tc>
        <w:tc>
          <w:tcPr>
            <w:tcW w:w="1498"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排放口(编号、</w:t>
            </w:r>
          </w:p>
          <w:p>
            <w:pPr>
              <w:adjustRightInd w:val="0"/>
              <w:snapToGrid w:val="0"/>
              <w:jc w:val="center"/>
              <w:rPr>
                <w:rFonts w:ascii="宋体" w:hAnsi="宋体" w:cs="宋体"/>
                <w:color w:val="auto"/>
                <w:sz w:val="24"/>
                <w:szCs w:val="24"/>
              </w:rPr>
            </w:pPr>
            <w:r>
              <w:rPr>
                <w:rFonts w:hint="eastAsia" w:ascii="宋体" w:hAnsi="宋体" w:cs="宋体"/>
                <w:color w:val="auto"/>
                <w:sz w:val="24"/>
                <w:szCs w:val="24"/>
              </w:rPr>
              <w:t>名称)/污染源</w:t>
            </w:r>
          </w:p>
        </w:tc>
        <w:tc>
          <w:tcPr>
            <w:tcW w:w="1148"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污染物项目</w:t>
            </w:r>
          </w:p>
        </w:tc>
        <w:tc>
          <w:tcPr>
            <w:tcW w:w="1954"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环境保护措施</w:t>
            </w:r>
          </w:p>
        </w:tc>
        <w:tc>
          <w:tcPr>
            <w:tcW w:w="2673"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restart"/>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大气环境</w:t>
            </w:r>
          </w:p>
        </w:tc>
        <w:tc>
          <w:tcPr>
            <w:tcW w:w="1498" w:type="dxa"/>
            <w:vMerge w:val="restart"/>
            <w:vAlign w:val="center"/>
          </w:tcPr>
          <w:p>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有组织废气</w:t>
            </w:r>
          </w:p>
        </w:tc>
        <w:tc>
          <w:tcPr>
            <w:tcW w:w="1148" w:type="dxa"/>
            <w:vAlign w:val="center"/>
          </w:tcPr>
          <w:p>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非甲烷总烃</w:t>
            </w:r>
          </w:p>
        </w:tc>
        <w:tc>
          <w:tcPr>
            <w:tcW w:w="1954" w:type="dxa"/>
            <w:vMerge w:val="restart"/>
            <w:vAlign w:val="center"/>
          </w:tcPr>
          <w:p>
            <w:pPr>
              <w:adjustRightInd w:val="0"/>
              <w:snapToGrid w:val="0"/>
              <w:jc w:val="center"/>
              <w:rPr>
                <w:rFonts w:hint="default" w:eastAsia="宋体"/>
                <w:color w:val="auto"/>
                <w:sz w:val="24"/>
                <w:szCs w:val="24"/>
                <w:lang w:val="en-US" w:eastAsia="zh-CN"/>
              </w:rPr>
            </w:pPr>
            <w:r>
              <w:rPr>
                <w:rFonts w:hint="default" w:eastAsia="宋体"/>
                <w:color w:val="auto"/>
                <w:sz w:val="24"/>
                <w:szCs w:val="24"/>
                <w:lang w:val="en-US" w:eastAsia="zh-CN"/>
              </w:rPr>
              <w:t>集气罩收集（危废暂存间封闭管理）+</w:t>
            </w:r>
            <w:r>
              <w:rPr>
                <w:rFonts w:hint="eastAsia"/>
                <w:color w:val="auto"/>
                <w:sz w:val="24"/>
                <w:szCs w:val="24"/>
                <w:lang w:val="en-US" w:eastAsia="zh-CN"/>
              </w:rPr>
              <w:t>经活性炭吸附装置处理</w:t>
            </w:r>
            <w:r>
              <w:rPr>
                <w:rFonts w:hint="default" w:eastAsia="宋体"/>
                <w:color w:val="auto"/>
                <w:sz w:val="24"/>
                <w:szCs w:val="24"/>
                <w:lang w:val="en-US" w:eastAsia="zh-CN"/>
              </w:rPr>
              <w:t>，由17m高排气筒排放</w:t>
            </w:r>
          </w:p>
        </w:tc>
        <w:tc>
          <w:tcPr>
            <w:tcW w:w="2673" w:type="dxa"/>
            <w:vAlign w:val="center"/>
          </w:tcPr>
          <w:p>
            <w:pPr>
              <w:jc w:val="center"/>
              <w:rPr>
                <w:color w:val="auto"/>
                <w:sz w:val="24"/>
                <w:szCs w:val="24"/>
              </w:rPr>
            </w:pPr>
            <w:r>
              <w:rPr>
                <w:rFonts w:hint="eastAsia"/>
                <w:color w:val="auto"/>
                <w:sz w:val="24"/>
                <w:szCs w:val="24"/>
                <w:lang w:val="zh-CN" w:eastAsia="zh-CN"/>
              </w:rPr>
              <w:t>大气污染物综合排放标准》（GB 16297-1996）表2中限值要求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甲醇</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lang w:val="zh-CN" w:eastAsia="zh-CN"/>
              </w:rPr>
              <w:t>《挥发性有机物排放控制标准》（DB61/ T1061-2017）中表1限值要求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甲苯</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lang w:val="zh-CN" w:eastAsia="zh-CN"/>
              </w:rPr>
              <w:t>《大气污染物综合排放标准》（GB 16297-1996）中表2新扩改建限值要求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臭气浓度</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rPr>
              <w:t>《恶臭污染物排放标准》</w:t>
            </w:r>
            <w:r>
              <w:rPr>
                <w:rFonts w:hint="eastAsia"/>
                <w:color w:val="auto"/>
                <w:sz w:val="24"/>
                <w:szCs w:val="24"/>
                <w:lang w:eastAsia="zh-CN"/>
              </w:rPr>
              <w:t>（</w:t>
            </w:r>
            <w:r>
              <w:rPr>
                <w:rFonts w:hint="eastAsia"/>
                <w:color w:val="auto"/>
                <w:sz w:val="24"/>
                <w:szCs w:val="24"/>
              </w:rPr>
              <w:t>GB14554-93</w:t>
            </w:r>
            <w:r>
              <w:rPr>
                <w:rFonts w:hint="eastAsia"/>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restart"/>
            <w:vAlign w:val="center"/>
          </w:tcPr>
          <w:p>
            <w:pPr>
              <w:adjustRightInd w:val="0"/>
              <w:snapToGrid w:val="0"/>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无组织废气</w:t>
            </w: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非甲烷总烃</w:t>
            </w:r>
          </w:p>
        </w:tc>
        <w:tc>
          <w:tcPr>
            <w:tcW w:w="1954" w:type="dxa"/>
            <w:vMerge w:val="restart"/>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无组织排放</w:t>
            </w: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lang w:val="zh-CN"/>
              </w:rPr>
              <w:t>《挥发性有机物排放控制标准 》（DB61/T 1061-2017）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甲醇</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lang w:val="zh-CN" w:eastAsia="zh-CN"/>
              </w:rPr>
              <w:t>挥发性有机物排放控制标准》（DB61/ T1061-2017）中表3限值要求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甲苯</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lang w:val="zh-CN" w:eastAsia="zh-CN"/>
              </w:rPr>
              <w:t>《大气污染物综合排放标准》（GB 16297-1996）中表2新扩改建限值要求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臭气浓度</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rPr>
              <w:t>《恶臭污染物排放标准》</w:t>
            </w:r>
            <w:r>
              <w:rPr>
                <w:rFonts w:hint="eastAsia"/>
                <w:color w:val="auto"/>
                <w:sz w:val="24"/>
                <w:szCs w:val="24"/>
                <w:lang w:eastAsia="zh-CN"/>
              </w:rPr>
              <w:t>（</w:t>
            </w:r>
            <w:r>
              <w:rPr>
                <w:rFonts w:hint="eastAsia"/>
                <w:color w:val="auto"/>
                <w:sz w:val="24"/>
                <w:szCs w:val="24"/>
              </w:rPr>
              <w:t>GB14554-93</w:t>
            </w:r>
            <w:r>
              <w:rPr>
                <w:rFonts w:hint="eastAsia"/>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地表水环境</w:t>
            </w:r>
          </w:p>
        </w:tc>
        <w:tc>
          <w:tcPr>
            <w:tcW w:w="1498" w:type="dxa"/>
            <w:vAlign w:val="center"/>
          </w:tcPr>
          <w:p>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 </w:t>
            </w:r>
          </w:p>
        </w:tc>
        <w:tc>
          <w:tcPr>
            <w:tcW w:w="1148" w:type="dxa"/>
            <w:vAlign w:val="center"/>
          </w:tcPr>
          <w:p>
            <w:pPr>
              <w:pStyle w:val="65"/>
              <w:rPr>
                <w:rFonts w:hint="eastAsia" w:ascii="Times New Roman" w:hAnsi="Times New Roman" w:eastAsia="楷体_GB2312"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p>
        </w:tc>
        <w:tc>
          <w:tcPr>
            <w:tcW w:w="1954" w:type="dxa"/>
            <w:vAlign w:val="center"/>
          </w:tcPr>
          <w:p>
            <w:pPr>
              <w:autoSpaceDE w:val="0"/>
              <w:autoSpaceDN w:val="0"/>
              <w:ind w:left="105" w:leftChars="50" w:right="105" w:rightChars="5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2673" w:type="dxa"/>
            <w:vAlign w:val="center"/>
          </w:tcPr>
          <w:p>
            <w:pPr>
              <w:autoSpaceDE w:val="0"/>
              <w:autoSpaceDN w:val="0"/>
              <w:ind w:left="105" w:leftChars="50" w:right="105" w:rightChars="5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声环境</w:t>
            </w:r>
          </w:p>
        </w:tc>
        <w:tc>
          <w:tcPr>
            <w:tcW w:w="7273" w:type="dxa"/>
            <w:gridSpan w:val="4"/>
            <w:vAlign w:val="center"/>
          </w:tcPr>
          <w:p>
            <w:pPr>
              <w:adjustRightInd w:val="0"/>
              <w:snapToGrid w:val="0"/>
              <w:spacing w:line="360" w:lineRule="auto"/>
              <w:ind w:firstLine="480" w:firstLineChars="200"/>
              <w:jc w:val="left"/>
              <w:rPr>
                <w:rFonts w:ascii="宋体" w:hAnsi="宋体" w:cs="宋体"/>
                <w:color w:val="auto"/>
                <w:sz w:val="24"/>
                <w:szCs w:val="24"/>
              </w:rPr>
            </w:pPr>
            <w:r>
              <w:rPr>
                <w:rFonts w:hint="eastAsia"/>
                <w:bCs/>
                <w:color w:val="auto"/>
                <w:sz w:val="24"/>
                <w:szCs w:val="24"/>
              </w:rPr>
              <w:t>本项目噪声主要来自</w:t>
            </w:r>
            <w:r>
              <w:rPr>
                <w:rFonts w:hint="eastAsia"/>
                <w:bCs/>
                <w:color w:val="auto"/>
                <w:sz w:val="24"/>
                <w:szCs w:val="24"/>
                <w:lang w:val="en-US" w:eastAsia="zh-CN"/>
              </w:rPr>
              <w:t>风机、打包机</w:t>
            </w:r>
            <w:r>
              <w:rPr>
                <w:rFonts w:hint="eastAsia"/>
                <w:bCs/>
                <w:color w:val="auto"/>
                <w:sz w:val="24"/>
                <w:szCs w:val="24"/>
              </w:rPr>
              <w:t>运行时产生的噪声，选择低噪设备，设备基础减振，厂房隔声，加之距离衰减，厂界噪声贡献值满足《工业企业厂界环境噪声排放标准》（GB12348-2008）中</w:t>
            </w:r>
            <w:r>
              <w:rPr>
                <w:rFonts w:hint="eastAsia"/>
                <w:bCs/>
                <w:color w:val="auto"/>
                <w:sz w:val="24"/>
                <w:szCs w:val="24"/>
                <w:lang w:val="en-US" w:eastAsia="zh-CN"/>
              </w:rPr>
              <w:t>3</w:t>
            </w:r>
            <w:r>
              <w:rPr>
                <w:rFonts w:hint="eastAsia"/>
                <w:bCs/>
                <w:color w:val="auto"/>
                <w:sz w:val="24"/>
                <w:szCs w:val="24"/>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电磁辐射</w:t>
            </w:r>
          </w:p>
        </w:tc>
        <w:tc>
          <w:tcPr>
            <w:tcW w:w="7273" w:type="dxa"/>
            <w:gridSpan w:val="4"/>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固体废物</w:t>
            </w:r>
          </w:p>
        </w:tc>
        <w:tc>
          <w:tcPr>
            <w:tcW w:w="7273"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eastAsiaTheme="minorEastAsia"/>
                <w:color w:val="auto"/>
                <w:sz w:val="24"/>
                <w:szCs w:val="24"/>
                <w:lang w:eastAsia="zh-CN"/>
              </w:rPr>
            </w:pP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1</w:t>
            </w:r>
            <w:r>
              <w:rPr>
                <w:rFonts w:hint="eastAsia"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eastAsia="zh-CN"/>
              </w:rPr>
              <w:t>本项目属于危废暂存间，</w:t>
            </w:r>
            <w:r>
              <w:rPr>
                <w:rFonts w:hint="eastAsia" w:cs="Times New Roman" w:eastAsiaTheme="minorEastAsia"/>
                <w:color w:val="auto"/>
                <w:sz w:val="24"/>
                <w:szCs w:val="24"/>
                <w:lang w:eastAsia="zh-CN"/>
              </w:rPr>
              <w:t>活性炭吸附装置定期更换活性炭，产生的废活性炭暂存于危废间，和暂存的其他危废</w:t>
            </w:r>
            <w:r>
              <w:rPr>
                <w:rFonts w:hint="eastAsia"/>
                <w:color w:val="auto"/>
                <w:sz w:val="24"/>
                <w:szCs w:val="24"/>
                <w:lang w:val="en-US" w:eastAsia="zh-CN"/>
              </w:rPr>
              <w:t>定期交由有资质单位统一拉运处置</w:t>
            </w:r>
            <w:r>
              <w:rPr>
                <w:rFonts w:hint="eastAsia" w:ascii="Times New Roman" w:hAnsi="Times New Roman" w:cs="Times New Roman" w:eastAsiaTheme="minorEastAsia"/>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lang w:val="en-US" w:eastAsia="zh-CN"/>
              </w:rPr>
            </w:pPr>
            <w:r>
              <w:rPr>
                <w:rFonts w:hint="default" w:ascii="Times New Roman" w:hAnsi="Times New Roman" w:cs="Times New Roman" w:eastAsiaTheme="minorEastAsia"/>
                <w:color w:val="auto"/>
                <w:sz w:val="24"/>
                <w:szCs w:val="24"/>
              </w:rPr>
              <w:t>本项目运营期</w:t>
            </w:r>
            <w:r>
              <w:rPr>
                <w:rFonts w:hint="eastAsia"/>
                <w:color w:val="auto"/>
                <w:sz w:val="24"/>
                <w:szCs w:val="24"/>
                <w:lang w:val="en-US" w:eastAsia="zh-CN"/>
              </w:rPr>
              <w:t>不新增工作人员，不新增生活垃圾。厂区内</w:t>
            </w:r>
            <w:r>
              <w:rPr>
                <w:rFonts w:hint="default"/>
                <w:color w:val="auto"/>
                <w:sz w:val="24"/>
                <w:szCs w:val="24"/>
                <w:lang w:val="en-US" w:eastAsia="zh-CN"/>
              </w:rPr>
              <w:t>生活垃圾收集后由环卫部门统一清理。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s="Times New Roman" w:eastAsiaTheme="minorEastAsia"/>
                <w:color w:val="auto"/>
                <w:sz w:val="24"/>
                <w:szCs w:val="24"/>
                <w:lang w:val="en-US" w:eastAsia="zh-CN"/>
              </w:rPr>
              <w:t>（2）本项目为危废暂存间，</w:t>
            </w:r>
            <w:r>
              <w:rPr>
                <w:rFonts w:hint="eastAsia"/>
                <w:color w:val="auto"/>
                <w:sz w:val="24"/>
                <w:szCs w:val="24"/>
                <w:lang w:val="en-US" w:eastAsia="zh-CN"/>
              </w:rPr>
              <w:t>本次扩建的危废暂存间和现有危废暂存间共同用于暂存渭南高新区海泰新型电子材料有限责任公司危险废物，定期交由有资质单位统一拉运处置。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（3）根据《危险废物管理计划和管理台账制定技术导则》（HJ1259-2022） ，</w:t>
            </w:r>
            <w:r>
              <w:rPr>
                <w:rFonts w:hint="eastAsia" w:cs="Times New Roman" w:eastAsiaTheme="minorEastAsia"/>
                <w:color w:val="auto"/>
                <w:sz w:val="24"/>
                <w:szCs w:val="24"/>
                <w:highlight w:val="none"/>
                <w:lang w:val="en-US" w:eastAsia="zh-CN"/>
              </w:rPr>
              <w:t>本项目属于危险废物环境重点监管单位，因此，按照《危险废物贮存污染控制标准》（GB18597-2023）相关规定，本项目应采用电子地磅、电子标签、电子管理台账等技术手段对危险废物贮存过程进行信息化管理，确保数据完整、真实、准确；采用视频监控，确保监控画面清晰，视频记录保存时间至少为3个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cs="Times New Roman" w:eastAsiaTheme="minorEastAsia"/>
                <w:color w:val="auto"/>
                <w:sz w:val="24"/>
                <w:szCs w:val="24"/>
                <w:lang w:val="en-US" w:eastAsia="zh-CN"/>
              </w:rPr>
              <w:t>（4）严格按照《中华人民共和国固体废物污染环境防治法》、</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、《危险废物管理计划和管理台账制定技术导则》（HJ1259-2022）、《危险废物识别标志设置技术规范》（HJ1276-2022）、《危险废物收集、贮存、运输技术规范》（HJ2025-2012）等相关规定和要求，管理危废暂存间。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土壤及地下水污染防治措施</w:t>
            </w:r>
          </w:p>
        </w:tc>
        <w:tc>
          <w:tcPr>
            <w:tcW w:w="7273" w:type="dxa"/>
            <w:gridSpan w:val="4"/>
            <w:vAlign w:val="center"/>
          </w:tcPr>
          <w:p>
            <w:pPr>
              <w:spacing w:line="360" w:lineRule="auto"/>
              <w:ind w:firstLine="480" w:firstLineChars="200"/>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贮</w:t>
            </w:r>
            <w:r>
              <w:rPr>
                <w:rFonts w:hint="eastAsia" w:ascii="Times New Roman" w:hAnsi="Times New Roman" w:cs="Times New Roman"/>
                <w:color w:val="auto"/>
                <w:sz w:val="24"/>
                <w:szCs w:val="24"/>
                <w:lang w:val="en-US" w:eastAsia="zh-CN"/>
              </w:rPr>
              <w:t>存的危险废物</w:t>
            </w:r>
            <w:r>
              <w:rPr>
                <w:rFonts w:hint="eastAsia" w:cs="Times New Roman"/>
                <w:color w:val="auto"/>
                <w:sz w:val="24"/>
                <w:szCs w:val="24"/>
                <w:lang w:val="en-US" w:eastAsia="zh-CN"/>
              </w:rPr>
              <w:t>在</w:t>
            </w:r>
            <w:r>
              <w:rPr>
                <w:rFonts w:hint="eastAsia" w:ascii="Times New Roman" w:hAnsi="Times New Roman" w:cs="Times New Roman"/>
                <w:color w:val="auto"/>
                <w:sz w:val="24"/>
                <w:szCs w:val="24"/>
                <w:lang w:val="en-US" w:eastAsia="zh-CN"/>
              </w:rPr>
              <w:t>收集、贮存和运输过程中</w:t>
            </w:r>
            <w:r>
              <w:rPr>
                <w:rFonts w:hint="eastAsia" w:cs="Times New Roman"/>
                <w:color w:val="auto"/>
                <w:sz w:val="24"/>
                <w:szCs w:val="24"/>
                <w:lang w:val="en-US" w:eastAsia="zh-CN"/>
              </w:rPr>
              <w:t>严格按照</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、《危险废物识别标志设置技术规范》（HJ1276-2022）、《危险废物收集、贮存、运输技术规范》（HJ2025-2012）等相关规定和要求，防止</w:t>
            </w:r>
            <w:r>
              <w:rPr>
                <w:rFonts w:hint="eastAsia" w:ascii="Times New Roman" w:hAnsi="Times New Roman" w:cs="Times New Roman"/>
                <w:color w:val="auto"/>
                <w:sz w:val="24"/>
                <w:szCs w:val="24"/>
                <w:lang w:val="en-US" w:eastAsia="zh-CN"/>
              </w:rPr>
              <w:t>有害物质进入土壤</w:t>
            </w:r>
            <w:r>
              <w:rPr>
                <w:rFonts w:hint="eastAsia" w:cs="Times New Roman"/>
                <w:color w:val="auto"/>
                <w:sz w:val="24"/>
                <w:szCs w:val="24"/>
                <w:lang w:val="en-US" w:eastAsia="zh-CN"/>
              </w:rPr>
              <w:t>和地下水</w:t>
            </w:r>
            <w:r>
              <w:rPr>
                <w:rFonts w:hint="eastAsia" w:ascii="Times New Roman" w:hAnsi="Times New Roman" w:cs="Times New Roman"/>
                <w:color w:val="auto"/>
                <w:sz w:val="24"/>
                <w:szCs w:val="24"/>
                <w:lang w:val="en-US" w:eastAsia="zh-CN"/>
              </w:rPr>
              <w:t>环境，因此正常情况下</w:t>
            </w:r>
            <w:r>
              <w:rPr>
                <w:rFonts w:hint="eastAsia" w:cs="Times New Roman"/>
                <w:color w:val="auto"/>
                <w:sz w:val="24"/>
                <w:szCs w:val="24"/>
                <w:lang w:val="en-US" w:eastAsia="zh-CN"/>
              </w:rPr>
              <w:t>不会对</w:t>
            </w:r>
            <w:r>
              <w:rPr>
                <w:rFonts w:hint="eastAsia" w:ascii="Times New Roman" w:hAnsi="Times New Roman" w:cs="Times New Roman"/>
                <w:color w:val="auto"/>
                <w:sz w:val="24"/>
                <w:szCs w:val="24"/>
                <w:lang w:val="en-US" w:eastAsia="zh-CN"/>
              </w:rPr>
              <w:t>地下水、土壤环境产生污染污染。</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为了防止</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物垂直入渗污染土壤</w:t>
            </w:r>
            <w:r>
              <w:rPr>
                <w:rFonts w:hint="eastAsia" w:cs="Times New Roman"/>
                <w:color w:val="auto"/>
                <w:sz w:val="24"/>
                <w:szCs w:val="24"/>
                <w:lang w:val="en-US" w:eastAsia="zh-CN"/>
              </w:rPr>
              <w:t>和</w:t>
            </w:r>
            <w:r>
              <w:rPr>
                <w:rFonts w:hint="eastAsia" w:ascii="Times New Roman" w:hAnsi="Times New Roman" w:cs="Times New Roman"/>
                <w:color w:val="auto"/>
                <w:sz w:val="24"/>
                <w:szCs w:val="24"/>
                <w:lang w:val="en-US" w:eastAsia="zh-CN"/>
              </w:rPr>
              <w:t>地下水，本项目采取以下污染防治措施：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（1）源头控制：</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物收集、贮存、转运过程中应加强管理，防止包装物破损，一旦发生破损应立即采取措施，更换或修补容器；严格按照国家相关要求，收集，贮存、转运危险废物，采取相应的污染控制，风险管制措施。</w:t>
            </w:r>
          </w:p>
          <w:p>
            <w:pPr>
              <w:pStyle w:val="29"/>
              <w:keepNext w:val="0"/>
              <w:keepLines w:val="0"/>
              <w:pageBreakBefore w:val="0"/>
              <w:kinsoku/>
              <w:wordWrap/>
              <w:overflowPunct/>
              <w:topLinePunct w:val="0"/>
              <w:autoSpaceDE/>
              <w:autoSpaceDN/>
              <w:bidi w:val="0"/>
              <w:adjustRightInd/>
              <w:snapToGrid w:val="0"/>
              <w:spacing w:before="0" w:after="0" w:line="360" w:lineRule="auto"/>
              <w:ind w:right="0" w:firstLineChars="200"/>
              <w:textAlignment w:val="auto"/>
              <w:rPr>
                <w:rFonts w:hint="default"/>
                <w:color w:val="auto"/>
                <w:sz w:val="24"/>
                <w:szCs w:val="24"/>
                <w:lang w:val="en-US" w:eastAsia="zh-CN"/>
              </w:rPr>
            </w:pPr>
            <w:r>
              <w:rPr>
                <w:rFonts w:hint="eastAsia" w:ascii="Times New Roman" w:hAnsi="Times New Roman" w:cs="Times New Roman"/>
                <w:color w:val="auto"/>
                <w:sz w:val="24"/>
                <w:szCs w:val="24"/>
                <w:lang w:val="en-US" w:eastAsia="zh-CN"/>
              </w:rPr>
              <w:t>（2）根据</w:t>
            </w:r>
            <w:r>
              <w:rPr>
                <w:rFonts w:hint="eastAsia" w:cs="Times New Roman"/>
                <w:color w:val="auto"/>
                <w:sz w:val="24"/>
                <w:szCs w:val="24"/>
                <w:lang w:val="en-US" w:eastAsia="zh-CN"/>
              </w:rPr>
              <w:t>项目</w:t>
            </w:r>
            <w:r>
              <w:rPr>
                <w:rFonts w:hint="eastAsia" w:ascii="Times New Roman" w:hAnsi="Times New Roman" w:cs="Times New Roman"/>
                <w:color w:val="auto"/>
                <w:sz w:val="24"/>
                <w:szCs w:val="24"/>
                <w:lang w:val="en-US" w:eastAsia="zh-CN"/>
              </w:rPr>
              <w:t>的特点，按照防渗标准分区防渗</w:t>
            </w: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生态保护措施</w:t>
            </w:r>
          </w:p>
        </w:tc>
        <w:tc>
          <w:tcPr>
            <w:tcW w:w="7273" w:type="dxa"/>
            <w:gridSpan w:val="4"/>
            <w:vAlign w:val="center"/>
          </w:tcPr>
          <w:p>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建议根据危废暂存间周边区域实际情况进行适当的绿化补充。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7" w:type="dxa"/>
            <w:vAlign w:val="center"/>
          </w:tcPr>
          <w:p>
            <w:pPr>
              <w:adjustRightInd w:val="0"/>
              <w:snapToGrid w:val="0"/>
              <w:jc w:val="center"/>
              <w:rPr>
                <w:rFonts w:ascii="宋体" w:hAnsi="宋体" w:cs="宋体"/>
                <w:color w:val="auto"/>
                <w:spacing w:val="-8"/>
                <w:sz w:val="24"/>
                <w:szCs w:val="24"/>
              </w:rPr>
            </w:pPr>
            <w:r>
              <w:rPr>
                <w:rFonts w:hint="eastAsia" w:ascii="宋体" w:hAnsi="宋体" w:cs="宋体"/>
                <w:color w:val="auto"/>
                <w:spacing w:val="-8"/>
                <w:sz w:val="24"/>
                <w:szCs w:val="24"/>
              </w:rPr>
              <w:t>环境风险</w:t>
            </w:r>
          </w:p>
          <w:p>
            <w:pPr>
              <w:adjustRightInd w:val="0"/>
              <w:snapToGrid w:val="0"/>
              <w:jc w:val="center"/>
              <w:rPr>
                <w:rFonts w:ascii="宋体" w:hAnsi="宋体" w:cs="宋体"/>
                <w:color w:val="auto"/>
                <w:spacing w:val="-8"/>
                <w:sz w:val="24"/>
                <w:szCs w:val="24"/>
              </w:rPr>
            </w:pPr>
            <w:r>
              <w:rPr>
                <w:rFonts w:hint="eastAsia" w:ascii="宋体" w:hAnsi="宋体" w:cs="宋体"/>
                <w:color w:val="auto"/>
                <w:spacing w:val="-8"/>
                <w:sz w:val="24"/>
                <w:szCs w:val="24"/>
              </w:rPr>
              <w:t>防范措施</w:t>
            </w:r>
          </w:p>
        </w:tc>
        <w:tc>
          <w:tcPr>
            <w:tcW w:w="7273" w:type="dxa"/>
            <w:gridSpan w:val="4"/>
            <w:vAlign w:val="center"/>
          </w:tcPr>
          <w:p>
            <w:pPr>
              <w:spacing w:line="360" w:lineRule="auto"/>
              <w:ind w:firstLine="480" w:firstLineChars="200"/>
              <w:rPr>
                <w:rFonts w:hint="eastAsia" w:cs="Times New Roman" w:eastAsiaTheme="minorEastAsia"/>
                <w:color w:val="auto"/>
                <w:sz w:val="24"/>
                <w:szCs w:val="24"/>
                <w:lang w:val="en-US" w:eastAsia="zh-CN"/>
              </w:rPr>
            </w:pPr>
            <w:r>
              <w:rPr>
                <w:rFonts w:hint="eastAsia"/>
                <w:color w:val="auto"/>
                <w:kern w:val="0"/>
                <w:sz w:val="24"/>
                <w:szCs w:val="24"/>
                <w:lang w:val="en-US" w:eastAsia="zh-CN"/>
              </w:rPr>
              <w:t>（1）</w:t>
            </w:r>
            <w:r>
              <w:rPr>
                <w:rFonts w:hint="eastAsia"/>
                <w:color w:val="auto"/>
                <w:kern w:val="0"/>
                <w:sz w:val="24"/>
                <w:szCs w:val="24"/>
              </w:rPr>
              <w:t>根据</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、《危险废物识别标志设置技术规范》（HJ1276-2022）、《危险废物收集、贮存、运输技术规范》（HJ2025-2012）等相关规定和要求。</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①源头控制：</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物收集、贮存、转运过程中应加强管理，防止包装物破损，一旦发生破损应立即采取措施，更换或修补容器；严格按照国家相关要求，收集，贮存、转运危险废物，采取相应的污染控制，风险管制措施。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②根据</w:t>
            </w:r>
            <w:r>
              <w:rPr>
                <w:rFonts w:hint="eastAsia" w:cs="Times New Roman"/>
                <w:color w:val="auto"/>
                <w:sz w:val="24"/>
                <w:szCs w:val="24"/>
                <w:lang w:val="en-US" w:eastAsia="zh-CN"/>
              </w:rPr>
              <w:t>项目</w:t>
            </w:r>
            <w:r>
              <w:rPr>
                <w:rFonts w:hint="eastAsia" w:ascii="Times New Roman" w:hAnsi="Times New Roman" w:cs="Times New Roman"/>
                <w:color w:val="auto"/>
                <w:sz w:val="24"/>
                <w:szCs w:val="24"/>
                <w:lang w:val="en-US" w:eastAsia="zh-CN"/>
              </w:rPr>
              <w:t>的特点，按照防渗标准分区防渗。</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③配备消防设施，建立防火档案，确定本项目的消防安全重点部位，并设置防火标志，实行严格管理。</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④制定灭火应急疏散预案，定期举行消防演练，并制定预案；</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⑤根据《危险废物贮存运输技术规范》（HJ2025-2012），贮存易燃易爆危险废物应配置有机气体报警、火灾报警装置。</w:t>
            </w:r>
          </w:p>
          <w:p>
            <w:pPr>
              <w:autoSpaceDE w:val="0"/>
              <w:autoSpaceDN w:val="0"/>
              <w:spacing w:line="360" w:lineRule="auto"/>
              <w:ind w:firstLine="480" w:firstLineChars="200"/>
              <w:jc w:val="left"/>
              <w:rPr>
                <w:rFonts w:hint="eastAsia"/>
                <w:color w:val="auto"/>
                <w:kern w:val="0"/>
                <w:sz w:val="24"/>
                <w:szCs w:val="24"/>
              </w:rPr>
            </w:pPr>
            <w:r>
              <w:rPr>
                <w:rFonts w:hint="eastAsia"/>
                <w:color w:val="auto"/>
                <w:kern w:val="0"/>
                <w:sz w:val="24"/>
                <w:szCs w:val="24"/>
                <w:lang w:val="en-US" w:eastAsia="zh-CN"/>
              </w:rPr>
              <w:t>⑥危险</w:t>
            </w:r>
            <w:r>
              <w:rPr>
                <w:rFonts w:hint="eastAsia"/>
                <w:color w:val="auto"/>
                <w:kern w:val="0"/>
                <w:sz w:val="24"/>
                <w:szCs w:val="24"/>
              </w:rPr>
              <w:t>废</w:t>
            </w:r>
            <w:r>
              <w:rPr>
                <w:rFonts w:hint="eastAsia"/>
                <w:color w:val="auto"/>
                <w:kern w:val="0"/>
                <w:sz w:val="24"/>
                <w:szCs w:val="24"/>
                <w:lang w:val="en-US" w:eastAsia="zh-CN"/>
              </w:rPr>
              <w:t>物</w:t>
            </w:r>
            <w:r>
              <w:rPr>
                <w:rFonts w:hint="eastAsia"/>
                <w:color w:val="auto"/>
                <w:kern w:val="0"/>
                <w:sz w:val="24"/>
                <w:szCs w:val="24"/>
              </w:rPr>
              <w:t>存放过程中，注意存放危险废物堆的防晒、防水等。不相容危险废物要分别存放或存放在不渗透间隔分开的区域内，每个部分都应有防渗漏脚，防漏裙脚的材料要与危险废物相容。</w:t>
            </w:r>
          </w:p>
          <w:p>
            <w:pPr>
              <w:autoSpaceDE w:val="0"/>
              <w:autoSpaceDN w:val="0"/>
              <w:spacing w:line="360" w:lineRule="auto"/>
              <w:ind w:firstLine="480" w:firstLineChars="200"/>
              <w:jc w:val="left"/>
              <w:rPr>
                <w:rFonts w:hint="eastAsia"/>
                <w:b w:val="0"/>
                <w:bCs w:val="0"/>
                <w:color w:val="auto"/>
                <w:kern w:val="0"/>
                <w:sz w:val="24"/>
                <w:szCs w:val="24"/>
              </w:rPr>
            </w:pPr>
            <w:r>
              <w:rPr>
                <w:rFonts w:hint="eastAsia"/>
                <w:b w:val="0"/>
                <w:bCs w:val="0"/>
                <w:color w:val="auto"/>
                <w:kern w:val="0"/>
                <w:sz w:val="24"/>
                <w:szCs w:val="24"/>
                <w:lang w:eastAsia="zh-CN"/>
              </w:rPr>
              <w:t>（</w:t>
            </w:r>
            <w:r>
              <w:rPr>
                <w:rFonts w:hint="eastAsia"/>
                <w:b w:val="0"/>
                <w:bCs w:val="0"/>
                <w:color w:val="auto"/>
                <w:kern w:val="0"/>
                <w:sz w:val="24"/>
                <w:szCs w:val="24"/>
                <w:lang w:val="en-US" w:eastAsia="zh-CN"/>
              </w:rPr>
              <w:t>2</w:t>
            </w:r>
            <w:r>
              <w:rPr>
                <w:rFonts w:hint="eastAsia"/>
                <w:b w:val="0"/>
                <w:bCs w:val="0"/>
                <w:color w:val="auto"/>
                <w:kern w:val="0"/>
                <w:sz w:val="24"/>
                <w:szCs w:val="24"/>
                <w:lang w:eastAsia="zh-CN"/>
              </w:rPr>
              <w:t>）</w:t>
            </w:r>
            <w:r>
              <w:rPr>
                <w:rFonts w:hint="eastAsia"/>
                <w:b w:val="0"/>
                <w:bCs w:val="0"/>
                <w:color w:val="auto"/>
                <w:kern w:val="0"/>
                <w:sz w:val="24"/>
                <w:szCs w:val="24"/>
              </w:rPr>
              <w:t>应急预案</w:t>
            </w:r>
          </w:p>
          <w:p>
            <w:pPr>
              <w:autoSpaceDE w:val="0"/>
              <w:autoSpaceDN w:val="0"/>
              <w:spacing w:line="360" w:lineRule="auto"/>
              <w:ind w:firstLine="480" w:firstLineChars="200"/>
              <w:jc w:val="left"/>
              <w:rPr>
                <w:rFonts w:ascii="宋体" w:hAnsi="宋体" w:cs="宋体"/>
                <w:color w:val="auto"/>
                <w:sz w:val="24"/>
                <w:szCs w:val="24"/>
              </w:rPr>
            </w:pPr>
            <w:r>
              <w:rPr>
                <w:rFonts w:hint="eastAsia"/>
                <w:color w:val="auto"/>
                <w:sz w:val="24"/>
                <w:szCs w:val="24"/>
              </w:rPr>
              <w:t>危废</w:t>
            </w:r>
            <w:r>
              <w:rPr>
                <w:rFonts w:hint="eastAsia"/>
                <w:color w:val="auto"/>
                <w:sz w:val="24"/>
                <w:szCs w:val="24"/>
                <w:lang w:val="en-US" w:eastAsia="zh-CN"/>
              </w:rPr>
              <w:t>贮存</w:t>
            </w:r>
            <w:r>
              <w:rPr>
                <w:rFonts w:hint="eastAsia"/>
                <w:color w:val="auto"/>
                <w:sz w:val="24"/>
                <w:szCs w:val="24"/>
              </w:rPr>
              <w:t>过程中有</w:t>
            </w:r>
            <w:r>
              <w:rPr>
                <w:rFonts w:hint="eastAsia"/>
                <w:color w:val="auto"/>
                <w:sz w:val="24"/>
                <w:szCs w:val="24"/>
                <w:lang w:eastAsia="zh-CN"/>
              </w:rPr>
              <w:t>泄漏</w:t>
            </w:r>
            <w:r>
              <w:rPr>
                <w:rFonts w:hint="eastAsia"/>
                <w:color w:val="auto"/>
                <w:sz w:val="24"/>
                <w:szCs w:val="24"/>
              </w:rPr>
              <w:t>的风险，需加强管理，定期查看有无泄漏或遗撒情况。新增风险纳入到现有突发环境事件应急体系，</w:t>
            </w:r>
            <w:r>
              <w:rPr>
                <w:rFonts w:hint="eastAsia"/>
                <w:color w:val="auto"/>
                <w:sz w:val="24"/>
                <w:szCs w:val="24"/>
                <w:lang w:eastAsia="zh-CN"/>
              </w:rPr>
              <w:t>编制突发环境事件应急预案，</w:t>
            </w:r>
            <w:r>
              <w:rPr>
                <w:rFonts w:hint="eastAsia"/>
                <w:color w:val="auto"/>
                <w:sz w:val="24"/>
                <w:szCs w:val="24"/>
              </w:rPr>
              <w:t>同时按照相关要求，及时对突发环境事件应急预案进行修订。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7" w:type="dxa"/>
            <w:vAlign w:val="center"/>
          </w:tcPr>
          <w:p>
            <w:pPr>
              <w:adjustRightInd w:val="0"/>
              <w:snapToGrid w:val="0"/>
              <w:jc w:val="center"/>
              <w:rPr>
                <w:rFonts w:ascii="宋体" w:hAnsi="宋体" w:cs="宋体"/>
                <w:color w:val="auto"/>
                <w:spacing w:val="-8"/>
                <w:sz w:val="24"/>
                <w:szCs w:val="24"/>
              </w:rPr>
            </w:pPr>
            <w:r>
              <w:rPr>
                <w:rFonts w:hint="eastAsia" w:ascii="宋体" w:hAnsi="宋体" w:cs="宋体"/>
                <w:color w:val="auto"/>
                <w:spacing w:val="-8"/>
                <w:sz w:val="24"/>
                <w:szCs w:val="24"/>
              </w:rPr>
              <w:t>其他环境</w:t>
            </w:r>
          </w:p>
          <w:p>
            <w:pPr>
              <w:adjustRightInd w:val="0"/>
              <w:snapToGrid w:val="0"/>
              <w:jc w:val="center"/>
              <w:rPr>
                <w:rFonts w:ascii="宋体" w:hAnsi="宋体" w:cs="宋体"/>
                <w:color w:val="auto"/>
                <w:spacing w:val="-8"/>
                <w:sz w:val="24"/>
                <w:szCs w:val="24"/>
              </w:rPr>
            </w:pPr>
            <w:r>
              <w:rPr>
                <w:rFonts w:hint="eastAsia" w:ascii="宋体" w:hAnsi="宋体" w:cs="宋体"/>
                <w:color w:val="auto"/>
                <w:spacing w:val="-8"/>
                <w:sz w:val="24"/>
                <w:szCs w:val="24"/>
              </w:rPr>
              <w:t>管理要求</w:t>
            </w:r>
          </w:p>
        </w:tc>
        <w:tc>
          <w:tcPr>
            <w:tcW w:w="7273" w:type="dxa"/>
            <w:gridSpan w:val="4"/>
            <w:vAlign w:val="center"/>
          </w:tcPr>
          <w:p>
            <w:pPr>
              <w:adjustRightInd w:val="0"/>
              <w:snapToGrid w:val="0"/>
              <w:spacing w:line="360" w:lineRule="auto"/>
              <w:ind w:firstLine="480" w:firstLineChars="200"/>
              <w:jc w:val="left"/>
              <w:rPr>
                <w:rFonts w:hint="eastAsia"/>
                <w:color w:val="auto"/>
                <w:sz w:val="24"/>
                <w:szCs w:val="24"/>
              </w:rPr>
            </w:pPr>
            <w:r>
              <w:rPr>
                <w:rFonts w:hint="eastAsia"/>
                <w:color w:val="auto"/>
                <w:sz w:val="24"/>
                <w:szCs w:val="24"/>
              </w:rPr>
              <w:t>1</w:t>
            </w:r>
            <w:r>
              <w:rPr>
                <w:rFonts w:hint="eastAsia"/>
                <w:color w:val="auto"/>
                <w:sz w:val="24"/>
                <w:szCs w:val="24"/>
                <w:lang w:eastAsia="zh-CN"/>
              </w:rPr>
              <w:t>、</w:t>
            </w:r>
            <w:r>
              <w:rPr>
                <w:rFonts w:hint="eastAsia"/>
                <w:color w:val="auto"/>
                <w:sz w:val="24"/>
                <w:szCs w:val="24"/>
              </w:rPr>
              <w:t>根据《建设项目竣工环境保护验收暂行办法》的规定，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w:t>
            </w:r>
          </w:p>
          <w:p>
            <w:pPr>
              <w:adjustRightInd w:val="0"/>
              <w:snapToGrid w:val="0"/>
              <w:spacing w:line="360" w:lineRule="auto"/>
              <w:ind w:firstLine="480" w:firstLineChars="200"/>
              <w:jc w:val="left"/>
              <w:rPr>
                <w:color w:val="auto"/>
                <w:sz w:val="24"/>
                <w:szCs w:val="24"/>
              </w:rPr>
            </w:pPr>
            <w:r>
              <w:rPr>
                <w:rFonts w:hint="eastAsia"/>
                <w:color w:val="auto"/>
                <w:sz w:val="24"/>
                <w:szCs w:val="24"/>
              </w:rPr>
              <w:t>2、</w:t>
            </w:r>
            <w:r>
              <w:rPr>
                <w:color w:val="auto"/>
                <w:sz w:val="24"/>
                <w:szCs w:val="24"/>
              </w:rPr>
              <w:t>本项目</w:t>
            </w:r>
            <w:r>
              <w:rPr>
                <w:rFonts w:hint="eastAsia"/>
                <w:color w:val="auto"/>
                <w:sz w:val="24"/>
                <w:szCs w:val="24"/>
              </w:rPr>
              <w:t>行业类别为G5949其他危险品仓储</w:t>
            </w:r>
            <w:r>
              <w:rPr>
                <w:color w:val="auto"/>
                <w:sz w:val="24"/>
                <w:szCs w:val="24"/>
              </w:rPr>
              <w:t>，根据《固定污染源排污许可分类管理名录（2019年版）》</w:t>
            </w:r>
            <w:r>
              <w:rPr>
                <w:rFonts w:hint="eastAsia"/>
                <w:color w:val="auto"/>
                <w:sz w:val="24"/>
                <w:szCs w:val="24"/>
              </w:rPr>
              <w:t>，</w:t>
            </w:r>
            <w:r>
              <w:rPr>
                <w:rFonts w:hint="eastAsia"/>
                <w:color w:val="auto"/>
                <w:sz w:val="24"/>
                <w:szCs w:val="24"/>
                <w:lang w:eastAsia="zh-CN"/>
              </w:rPr>
              <w:t>应</w:t>
            </w:r>
            <w:r>
              <w:rPr>
                <w:rFonts w:hint="eastAsia"/>
                <w:color w:val="auto"/>
                <w:sz w:val="24"/>
                <w:szCs w:val="24"/>
              </w:rPr>
              <w:t>实行登记管理</w:t>
            </w:r>
            <w:r>
              <w:rPr>
                <w:rFonts w:hint="eastAsia"/>
                <w:color w:val="auto"/>
                <w:sz w:val="24"/>
                <w:szCs w:val="24"/>
                <w:lang w:eastAsia="zh-CN"/>
              </w:rPr>
              <w:t>。由于</w:t>
            </w:r>
            <w:r>
              <w:rPr>
                <w:rFonts w:hint="eastAsia"/>
                <w:color w:val="auto"/>
                <w:sz w:val="24"/>
                <w:szCs w:val="24"/>
              </w:rPr>
              <w:t>项目</w:t>
            </w:r>
            <w:r>
              <w:rPr>
                <w:rFonts w:hint="eastAsia"/>
                <w:color w:val="auto"/>
                <w:sz w:val="24"/>
                <w:szCs w:val="24"/>
                <w:lang w:eastAsia="zh-CN"/>
              </w:rPr>
              <w:t>属于</w:t>
            </w:r>
            <w:r>
              <w:rPr>
                <w:rFonts w:hint="eastAsia"/>
                <w:color w:val="auto"/>
                <w:sz w:val="24"/>
                <w:szCs w:val="24"/>
                <w:lang w:val="en-US" w:eastAsia="zh-CN"/>
              </w:rPr>
              <w:t>渭南高新区海泰新型电子材料有限责任公司危废暂存间（库），因此，</w:t>
            </w:r>
            <w:r>
              <w:rPr>
                <w:rFonts w:hint="eastAsia"/>
                <w:color w:val="auto"/>
                <w:sz w:val="24"/>
                <w:szCs w:val="24"/>
              </w:rPr>
              <w:t>建成后应及时</w:t>
            </w:r>
            <w:r>
              <w:rPr>
                <w:rFonts w:hint="eastAsia"/>
                <w:color w:val="auto"/>
                <w:sz w:val="24"/>
                <w:szCs w:val="24"/>
                <w:lang w:eastAsia="zh-CN"/>
              </w:rPr>
              <w:t>纳入</w:t>
            </w:r>
            <w:r>
              <w:rPr>
                <w:rFonts w:hint="eastAsia"/>
                <w:color w:val="auto"/>
                <w:sz w:val="24"/>
                <w:szCs w:val="24"/>
                <w:lang w:val="en-US" w:eastAsia="zh-CN"/>
              </w:rPr>
              <w:t>渭南高新区海泰新型电子材料有限责任公司的整体排污许可管理中，及时</w:t>
            </w:r>
            <w:r>
              <w:rPr>
                <w:rFonts w:hint="eastAsia"/>
                <w:color w:val="auto"/>
                <w:sz w:val="24"/>
                <w:szCs w:val="24"/>
              </w:rPr>
              <w:t>进行排污许可</w:t>
            </w:r>
            <w:r>
              <w:rPr>
                <w:rFonts w:hint="eastAsia"/>
                <w:color w:val="auto"/>
                <w:sz w:val="24"/>
                <w:szCs w:val="24"/>
                <w:lang w:eastAsia="zh-CN"/>
              </w:rPr>
              <w:t>变更</w:t>
            </w:r>
            <w:r>
              <w:rPr>
                <w:rFonts w:hint="eastAsia"/>
                <w:color w:val="auto"/>
                <w:sz w:val="24"/>
                <w:szCs w:val="24"/>
              </w:rPr>
              <w:t>。</w:t>
            </w:r>
          </w:p>
          <w:p>
            <w:pPr>
              <w:widowControl/>
              <w:numPr>
                <w:ilvl w:val="0"/>
                <w:numId w:val="0"/>
              </w:numPr>
              <w:spacing w:line="360" w:lineRule="auto"/>
              <w:ind w:firstLine="480" w:firstLineChars="200"/>
              <w:rPr>
                <w:color w:val="auto"/>
                <w:sz w:val="24"/>
                <w:szCs w:val="24"/>
              </w:rPr>
            </w:pPr>
            <w:r>
              <w:rPr>
                <w:rFonts w:hint="eastAsia"/>
                <w:color w:val="auto"/>
                <w:sz w:val="24"/>
                <w:szCs w:val="24"/>
                <w:lang w:val="en-US" w:eastAsia="zh-CN"/>
              </w:rPr>
              <w:t>3、</w:t>
            </w:r>
            <w:r>
              <w:rPr>
                <w:rFonts w:hint="eastAsia"/>
                <w:color w:val="auto"/>
                <w:sz w:val="24"/>
                <w:szCs w:val="24"/>
              </w:rPr>
              <w:t>应制定环境管理台账，并对入库出库交接，分区贮存管理，责任人员落实等提出具体制度。</w:t>
            </w:r>
            <w:r>
              <w:rPr>
                <w:color w:val="auto"/>
                <w:sz w:val="24"/>
                <w:szCs w:val="24"/>
              </w:rPr>
              <w:t xml:space="preserve"> </w:t>
            </w:r>
          </w:p>
          <w:p>
            <w:pPr>
              <w:adjustRightInd w:val="0"/>
              <w:snapToGrid w:val="0"/>
              <w:spacing w:line="360" w:lineRule="auto"/>
              <w:ind w:firstLine="480" w:firstLineChars="200"/>
              <w:jc w:val="left"/>
              <w:rPr>
                <w:rFonts w:hint="eastAsia"/>
                <w:color w:val="auto"/>
                <w:sz w:val="24"/>
                <w:szCs w:val="24"/>
              </w:rPr>
            </w:pPr>
            <w:r>
              <w:rPr>
                <w:rFonts w:hint="eastAsia"/>
                <w:color w:val="auto"/>
                <w:sz w:val="24"/>
                <w:szCs w:val="24"/>
                <w:lang w:val="en-US" w:eastAsia="zh-CN"/>
              </w:rPr>
              <w:t>4、</w:t>
            </w:r>
            <w:r>
              <w:rPr>
                <w:rFonts w:hint="eastAsia"/>
                <w:color w:val="auto"/>
                <w:sz w:val="24"/>
                <w:szCs w:val="24"/>
                <w:lang w:eastAsia="zh-CN"/>
              </w:rPr>
              <w:t>危险废物</w:t>
            </w:r>
            <w:r>
              <w:rPr>
                <w:rFonts w:hint="eastAsia"/>
                <w:color w:val="auto"/>
                <w:sz w:val="24"/>
                <w:szCs w:val="24"/>
              </w:rPr>
              <w:t>储存过程中有</w:t>
            </w:r>
            <w:r>
              <w:rPr>
                <w:rFonts w:hint="eastAsia"/>
                <w:color w:val="auto"/>
                <w:sz w:val="24"/>
                <w:szCs w:val="24"/>
                <w:lang w:eastAsia="zh-CN"/>
              </w:rPr>
              <w:t>泄漏</w:t>
            </w:r>
            <w:r>
              <w:rPr>
                <w:rFonts w:hint="eastAsia"/>
                <w:color w:val="auto"/>
                <w:sz w:val="24"/>
                <w:szCs w:val="24"/>
              </w:rPr>
              <w:t>的风险，需加强管理，定期查看有无泄漏或遗撒情况。新增风险纳入到现有突发环境事件应急体系，</w:t>
            </w:r>
            <w:r>
              <w:rPr>
                <w:rFonts w:hint="eastAsia"/>
                <w:color w:val="auto"/>
                <w:sz w:val="24"/>
                <w:szCs w:val="24"/>
                <w:lang w:eastAsia="zh-CN"/>
              </w:rPr>
              <w:t>编制突发环境事件应急预案，</w:t>
            </w:r>
            <w:r>
              <w:rPr>
                <w:rFonts w:hint="eastAsia"/>
                <w:color w:val="auto"/>
                <w:sz w:val="24"/>
                <w:szCs w:val="24"/>
              </w:rPr>
              <w:t>同时按照相关要求，及时对突发环境事件应急预案进行修订。</w:t>
            </w:r>
          </w:p>
          <w:p>
            <w:pPr>
              <w:adjustRightInd w:val="0"/>
              <w:snapToGrid w:val="0"/>
              <w:spacing w:line="360" w:lineRule="auto"/>
              <w:ind w:firstLine="480" w:firstLineChars="200"/>
              <w:jc w:val="left"/>
              <w:rPr>
                <w:rFonts w:hint="eastAsia"/>
                <w:color w:val="auto"/>
                <w:sz w:val="24"/>
                <w:szCs w:val="24"/>
                <w:lang w:val="en-US" w:eastAsia="zh-CN"/>
              </w:rPr>
            </w:pPr>
            <w:r>
              <w:rPr>
                <w:rFonts w:hint="eastAsia"/>
                <w:color w:val="auto"/>
                <w:sz w:val="24"/>
                <w:szCs w:val="24"/>
                <w:lang w:val="en-US" w:eastAsia="zh-CN"/>
              </w:rPr>
              <w:t xml:space="preserve">5、危险废物暂存后需委托第三方相关危废处置公司进行转运处置，危险废物处置单位应具有相应类别危险废物处置资质。 </w:t>
            </w:r>
          </w:p>
          <w:p>
            <w:pPr>
              <w:adjustRightInd w:val="0"/>
              <w:snapToGrid w:val="0"/>
              <w:spacing w:line="360" w:lineRule="auto"/>
              <w:ind w:firstLine="480" w:firstLineChars="200"/>
              <w:jc w:val="left"/>
              <w:rPr>
                <w:rFonts w:hint="eastAsia"/>
                <w:color w:val="auto"/>
                <w:sz w:val="24"/>
                <w:szCs w:val="24"/>
                <w:lang w:val="en-US" w:eastAsia="zh-CN"/>
              </w:rPr>
            </w:pPr>
            <w:r>
              <w:rPr>
                <w:rFonts w:hint="eastAsia"/>
                <w:color w:val="auto"/>
                <w:sz w:val="24"/>
                <w:szCs w:val="24"/>
                <w:lang w:val="en-US" w:eastAsia="zh-CN"/>
              </w:rPr>
              <w:t xml:space="preserve">6、实行自行监测和定期报告制度 </w:t>
            </w:r>
          </w:p>
          <w:p>
            <w:pPr>
              <w:adjustRightInd w:val="0"/>
              <w:snapToGrid w:val="0"/>
              <w:spacing w:line="360" w:lineRule="auto"/>
              <w:ind w:firstLine="480" w:firstLineChars="200"/>
              <w:jc w:val="left"/>
              <w:rPr>
                <w:rFonts w:hint="eastAsia" w:cs="Times New Roman"/>
                <w:color w:val="auto"/>
                <w:kern w:val="2"/>
                <w:sz w:val="24"/>
                <w:szCs w:val="24"/>
                <w:lang w:val="en-US" w:eastAsia="zh-CN" w:bidi="ar-SA"/>
              </w:rPr>
            </w:pPr>
            <w:r>
              <w:rPr>
                <w:rFonts w:hint="eastAsia"/>
                <w:color w:val="auto"/>
                <w:sz w:val="24"/>
                <w:szCs w:val="24"/>
                <w:lang w:val="en-US" w:eastAsia="zh-CN"/>
              </w:rPr>
              <w:t xml:space="preserve">依法开展自行监测，安装或使用监测设备应符合国家有关环境监测、计量认证规定和技术规范，保障数据合法有效，保证设备正常运行，妥善保存原始记录，建立准确完整的环境管理台账。根据《排污许可证申请与核发技术规范-工业固体废物（试行）》（HJ1200-2021）、《排污许可证申请与核发技术规范 工业固体废物和危险废物治理》（HJ1033-2019）等，如实向环境保护部门报告排污许可证执行情况，依法向社会公开污染物排放数据并对数据真实性负责。排放情况与排污许可证要求不符的，应及时向环境保护部门报告。 </w:t>
            </w:r>
          </w:p>
          <w:p>
            <w:pPr>
              <w:tabs>
                <w:tab w:val="left" w:pos="837"/>
              </w:tabs>
              <w:bidi w:val="0"/>
              <w:ind w:firstLine="1440" w:firstLineChars="600"/>
              <w:jc w:val="left"/>
              <w:rPr>
                <w:rFonts w:hint="eastAsia" w:ascii="Times New Roman" w:hAnsi="Times New Roman" w:eastAsia="宋体" w:cs="Times New Roman"/>
                <w:color w:val="auto"/>
                <w:kern w:val="2"/>
                <w:sz w:val="24"/>
                <w:szCs w:val="24"/>
                <w:lang w:val="en-US" w:eastAsia="zh-CN" w:bidi="ar-SA"/>
              </w:rPr>
            </w:pPr>
          </w:p>
        </w:tc>
      </w:tr>
    </w:tbl>
    <w:p>
      <w:pPr>
        <w:pStyle w:val="27"/>
        <w:jc w:val="center"/>
        <w:outlineLvl w:val="0"/>
        <w:rPr>
          <w:rFonts w:ascii="黑体" w:hAnsi="黑体" w:eastAsia="黑体"/>
          <w:snapToGrid w:val="0"/>
          <w:color w:val="auto"/>
          <w:sz w:val="30"/>
          <w:szCs w:val="30"/>
        </w:rPr>
      </w:pPr>
      <w:r>
        <w:rPr>
          <w:snapToGrid w:val="0"/>
          <w:color w:val="auto"/>
        </w:rPr>
        <w:br w:type="page"/>
      </w:r>
      <w:bookmarkStart w:id="16" w:name="_Toc19751"/>
      <w:r>
        <w:rPr>
          <w:rFonts w:hint="eastAsia" w:ascii="黑体" w:hAnsi="黑体" w:eastAsia="黑体"/>
          <w:snapToGrid w:val="0"/>
          <w:color w:val="auto"/>
          <w:sz w:val="30"/>
          <w:szCs w:val="30"/>
        </w:rPr>
        <w:t>六、结论</w:t>
      </w:r>
      <w:bookmarkEnd w:id="16"/>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tabs>
                <w:tab w:val="left" w:pos="2900"/>
              </w:tabs>
              <w:spacing w:line="360" w:lineRule="auto"/>
              <w:ind w:firstLine="480" w:firstLineChars="200"/>
              <w:rPr>
                <w:rFonts w:hint="eastAsia" w:ascii="宋体" w:hAnsi="宋体" w:cs="仿宋_GB2312"/>
                <w:bCs/>
                <w:color w:val="auto"/>
                <w:sz w:val="24"/>
                <w:szCs w:val="24"/>
                <w:highlight w:val="none"/>
                <w:lang w:val="en-US" w:eastAsia="zh-CN"/>
              </w:rPr>
            </w:pPr>
          </w:p>
          <w:p>
            <w:pPr>
              <w:tabs>
                <w:tab w:val="left" w:pos="2900"/>
              </w:tabs>
              <w:spacing w:line="360" w:lineRule="auto"/>
              <w:ind w:firstLine="480" w:firstLineChars="200"/>
              <w:rPr>
                <w:rFonts w:ascii="宋体" w:cs="宋体"/>
                <w:color w:val="auto"/>
                <w:sz w:val="24"/>
              </w:rPr>
            </w:pPr>
            <w:r>
              <w:rPr>
                <w:rFonts w:hint="eastAsia" w:ascii="宋体" w:hAnsi="宋体" w:cs="仿宋_GB2312"/>
                <w:bCs/>
                <w:color w:val="auto"/>
                <w:sz w:val="24"/>
                <w:szCs w:val="24"/>
                <w:highlight w:val="none"/>
                <w:lang w:val="en-US" w:eastAsia="zh-CN"/>
              </w:rPr>
              <w:t>综上所述，本项目符合国家相关产业政策和当地规划；项目产生的污染物经治理后均能达标排放，且污染防治措施技术可靠、经济可行，项目在落实各项环保措施的前提下，对周围环境影响较小。因此，从环保的角度分析，本项目的建设环境影响可行。</w:t>
            </w: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color w:val="auto"/>
          <w:sz w:val="32"/>
          <w:szCs w:val="32"/>
        </w:rPr>
      </w:pPr>
      <w:bookmarkStart w:id="17" w:name="_Toc29204"/>
      <w:r>
        <w:rPr>
          <w:rFonts w:hint="eastAsia" w:ascii="黑体" w:hAnsi="黑体" w:eastAsia="黑体"/>
          <w:snapToGrid w:val="0"/>
          <w:color w:val="auto"/>
          <w:sz w:val="32"/>
          <w:szCs w:val="32"/>
        </w:rPr>
        <w:t>附表</w:t>
      </w:r>
      <w:bookmarkEnd w:id="17"/>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方正小标宋_GBK" w:hAnsi="黑体" w:eastAsia="方正小标宋_GBK"/>
          <w:snapToGrid w:val="0"/>
          <w:color w:val="auto"/>
          <w:sz w:val="38"/>
          <w:szCs w:val="38"/>
        </w:rPr>
      </w:pPr>
      <w:bookmarkStart w:id="18" w:name="_Toc9500"/>
      <w:r>
        <w:rPr>
          <w:rFonts w:hint="eastAsia" w:ascii="方正小标宋_GBK" w:hAnsi="黑体" w:eastAsia="方正小标宋_GBK"/>
          <w:snapToGrid w:val="0"/>
          <w:color w:val="auto"/>
          <w:sz w:val="38"/>
          <w:szCs w:val="38"/>
        </w:rPr>
        <w:t>建设项目污染物排放量汇总表</w:t>
      </w:r>
      <w:bookmarkEnd w:id="18"/>
    </w:p>
    <w:tbl>
      <w:tblPr>
        <w:tblStyle w:val="31"/>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653"/>
        <w:gridCol w:w="1236"/>
        <w:gridCol w:w="1692"/>
        <w:gridCol w:w="1136"/>
        <w:gridCol w:w="1448"/>
        <w:gridCol w:w="1643"/>
        <w:gridCol w:w="1706"/>
        <w:gridCol w:w="15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tcBorders>
              <w:tl2br w:val="single" w:color="auto" w:sz="4" w:space="0"/>
            </w:tcBorders>
            <w:tcMar>
              <w:left w:w="28" w:type="dxa"/>
              <w:right w:w="28" w:type="dxa"/>
            </w:tcMar>
            <w:vAlign w:val="center"/>
          </w:tcPr>
          <w:p>
            <w:pPr>
              <w:pStyle w:val="54"/>
              <w:spacing w:beforeLines="0" w:afterLines="0" w:line="240" w:lineRule="auto"/>
              <w:jc w:val="righ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pPr>
              <w:pStyle w:val="54"/>
              <w:spacing w:beforeLines="0" w:afterLines="0" w:line="240" w:lineRule="auto"/>
              <w:jc w:val="lef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612" w:type="pct"/>
            <w:tcMar>
              <w:left w:w="28" w:type="dxa"/>
              <w:right w:w="28" w:type="dxa"/>
            </w:tcMar>
            <w:vAlign w:val="center"/>
          </w:tcPr>
          <w:p>
            <w:pPr>
              <w:pStyle w:val="54"/>
              <w:spacing w:beforeLines="0" w:afterLines="0" w:line="240" w:lineRule="auto"/>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458" w:type="pct"/>
            <w:tcMar>
              <w:left w:w="28" w:type="dxa"/>
              <w:right w:w="28" w:type="dxa"/>
            </w:tcMar>
            <w:vAlign w:val="center"/>
          </w:tcPr>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w:t>
            </w:r>
            <w:r>
              <w:rPr>
                <w:rFonts w:hint="eastAsia" w:ascii="黑体" w:hAnsi="黑体" w:eastAsia="黑体"/>
                <w:snapToGrid w:val="0"/>
                <w:color w:val="auto"/>
                <w:spacing w:val="-6"/>
                <w:kern w:val="21"/>
                <w:szCs w:val="21"/>
                <w:lang w:val="en-US" w:eastAsia="zh-CN"/>
              </w:rPr>
              <w:t xml:space="preserve"> </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627" w:type="pct"/>
            <w:tcMar>
              <w:left w:w="28" w:type="dxa"/>
              <w:right w:w="28" w:type="dxa"/>
            </w:tcMar>
            <w:vAlign w:val="center"/>
          </w:tcPr>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421" w:type="pct"/>
            <w:tcMar>
              <w:left w:w="28" w:type="dxa"/>
              <w:right w:w="28" w:type="dxa"/>
            </w:tcMar>
            <w:vAlign w:val="center"/>
          </w:tcPr>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w:t>
            </w:r>
            <w:r>
              <w:rPr>
                <w:rFonts w:hint="eastAsia" w:ascii="黑体" w:hAnsi="黑体" w:eastAsia="黑体"/>
                <w:snapToGrid w:val="0"/>
                <w:color w:val="auto"/>
                <w:spacing w:val="-6"/>
                <w:kern w:val="21"/>
                <w:szCs w:val="21"/>
                <w:lang w:val="en-US" w:eastAsia="zh-CN"/>
              </w:rPr>
              <w:t xml:space="preserve"> </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536" w:type="pct"/>
            <w:tcMar>
              <w:left w:w="28" w:type="dxa"/>
              <w:right w:w="28" w:type="dxa"/>
            </w:tcMar>
            <w:vAlign w:val="center"/>
          </w:tcPr>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w:t>
            </w:r>
            <w:r>
              <w:rPr>
                <w:rFonts w:hint="eastAsia" w:ascii="黑体" w:hAnsi="黑体" w:eastAsia="黑体"/>
                <w:snapToGrid w:val="0"/>
                <w:color w:val="auto"/>
                <w:spacing w:val="-6"/>
                <w:kern w:val="21"/>
                <w:szCs w:val="21"/>
                <w:lang w:val="en-US" w:eastAsia="zh-CN"/>
              </w:rPr>
              <w:t xml:space="preserve"> </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609" w:type="pct"/>
            <w:tcMar>
              <w:left w:w="28" w:type="dxa"/>
              <w:right w:w="28" w:type="dxa"/>
            </w:tcMar>
            <w:vAlign w:val="center"/>
          </w:tcPr>
          <w:p>
            <w:pPr>
              <w:pStyle w:val="54"/>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pPr>
              <w:pStyle w:val="54"/>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632" w:type="pct"/>
            <w:tcMar>
              <w:left w:w="28" w:type="dxa"/>
              <w:right w:w="28" w:type="dxa"/>
            </w:tcMar>
            <w:vAlign w:val="center"/>
          </w:tcPr>
          <w:p>
            <w:pPr>
              <w:pStyle w:val="54"/>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pPr>
              <w:pStyle w:val="54"/>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w:t>
            </w:r>
            <w:r>
              <w:rPr>
                <w:rFonts w:hint="eastAsia" w:ascii="黑体" w:hAnsi="黑体" w:eastAsia="黑体"/>
                <w:snapToGrid w:val="0"/>
                <w:color w:val="auto"/>
                <w:spacing w:val="-16"/>
                <w:kern w:val="21"/>
                <w:szCs w:val="21"/>
                <w:lang w:val="en-US" w:eastAsia="zh-CN"/>
              </w:rPr>
              <w:t xml:space="preserve">  </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590" w:type="pct"/>
            <w:tcMar>
              <w:left w:w="28" w:type="dxa"/>
              <w:right w:w="28" w:type="dxa"/>
            </w:tcMar>
            <w:vAlign w:val="center"/>
          </w:tcPr>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Merge w:val="restart"/>
            <w:vAlign w:val="center"/>
          </w:tcPr>
          <w:p>
            <w:pPr>
              <w:pStyle w:val="54"/>
              <w:spacing w:beforeLines="0" w:afterLines="0" w:line="240" w:lineRule="auto"/>
              <w:rPr>
                <w:rFonts w:hAnsi="宋体" w:cs="宋体"/>
                <w:snapToGrid w:val="0"/>
                <w:color w:val="auto"/>
                <w:kern w:val="21"/>
                <w:sz w:val="24"/>
                <w:szCs w:val="24"/>
              </w:rPr>
            </w:pPr>
            <w:r>
              <w:rPr>
                <w:rFonts w:hint="eastAsia" w:hAnsi="宋体" w:cs="宋体"/>
                <w:snapToGrid w:val="0"/>
                <w:color w:val="auto"/>
                <w:kern w:val="21"/>
                <w:sz w:val="24"/>
                <w:szCs w:val="24"/>
              </w:rPr>
              <w:t>废气</w:t>
            </w:r>
          </w:p>
        </w:tc>
        <w:tc>
          <w:tcPr>
            <w:tcW w:w="612" w:type="pct"/>
            <w:vAlign w:val="center"/>
          </w:tcPr>
          <w:p>
            <w:pPr>
              <w:adjustRightInd w:val="0"/>
              <w:snapToGrid w:val="0"/>
              <w:spacing w:line="240" w:lineRule="atLeast"/>
              <w:jc w:val="center"/>
              <w:rPr>
                <w:rFonts w:hint="eastAsia" w:ascii="Times New Roman" w:eastAsia="宋体"/>
                <w:snapToGrid w:val="0"/>
                <w:color w:val="auto"/>
                <w:kern w:val="21"/>
                <w:sz w:val="24"/>
                <w:szCs w:val="24"/>
                <w:lang w:eastAsia="zh-CN"/>
              </w:rPr>
            </w:pPr>
            <w:r>
              <w:rPr>
                <w:rFonts w:hint="eastAsia"/>
                <w:color w:val="auto"/>
                <w:sz w:val="24"/>
                <w:szCs w:val="24"/>
                <w:lang w:eastAsia="zh-CN"/>
              </w:rPr>
              <w:t>非甲烷总烃</w:t>
            </w:r>
          </w:p>
        </w:tc>
        <w:tc>
          <w:tcPr>
            <w:tcW w:w="458"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cs="Times New Roman"/>
                <w:color w:val="auto"/>
                <w:sz w:val="24"/>
                <w:szCs w:val="24"/>
                <w:highlight w:val="none"/>
                <w:lang w:val="en-US" w:eastAsia="zh-CN"/>
              </w:rPr>
              <w:t>1.49</w:t>
            </w:r>
          </w:p>
        </w:tc>
        <w:tc>
          <w:tcPr>
            <w:tcW w:w="627"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cs="Times New Roman"/>
                <w:color w:val="auto"/>
                <w:sz w:val="24"/>
                <w:szCs w:val="24"/>
                <w:highlight w:val="none"/>
                <w:lang w:val="en-US" w:eastAsia="zh-CN"/>
              </w:rPr>
              <w:t>1.49</w:t>
            </w:r>
          </w:p>
        </w:tc>
        <w:tc>
          <w:tcPr>
            <w:tcW w:w="421"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536"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cs="Times New Roman"/>
                <w:color w:val="auto"/>
                <w:sz w:val="24"/>
                <w:szCs w:val="24"/>
                <w:highlight w:val="none"/>
                <w:lang w:val="en-US" w:eastAsia="zh-CN"/>
              </w:rPr>
              <w:t>1.49</w:t>
            </w:r>
          </w:p>
        </w:tc>
        <w:tc>
          <w:tcPr>
            <w:tcW w:w="609"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c>
          <w:tcPr>
            <w:tcW w:w="632"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cs="Times New Roman"/>
                <w:color w:val="auto"/>
                <w:sz w:val="24"/>
                <w:szCs w:val="24"/>
                <w:highlight w:val="none"/>
                <w:lang w:val="en-US" w:eastAsia="zh-CN"/>
              </w:rPr>
              <w:t>1.49</w:t>
            </w:r>
          </w:p>
        </w:tc>
        <w:tc>
          <w:tcPr>
            <w:tcW w:w="590"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 xml:space="preserve">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Merge w:val="continue"/>
            <w:vAlign w:val="center"/>
          </w:tcPr>
          <w:p>
            <w:pPr>
              <w:pStyle w:val="54"/>
              <w:spacing w:beforeLines="0" w:afterLines="0" w:line="240" w:lineRule="auto"/>
              <w:rPr>
                <w:rFonts w:hint="eastAsia" w:hAnsi="宋体" w:cs="宋体"/>
                <w:snapToGrid w:val="0"/>
                <w:color w:val="auto"/>
                <w:kern w:val="21"/>
                <w:sz w:val="24"/>
                <w:szCs w:val="24"/>
              </w:rPr>
            </w:pPr>
          </w:p>
        </w:tc>
        <w:tc>
          <w:tcPr>
            <w:tcW w:w="612" w:type="pct"/>
            <w:vAlign w:val="center"/>
          </w:tcPr>
          <w:p>
            <w:pPr>
              <w:adjustRightInd w:val="0"/>
              <w:snapToGrid w:val="0"/>
              <w:spacing w:line="240" w:lineRule="atLeast"/>
              <w:jc w:val="center"/>
              <w:rPr>
                <w:rFonts w:hint="eastAsia" w:ascii="Times New Roman"/>
                <w:snapToGrid w:val="0"/>
                <w:color w:val="auto"/>
                <w:kern w:val="21"/>
                <w:sz w:val="24"/>
                <w:szCs w:val="24"/>
                <w:lang w:val="en-US" w:eastAsia="zh-CN"/>
              </w:rPr>
            </w:pPr>
            <w:r>
              <w:rPr>
                <w:rFonts w:hint="eastAsia"/>
                <w:color w:val="auto"/>
                <w:sz w:val="24"/>
                <w:szCs w:val="24"/>
                <w:lang w:eastAsia="zh-CN"/>
              </w:rPr>
              <w:t>甲苯</w:t>
            </w:r>
          </w:p>
        </w:tc>
        <w:tc>
          <w:tcPr>
            <w:tcW w:w="458"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0.02891</w:t>
            </w:r>
          </w:p>
        </w:tc>
        <w:tc>
          <w:tcPr>
            <w:tcW w:w="627"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0.02891</w:t>
            </w:r>
          </w:p>
        </w:tc>
        <w:tc>
          <w:tcPr>
            <w:tcW w:w="421"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536"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0.02891</w:t>
            </w:r>
          </w:p>
        </w:tc>
        <w:tc>
          <w:tcPr>
            <w:tcW w:w="609"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c>
          <w:tcPr>
            <w:tcW w:w="632"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0.02891</w:t>
            </w:r>
          </w:p>
        </w:tc>
        <w:tc>
          <w:tcPr>
            <w:tcW w:w="590"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Merge w:val="continue"/>
            <w:vAlign w:val="center"/>
          </w:tcPr>
          <w:p>
            <w:pPr>
              <w:pStyle w:val="54"/>
              <w:spacing w:beforeLines="0" w:afterLines="0" w:line="240" w:lineRule="auto"/>
              <w:rPr>
                <w:rFonts w:hint="eastAsia" w:hAnsi="宋体" w:cs="宋体"/>
                <w:snapToGrid w:val="0"/>
                <w:color w:val="auto"/>
                <w:kern w:val="21"/>
                <w:sz w:val="24"/>
                <w:szCs w:val="24"/>
              </w:rPr>
            </w:pPr>
          </w:p>
        </w:tc>
        <w:tc>
          <w:tcPr>
            <w:tcW w:w="612" w:type="pct"/>
            <w:vAlign w:val="center"/>
          </w:tcPr>
          <w:p>
            <w:pPr>
              <w:adjustRightInd w:val="0"/>
              <w:snapToGrid w:val="0"/>
              <w:spacing w:line="240" w:lineRule="atLeast"/>
              <w:jc w:val="center"/>
              <w:rPr>
                <w:rFonts w:hint="eastAsia" w:ascii="Times New Roman"/>
                <w:snapToGrid w:val="0"/>
                <w:color w:val="auto"/>
                <w:kern w:val="21"/>
                <w:sz w:val="24"/>
                <w:szCs w:val="24"/>
                <w:lang w:val="en-US" w:eastAsia="zh-CN"/>
              </w:rPr>
            </w:pPr>
            <w:r>
              <w:rPr>
                <w:rFonts w:hint="eastAsia"/>
                <w:color w:val="auto"/>
                <w:sz w:val="24"/>
                <w:szCs w:val="24"/>
                <w:lang w:eastAsia="zh-CN"/>
              </w:rPr>
              <w:t>甲醇</w:t>
            </w:r>
          </w:p>
        </w:tc>
        <w:tc>
          <w:tcPr>
            <w:tcW w:w="458"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0.349</w:t>
            </w:r>
          </w:p>
        </w:tc>
        <w:tc>
          <w:tcPr>
            <w:tcW w:w="627"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0.349</w:t>
            </w:r>
          </w:p>
        </w:tc>
        <w:tc>
          <w:tcPr>
            <w:tcW w:w="421"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536"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0.349</w:t>
            </w:r>
          </w:p>
        </w:tc>
        <w:tc>
          <w:tcPr>
            <w:tcW w:w="609"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c>
          <w:tcPr>
            <w:tcW w:w="632"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0.349</w:t>
            </w:r>
          </w:p>
        </w:tc>
        <w:tc>
          <w:tcPr>
            <w:tcW w:w="590"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Merge w:val="continue"/>
            <w:vAlign w:val="center"/>
          </w:tcPr>
          <w:p>
            <w:pPr>
              <w:pStyle w:val="54"/>
              <w:spacing w:beforeLines="0" w:afterLines="0" w:line="240" w:lineRule="auto"/>
              <w:rPr>
                <w:rFonts w:hint="eastAsia" w:hAnsi="宋体" w:cs="宋体"/>
                <w:snapToGrid w:val="0"/>
                <w:color w:val="auto"/>
                <w:kern w:val="21"/>
                <w:sz w:val="24"/>
                <w:szCs w:val="24"/>
              </w:rPr>
            </w:pPr>
          </w:p>
        </w:tc>
        <w:tc>
          <w:tcPr>
            <w:tcW w:w="612" w:type="pct"/>
            <w:vAlign w:val="center"/>
          </w:tcPr>
          <w:p>
            <w:pPr>
              <w:adjustRightInd w:val="0"/>
              <w:snapToGrid w:val="0"/>
              <w:spacing w:line="240" w:lineRule="atLeast"/>
              <w:jc w:val="center"/>
              <w:rPr>
                <w:rFonts w:hint="eastAsia" w:ascii="Times New Roman"/>
                <w:snapToGrid w:val="0"/>
                <w:color w:val="auto"/>
                <w:kern w:val="21"/>
                <w:sz w:val="24"/>
                <w:szCs w:val="24"/>
                <w:lang w:val="en-US" w:eastAsia="zh-CN"/>
              </w:rPr>
            </w:pPr>
            <w:r>
              <w:rPr>
                <w:rFonts w:hint="eastAsia"/>
                <w:color w:val="auto"/>
                <w:sz w:val="24"/>
                <w:szCs w:val="24"/>
                <w:lang w:eastAsia="zh-CN"/>
              </w:rPr>
              <w:t>臭气浓度</w:t>
            </w:r>
          </w:p>
        </w:tc>
        <w:tc>
          <w:tcPr>
            <w:tcW w:w="458" w:type="pct"/>
            <w:vAlign w:val="center"/>
          </w:tcPr>
          <w:p>
            <w:pPr>
              <w:pStyle w:val="74"/>
              <w:adjustRightInd w:val="0"/>
              <w:snapToGrid w:val="0"/>
              <w:spacing w:line="240" w:lineRule="atLeast"/>
              <w:ind w:firstLine="0" w:firstLineChars="0"/>
              <w:rPr>
                <w:rFonts w:hint="eastAsia" w:ascii="Times New Roman"/>
                <w:snapToGrid w:val="0"/>
                <w:color w:val="auto"/>
                <w:kern w:val="21"/>
                <w:sz w:val="24"/>
                <w:szCs w:val="24"/>
                <w:lang w:val="en-US" w:eastAsia="zh-CN"/>
              </w:rPr>
            </w:pPr>
            <w:r>
              <w:rPr>
                <w:rFonts w:hint="eastAsia" w:eastAsia="宋体"/>
                <w:color w:val="auto"/>
                <w:sz w:val="24"/>
                <w:szCs w:val="24"/>
                <w:lang w:val="en-US" w:eastAsia="zh-CN"/>
              </w:rPr>
              <w:t>/</w:t>
            </w:r>
          </w:p>
        </w:tc>
        <w:tc>
          <w:tcPr>
            <w:tcW w:w="627" w:type="pct"/>
            <w:vAlign w:val="center"/>
          </w:tcPr>
          <w:p>
            <w:pPr>
              <w:pStyle w:val="74"/>
              <w:adjustRightInd w:val="0"/>
              <w:snapToGrid w:val="0"/>
              <w:spacing w:line="240" w:lineRule="atLeast"/>
              <w:ind w:firstLine="0" w:firstLineChars="0"/>
              <w:rPr>
                <w:rFonts w:hint="default" w:ascii="Times New Roman"/>
                <w:snapToGrid w:val="0"/>
                <w:color w:val="auto"/>
                <w:kern w:val="21"/>
                <w:sz w:val="24"/>
                <w:szCs w:val="24"/>
                <w:lang w:val="en-US" w:eastAsia="zh-CN"/>
              </w:rPr>
            </w:pPr>
            <w:r>
              <w:rPr>
                <w:rFonts w:hint="eastAsia" w:eastAsia="宋体"/>
                <w:color w:val="auto"/>
                <w:sz w:val="24"/>
                <w:szCs w:val="24"/>
                <w:lang w:val="en-US" w:eastAsia="zh-CN"/>
              </w:rPr>
              <w:t>/</w:t>
            </w:r>
          </w:p>
        </w:tc>
        <w:tc>
          <w:tcPr>
            <w:tcW w:w="421"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536" w:type="pct"/>
            <w:vAlign w:val="center"/>
          </w:tcPr>
          <w:p>
            <w:pPr>
              <w:pStyle w:val="74"/>
              <w:adjustRightInd w:val="0"/>
              <w:snapToGrid w:val="0"/>
              <w:spacing w:line="240" w:lineRule="atLeast"/>
              <w:ind w:firstLine="0" w:firstLineChars="0"/>
              <w:rPr>
                <w:rFonts w:hint="eastAsia" w:ascii="Times New Roman"/>
                <w:snapToGrid w:val="0"/>
                <w:color w:val="auto"/>
                <w:kern w:val="21"/>
                <w:sz w:val="24"/>
                <w:szCs w:val="24"/>
                <w:lang w:val="en-US" w:eastAsia="zh-CN"/>
              </w:rPr>
            </w:pPr>
            <w:r>
              <w:rPr>
                <w:rFonts w:hint="eastAsia" w:eastAsia="宋体"/>
                <w:color w:val="auto"/>
                <w:sz w:val="24"/>
                <w:szCs w:val="24"/>
                <w:lang w:val="en-US" w:eastAsia="zh-CN"/>
              </w:rPr>
              <w:t>/</w:t>
            </w:r>
          </w:p>
        </w:tc>
        <w:tc>
          <w:tcPr>
            <w:tcW w:w="609"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632" w:type="pct"/>
            <w:vAlign w:val="center"/>
          </w:tcPr>
          <w:p>
            <w:pPr>
              <w:pStyle w:val="74"/>
              <w:adjustRightInd w:val="0"/>
              <w:snapToGrid w:val="0"/>
              <w:spacing w:line="240" w:lineRule="atLeast"/>
              <w:ind w:firstLine="0" w:firstLineChars="0"/>
              <w:rPr>
                <w:rFonts w:hint="eastAsia" w:ascii="Times New Roman"/>
                <w:snapToGrid w:val="0"/>
                <w:color w:val="auto"/>
                <w:kern w:val="21"/>
                <w:sz w:val="24"/>
                <w:szCs w:val="24"/>
                <w:lang w:val="en-US" w:eastAsia="zh-CN"/>
              </w:rPr>
            </w:pPr>
            <w:r>
              <w:rPr>
                <w:rFonts w:hint="eastAsia" w:eastAsia="宋体"/>
                <w:color w:val="auto"/>
                <w:sz w:val="24"/>
                <w:szCs w:val="24"/>
                <w:lang w:val="en-US" w:eastAsia="zh-CN"/>
              </w:rPr>
              <w:t>/</w:t>
            </w:r>
          </w:p>
        </w:tc>
        <w:tc>
          <w:tcPr>
            <w:tcW w:w="590"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Align w:val="center"/>
          </w:tcPr>
          <w:p>
            <w:pPr>
              <w:pStyle w:val="54"/>
              <w:spacing w:beforeLines="0" w:afterLines="0" w:line="240" w:lineRule="auto"/>
              <w:rPr>
                <w:rFonts w:hAnsi="宋体" w:cs="宋体"/>
                <w:snapToGrid w:val="0"/>
                <w:color w:val="auto"/>
                <w:kern w:val="21"/>
                <w:sz w:val="24"/>
                <w:szCs w:val="24"/>
              </w:rPr>
            </w:pPr>
            <w:r>
              <w:rPr>
                <w:rFonts w:hint="eastAsia" w:hAnsi="宋体" w:cs="宋体"/>
                <w:snapToGrid w:val="0"/>
                <w:color w:val="auto"/>
                <w:kern w:val="21"/>
                <w:sz w:val="24"/>
                <w:szCs w:val="24"/>
              </w:rPr>
              <w:t>废水</w:t>
            </w:r>
          </w:p>
        </w:tc>
        <w:tc>
          <w:tcPr>
            <w:tcW w:w="612" w:type="pct"/>
            <w:vAlign w:val="center"/>
          </w:tcPr>
          <w:p>
            <w:pPr>
              <w:pStyle w:val="54"/>
              <w:spacing w:beforeLines="0" w:afterLines="0" w:line="240" w:lineRule="auto"/>
              <w:ind w:left="200" w:leftChars="0" w:hanging="200" w:firstLineChars="0"/>
              <w:rPr>
                <w:rFonts w:hint="eastAsia" w:ascii="Times New Roman" w:eastAsia="宋体"/>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458"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 xml:space="preserve">/ </w:t>
            </w:r>
          </w:p>
        </w:tc>
        <w:tc>
          <w:tcPr>
            <w:tcW w:w="627"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421"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536"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609"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632"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590"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Align w:val="center"/>
          </w:tcPr>
          <w:p>
            <w:pPr>
              <w:pStyle w:val="54"/>
              <w:spacing w:beforeLines="0" w:afterLines="0" w:line="240" w:lineRule="auto"/>
              <w:rPr>
                <w:rFonts w:hAnsi="宋体" w:cs="宋体"/>
                <w:snapToGrid w:val="0"/>
                <w:color w:val="auto"/>
                <w:kern w:val="21"/>
                <w:sz w:val="24"/>
                <w:szCs w:val="24"/>
              </w:rPr>
            </w:pPr>
            <w:r>
              <w:rPr>
                <w:rFonts w:hint="eastAsia" w:hAnsi="宋体" w:cs="宋体"/>
                <w:snapToGrid w:val="0"/>
                <w:color w:val="auto"/>
                <w:kern w:val="21"/>
                <w:sz w:val="24"/>
                <w:szCs w:val="24"/>
              </w:rPr>
              <w:t>一般工业</w:t>
            </w:r>
          </w:p>
          <w:p>
            <w:pPr>
              <w:pStyle w:val="54"/>
              <w:spacing w:beforeLines="0" w:afterLines="0" w:line="240" w:lineRule="auto"/>
              <w:rPr>
                <w:rFonts w:hAnsi="宋体" w:cs="宋体"/>
                <w:snapToGrid w:val="0"/>
                <w:color w:val="auto"/>
                <w:kern w:val="21"/>
                <w:sz w:val="24"/>
                <w:szCs w:val="24"/>
              </w:rPr>
            </w:pPr>
            <w:r>
              <w:rPr>
                <w:rFonts w:hint="eastAsia" w:hAnsi="宋体" w:cs="宋体"/>
                <w:snapToGrid w:val="0"/>
                <w:color w:val="auto"/>
                <w:kern w:val="21"/>
                <w:sz w:val="24"/>
                <w:szCs w:val="24"/>
              </w:rPr>
              <w:t>固体废物</w:t>
            </w:r>
          </w:p>
        </w:tc>
        <w:tc>
          <w:tcPr>
            <w:tcW w:w="612"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458"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627"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421"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536"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609"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632"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590"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jc w:val="both"/>
              <w:textAlignment w:val="auto"/>
              <w:rPr>
                <w:rFonts w:hint="eastAsia" w:hAnsi="宋体" w:eastAsia="宋体" w:cs="宋体"/>
                <w:snapToGrid w:val="0"/>
                <w:color w:val="auto"/>
                <w:kern w:val="21"/>
                <w:sz w:val="24"/>
                <w:szCs w:val="24"/>
                <w:lang w:eastAsia="zh-CN"/>
              </w:rPr>
            </w:pPr>
            <w:r>
              <w:rPr>
                <w:rFonts w:hint="eastAsia" w:hAnsi="宋体" w:cs="宋体"/>
                <w:snapToGrid w:val="0"/>
                <w:color w:val="auto"/>
                <w:kern w:val="21"/>
                <w:sz w:val="24"/>
                <w:szCs w:val="24"/>
                <w:lang w:eastAsia="zh-CN"/>
              </w:rPr>
              <w:t>危险废物</w:t>
            </w:r>
          </w:p>
        </w:tc>
        <w:tc>
          <w:tcPr>
            <w:tcW w:w="4489" w:type="pct"/>
            <w:gridSpan w:val="8"/>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480" w:firstLineChars="200"/>
              <w:textAlignment w:val="auto"/>
              <w:rPr>
                <w:rFonts w:hint="eastAsia" w:ascii="Times New Roman" w:hAnsi="Times New Roman" w:eastAsia="宋体" w:cs="Times New Roman"/>
                <w:snapToGrid w:val="0"/>
                <w:color w:val="auto"/>
                <w:kern w:val="21"/>
                <w:sz w:val="24"/>
                <w:szCs w:val="24"/>
                <w:lang w:val="en-US" w:eastAsia="zh-CN"/>
              </w:rPr>
            </w:pPr>
            <w:r>
              <w:rPr>
                <w:rFonts w:hint="eastAsia" w:cs="Times New Roman" w:eastAsiaTheme="minorEastAsia"/>
                <w:color w:val="auto"/>
                <w:sz w:val="24"/>
                <w:szCs w:val="24"/>
                <w:lang w:val="en-US" w:eastAsia="zh-CN"/>
              </w:rPr>
              <w:t>本项目为危废暂存间，</w:t>
            </w:r>
            <w:r>
              <w:rPr>
                <w:rFonts w:hint="eastAsia"/>
                <w:color w:val="auto"/>
                <w:sz w:val="24"/>
                <w:szCs w:val="24"/>
                <w:lang w:val="en-US" w:eastAsia="zh-CN"/>
              </w:rPr>
              <w:t>本次扩建的危废暂存间和现有危废暂存间共同用于暂存渭南高新区海泰新型电子材料有限责任公司危险废物，定期交由有资质单位统一拉运处置。详见报告表4-8 扩建完成后危险废物贮存情况表。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3" w:type="pct"/>
            <w:gridSpan w:val="2"/>
            <w:vAlign w:val="center"/>
          </w:tcPr>
          <w:p>
            <w:pPr>
              <w:pStyle w:val="54"/>
              <w:spacing w:beforeLines="0" w:afterLines="0" w:line="240" w:lineRule="auto"/>
              <w:rPr>
                <w:rFonts w:hint="eastAsia" w:hAnsi="宋体" w:cs="宋体"/>
                <w:snapToGrid w:val="0"/>
                <w:color w:val="auto"/>
                <w:kern w:val="21"/>
                <w:sz w:val="24"/>
                <w:szCs w:val="24"/>
                <w:lang w:val="en-US" w:eastAsia="zh-CN"/>
              </w:rPr>
            </w:pPr>
            <w:r>
              <w:rPr>
                <w:rFonts w:hint="eastAsia" w:hAnsi="宋体" w:cs="宋体"/>
                <w:snapToGrid w:val="0"/>
                <w:color w:val="auto"/>
                <w:kern w:val="21"/>
                <w:sz w:val="24"/>
                <w:szCs w:val="24"/>
                <w:lang w:eastAsia="zh-CN"/>
              </w:rPr>
              <w:t>生活垃圾</w:t>
            </w:r>
          </w:p>
        </w:tc>
        <w:tc>
          <w:tcPr>
            <w:tcW w:w="3876" w:type="pct"/>
            <w:gridSpan w:val="7"/>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eastAsia="宋体"/>
                <w:snapToGrid w:val="0"/>
                <w:color w:val="auto"/>
                <w:kern w:val="21"/>
                <w:sz w:val="24"/>
                <w:szCs w:val="24"/>
                <w:lang w:val="en-US" w:eastAsia="zh-CN"/>
              </w:rPr>
            </w:pPr>
            <w:r>
              <w:rPr>
                <w:rFonts w:hint="default" w:ascii="Times New Roman" w:hAnsi="Times New Roman" w:cs="Times New Roman" w:eastAsiaTheme="minorEastAsia"/>
                <w:color w:val="auto"/>
                <w:sz w:val="24"/>
                <w:szCs w:val="24"/>
              </w:rPr>
              <w:t>本项目运营期</w:t>
            </w:r>
            <w:r>
              <w:rPr>
                <w:rFonts w:hint="eastAsia"/>
                <w:color w:val="auto"/>
                <w:sz w:val="24"/>
                <w:szCs w:val="24"/>
                <w:lang w:val="en-US" w:eastAsia="zh-CN"/>
              </w:rPr>
              <w:t>不新增工作人员，不新增生活垃圾。厂区内</w:t>
            </w:r>
            <w:r>
              <w:rPr>
                <w:rFonts w:hint="default"/>
                <w:color w:val="auto"/>
                <w:sz w:val="24"/>
                <w:szCs w:val="24"/>
                <w:lang w:val="en-US" w:eastAsia="zh-CN"/>
              </w:rPr>
              <w:t>生活垃圾收集后由环卫部门统一清理。</w:t>
            </w:r>
          </w:p>
        </w:tc>
      </w:tr>
    </w:tbl>
    <w:p>
      <w:pPr>
        <w:pStyle w:val="54"/>
        <w:spacing w:before="192" w:beforeLines="80" w:after="24"/>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bidi w:val="0"/>
        <w:rPr>
          <w:rFonts w:hint="eastAsia"/>
          <w:lang w:val="en-US" w:eastAsia="zh-CN"/>
        </w:rPr>
      </w:pPr>
    </w:p>
    <w:p>
      <w:pPr>
        <w:rPr>
          <w:rFonts w:hint="eastAsia"/>
          <w:lang w:val="en-US" w:eastAsia="zh-CN"/>
        </w:rPr>
      </w:pPr>
    </w:p>
    <w:p>
      <w:pPr>
        <w:pStyle w:val="2"/>
        <w:rPr>
          <w:rFonts w:hint="eastAsia"/>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5"/>
      </w:rPr>
    </w:pPr>
    <w:r>
      <w:fldChar w:fldCharType="begin"/>
    </w:r>
    <w:r>
      <w:rPr>
        <w:rStyle w:val="35"/>
      </w:rPr>
      <w:instrText xml:space="preserve">PAGE  </w:instrText>
    </w:r>
    <w:r>
      <w:fldChar w:fldCharType="end"/>
    </w:r>
  </w:p>
  <w:p>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9</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VZcJbgAQAAuwMAAA4AAAAA&#10;AAAAAQAgAAAAHgEAAGRycy9lMm9Eb2MueG1sUEsFBgAAAAAGAAYAWQEAAHAFAAAAAA==&#10;">
              <v:fill on="f" focussize="0,0"/>
              <v:stroke on="f"/>
              <v:imagedata o:title=""/>
              <o:lock v:ext="edit" aspectratio="f"/>
              <v:textbox inset="0mm,0mm,0mm,0mm" style="mso-fit-shape-to-text:t;">
                <w:txbxContent>
                  <w:p>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9</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11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CO3h/4QEAALwDAAAOAAAA&#10;AAAAAAEAIAAAAB4BAABkcnMvZTJvRG9jLnhtbFBLBQYAAAAABgAGAFkBAABxBQAAAAA=&#10;">
              <v:fill on="f" focussize="0,0"/>
              <v:stroke on="f"/>
              <v:imagedata o:title=""/>
              <o:lock v:ext="edit" aspectratio="f"/>
              <v:textbox inset="0mm,0mm,0mm,0mm" style="mso-fit-shape-to-text:t;">
                <w:txbxContent>
                  <w:p>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11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3A1EF"/>
    <w:multiLevelType w:val="singleLevel"/>
    <w:tmpl w:val="A953A1EF"/>
    <w:lvl w:ilvl="0" w:tentative="0">
      <w:start w:val="1"/>
      <w:numFmt w:val="decimal"/>
      <w:suff w:val="nothing"/>
      <w:lvlText w:val="（%1）"/>
      <w:lvlJc w:val="left"/>
    </w:lvl>
  </w:abstractNum>
  <w:abstractNum w:abstractNumId="1">
    <w:nsid w:val="ACCB9B0E"/>
    <w:multiLevelType w:val="singleLevel"/>
    <w:tmpl w:val="ACCB9B0E"/>
    <w:lvl w:ilvl="0" w:tentative="0">
      <w:start w:val="1"/>
      <w:numFmt w:val="decimal"/>
      <w:suff w:val="nothing"/>
      <w:lvlText w:val="%1、"/>
      <w:lvlJc w:val="left"/>
      <w:pPr>
        <w:ind w:left="121" w:leftChars="0" w:firstLine="0" w:firstLineChars="0"/>
      </w:pPr>
    </w:lvl>
  </w:abstractNum>
  <w:abstractNum w:abstractNumId="2">
    <w:nsid w:val="B176D46A"/>
    <w:multiLevelType w:val="singleLevel"/>
    <w:tmpl w:val="B176D46A"/>
    <w:lvl w:ilvl="0" w:tentative="0">
      <w:start w:val="1"/>
      <w:numFmt w:val="decimal"/>
      <w:suff w:val="nothing"/>
      <w:lvlText w:val="%1、"/>
      <w:lvlJc w:val="left"/>
      <w:pPr>
        <w:ind w:left="208"/>
      </w:pPr>
    </w:lvl>
  </w:abstractNum>
  <w:abstractNum w:abstractNumId="3">
    <w:nsid w:val="CD011B7A"/>
    <w:multiLevelType w:val="singleLevel"/>
    <w:tmpl w:val="CD011B7A"/>
    <w:lvl w:ilvl="0" w:tentative="0">
      <w:start w:val="1"/>
      <w:numFmt w:val="decimal"/>
      <w:suff w:val="nothing"/>
      <w:lvlText w:val="（%1）"/>
      <w:lvlJc w:val="left"/>
    </w:lvl>
  </w:abstractNum>
  <w:abstractNum w:abstractNumId="4">
    <w:nsid w:val="D436B499"/>
    <w:multiLevelType w:val="singleLevel"/>
    <w:tmpl w:val="D436B499"/>
    <w:lvl w:ilvl="0" w:tentative="0">
      <w:start w:val="1"/>
      <w:numFmt w:val="decimal"/>
      <w:suff w:val="nothing"/>
      <w:lvlText w:val="%1）"/>
      <w:lvlJc w:val="left"/>
    </w:lvl>
  </w:abstractNum>
  <w:abstractNum w:abstractNumId="5">
    <w:nsid w:val="D5FBBEE1"/>
    <w:multiLevelType w:val="singleLevel"/>
    <w:tmpl w:val="D5FBBEE1"/>
    <w:lvl w:ilvl="0" w:tentative="0">
      <w:start w:val="1"/>
      <w:numFmt w:val="decimal"/>
      <w:suff w:val="nothing"/>
      <w:lvlText w:val="%1、"/>
      <w:lvlJc w:val="left"/>
    </w:lvl>
  </w:abstractNum>
  <w:abstractNum w:abstractNumId="6">
    <w:nsid w:val="E9565399"/>
    <w:multiLevelType w:val="singleLevel"/>
    <w:tmpl w:val="E9565399"/>
    <w:lvl w:ilvl="0" w:tentative="0">
      <w:start w:val="1"/>
      <w:numFmt w:val="decimal"/>
      <w:suff w:val="nothing"/>
      <w:lvlText w:val="（%1）"/>
      <w:lvlJc w:val="left"/>
      <w:pPr>
        <w:ind w:left="210"/>
      </w:pPr>
    </w:lvl>
  </w:abstractNum>
  <w:abstractNum w:abstractNumId="7">
    <w:nsid w:val="022A7CC2"/>
    <w:multiLevelType w:val="singleLevel"/>
    <w:tmpl w:val="022A7CC2"/>
    <w:lvl w:ilvl="0" w:tentative="0">
      <w:start w:val="1"/>
      <w:numFmt w:val="decimal"/>
      <w:suff w:val="nothing"/>
      <w:lvlText w:val="%1）"/>
      <w:lvlJc w:val="left"/>
    </w:lvl>
  </w:abstractNum>
  <w:abstractNum w:abstractNumId="8">
    <w:nsid w:val="104AFCA7"/>
    <w:multiLevelType w:val="singleLevel"/>
    <w:tmpl w:val="104AFCA7"/>
    <w:lvl w:ilvl="0" w:tentative="0">
      <w:start w:val="1"/>
      <w:numFmt w:val="decimal"/>
      <w:suff w:val="nothing"/>
      <w:lvlText w:val="（%1）"/>
      <w:lvlJc w:val="left"/>
    </w:lvl>
  </w:abstractNum>
  <w:abstractNum w:abstractNumId="9">
    <w:nsid w:val="10B54ECD"/>
    <w:multiLevelType w:val="singleLevel"/>
    <w:tmpl w:val="10B54ECD"/>
    <w:lvl w:ilvl="0" w:tentative="0">
      <w:start w:val="1"/>
      <w:numFmt w:val="decimal"/>
      <w:suff w:val="nothing"/>
      <w:lvlText w:val="%1、"/>
      <w:lvlJc w:val="left"/>
    </w:lvl>
  </w:abstractNum>
  <w:abstractNum w:abstractNumId="10">
    <w:nsid w:val="18510795"/>
    <w:multiLevelType w:val="singleLevel"/>
    <w:tmpl w:val="18510795"/>
    <w:lvl w:ilvl="0" w:tentative="0">
      <w:start w:val="1"/>
      <w:numFmt w:val="decimal"/>
      <w:suff w:val="nothing"/>
      <w:lvlText w:val="%1、"/>
      <w:lvlJc w:val="left"/>
    </w:lvl>
  </w:abstractNum>
  <w:abstractNum w:abstractNumId="11">
    <w:nsid w:val="18C6B0C3"/>
    <w:multiLevelType w:val="singleLevel"/>
    <w:tmpl w:val="18C6B0C3"/>
    <w:lvl w:ilvl="0" w:tentative="0">
      <w:start w:val="1"/>
      <w:numFmt w:val="decimal"/>
      <w:suff w:val="nothing"/>
      <w:lvlText w:val="（%1）"/>
      <w:lvlJc w:val="left"/>
    </w:lvl>
  </w:abstractNum>
  <w:abstractNum w:abstractNumId="12">
    <w:nsid w:val="19EA2AAB"/>
    <w:multiLevelType w:val="singleLevel"/>
    <w:tmpl w:val="19EA2AAB"/>
    <w:lvl w:ilvl="0" w:tentative="0">
      <w:start w:val="1"/>
      <w:numFmt w:val="decimal"/>
      <w:suff w:val="nothing"/>
      <w:lvlText w:val="（%1）"/>
      <w:lvlJc w:val="left"/>
    </w:lvl>
  </w:abstractNum>
  <w:abstractNum w:abstractNumId="13">
    <w:nsid w:val="21F3297D"/>
    <w:multiLevelType w:val="multilevel"/>
    <w:tmpl w:val="21F3297D"/>
    <w:lvl w:ilvl="0" w:tentative="0">
      <w:start w:val="1"/>
      <w:numFmt w:val="none"/>
      <w:pStyle w:val="72"/>
      <w:lvlText w:val="4."/>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49466DDC"/>
    <w:multiLevelType w:val="singleLevel"/>
    <w:tmpl w:val="49466DDC"/>
    <w:lvl w:ilvl="0" w:tentative="0">
      <w:start w:val="1"/>
      <w:numFmt w:val="decimal"/>
      <w:suff w:val="nothing"/>
      <w:lvlText w:val="%1、"/>
      <w:lvlJc w:val="left"/>
    </w:lvl>
  </w:abstractNum>
  <w:abstractNum w:abstractNumId="15">
    <w:nsid w:val="511CD8D3"/>
    <w:multiLevelType w:val="singleLevel"/>
    <w:tmpl w:val="511CD8D3"/>
    <w:lvl w:ilvl="0" w:tentative="0">
      <w:start w:val="5"/>
      <w:numFmt w:val="decimal"/>
      <w:suff w:val="nothing"/>
      <w:lvlText w:val="（%1）"/>
      <w:lvlJc w:val="left"/>
    </w:lvl>
  </w:abstractNum>
  <w:abstractNum w:abstractNumId="16">
    <w:nsid w:val="531D9B9E"/>
    <w:multiLevelType w:val="singleLevel"/>
    <w:tmpl w:val="531D9B9E"/>
    <w:lvl w:ilvl="0" w:tentative="0">
      <w:start w:val="2"/>
      <w:numFmt w:val="decimal"/>
      <w:suff w:val="nothing"/>
      <w:lvlText w:val="（%1）"/>
      <w:lvlJc w:val="left"/>
    </w:lvl>
  </w:abstractNum>
  <w:abstractNum w:abstractNumId="17">
    <w:nsid w:val="5A0255C5"/>
    <w:multiLevelType w:val="singleLevel"/>
    <w:tmpl w:val="5A0255C5"/>
    <w:lvl w:ilvl="0" w:tentative="0">
      <w:start w:val="1"/>
      <w:numFmt w:val="chineseCounting"/>
      <w:suff w:val="nothing"/>
      <w:lvlText w:val="（%1）"/>
      <w:lvlJc w:val="left"/>
      <w:rPr>
        <w:rFonts w:hint="eastAsia"/>
      </w:rPr>
    </w:lvl>
  </w:abstractNum>
  <w:abstractNum w:abstractNumId="18">
    <w:nsid w:val="5DA8073E"/>
    <w:multiLevelType w:val="singleLevel"/>
    <w:tmpl w:val="5DA8073E"/>
    <w:lvl w:ilvl="0" w:tentative="0">
      <w:start w:val="2"/>
      <w:numFmt w:val="decimal"/>
      <w:suff w:val="nothing"/>
      <w:lvlText w:val="%1、"/>
      <w:lvlJc w:val="left"/>
    </w:lvl>
  </w:abstractNum>
  <w:abstractNum w:abstractNumId="19">
    <w:nsid w:val="7CB30B86"/>
    <w:multiLevelType w:val="singleLevel"/>
    <w:tmpl w:val="7CB30B86"/>
    <w:lvl w:ilvl="0" w:tentative="0">
      <w:start w:val="1"/>
      <w:numFmt w:val="decimal"/>
      <w:suff w:val="nothing"/>
      <w:lvlText w:val="（%1）"/>
      <w:lvlJc w:val="left"/>
    </w:lvl>
  </w:abstractNum>
  <w:abstractNum w:abstractNumId="20">
    <w:nsid w:val="7F694143"/>
    <w:multiLevelType w:val="singleLevel"/>
    <w:tmpl w:val="7F694143"/>
    <w:lvl w:ilvl="0" w:tentative="0">
      <w:start w:val="4"/>
      <w:numFmt w:val="chineseCounting"/>
      <w:suff w:val="nothing"/>
      <w:lvlText w:val="%1、"/>
      <w:lvlJc w:val="left"/>
      <w:rPr>
        <w:rFonts w:hint="eastAsia"/>
      </w:rPr>
    </w:lvl>
  </w:abstractNum>
  <w:num w:numId="1">
    <w:abstractNumId w:val="13"/>
  </w:num>
  <w:num w:numId="2">
    <w:abstractNumId w:val="18"/>
  </w:num>
  <w:num w:numId="3">
    <w:abstractNumId w:val="17"/>
  </w:num>
  <w:num w:numId="4">
    <w:abstractNumId w:val="11"/>
  </w:num>
  <w:num w:numId="5">
    <w:abstractNumId w:val="1"/>
  </w:num>
  <w:num w:numId="6">
    <w:abstractNumId w:val="8"/>
  </w:num>
  <w:num w:numId="7">
    <w:abstractNumId w:val="2"/>
  </w:num>
  <w:num w:numId="8">
    <w:abstractNumId w:val="3"/>
  </w:num>
  <w:num w:numId="9">
    <w:abstractNumId w:val="16"/>
  </w:num>
  <w:num w:numId="10">
    <w:abstractNumId w:val="10"/>
  </w:num>
  <w:num w:numId="11">
    <w:abstractNumId w:val="12"/>
  </w:num>
  <w:num w:numId="12">
    <w:abstractNumId w:val="0"/>
  </w:num>
  <w:num w:numId="13">
    <w:abstractNumId w:val="20"/>
  </w:num>
  <w:num w:numId="14">
    <w:abstractNumId w:val="14"/>
  </w:num>
  <w:num w:numId="15">
    <w:abstractNumId w:val="5"/>
  </w:num>
  <w:num w:numId="16">
    <w:abstractNumId w:val="9"/>
  </w:num>
  <w:num w:numId="17">
    <w:abstractNumId w:val="19"/>
  </w:num>
  <w:num w:numId="18">
    <w:abstractNumId w:val="4"/>
  </w:num>
  <w:num w:numId="19">
    <w:abstractNumId w:val="6"/>
  </w:num>
  <w:num w:numId="20">
    <w:abstractNumId w:val="1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2ZWU0MzFlNzA0YjQzMjA5ZTk5NjE1NTlkZjBmNDQifQ=="/>
    <w:docVar w:name="KSO_WPS_MARK_KEY" w:val="d47c6333-de8c-478c-bb68-609f4b67396b"/>
  </w:docVars>
  <w:rsids>
    <w:rsidRoot w:val="00A14947"/>
    <w:rsid w:val="00001A32"/>
    <w:rsid w:val="000060B3"/>
    <w:rsid w:val="00032F7A"/>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6281"/>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00E5"/>
    <w:rsid w:val="0019262D"/>
    <w:rsid w:val="00196629"/>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237F"/>
    <w:rsid w:val="002D3DD0"/>
    <w:rsid w:val="002E1F3A"/>
    <w:rsid w:val="002E298A"/>
    <w:rsid w:val="00301978"/>
    <w:rsid w:val="0030332C"/>
    <w:rsid w:val="003051C2"/>
    <w:rsid w:val="00305274"/>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2984"/>
    <w:rsid w:val="003D794D"/>
    <w:rsid w:val="003E3058"/>
    <w:rsid w:val="003E54A2"/>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B48E1"/>
    <w:rsid w:val="004E6946"/>
    <w:rsid w:val="004F1AD8"/>
    <w:rsid w:val="005039CB"/>
    <w:rsid w:val="0050558F"/>
    <w:rsid w:val="00506286"/>
    <w:rsid w:val="00510813"/>
    <w:rsid w:val="00511990"/>
    <w:rsid w:val="00511DE0"/>
    <w:rsid w:val="00514870"/>
    <w:rsid w:val="00514B9B"/>
    <w:rsid w:val="00517F02"/>
    <w:rsid w:val="00524303"/>
    <w:rsid w:val="005258A2"/>
    <w:rsid w:val="00530612"/>
    <w:rsid w:val="005401AE"/>
    <w:rsid w:val="00542E07"/>
    <w:rsid w:val="00545424"/>
    <w:rsid w:val="00554A7B"/>
    <w:rsid w:val="0055572C"/>
    <w:rsid w:val="0056106A"/>
    <w:rsid w:val="005720AE"/>
    <w:rsid w:val="00594D77"/>
    <w:rsid w:val="005969E4"/>
    <w:rsid w:val="005A06B7"/>
    <w:rsid w:val="005A1759"/>
    <w:rsid w:val="005A68A7"/>
    <w:rsid w:val="005B7FE4"/>
    <w:rsid w:val="005D2F48"/>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0D55"/>
    <w:rsid w:val="006E12FF"/>
    <w:rsid w:val="006E607E"/>
    <w:rsid w:val="00706C5D"/>
    <w:rsid w:val="00732922"/>
    <w:rsid w:val="0075162E"/>
    <w:rsid w:val="00754034"/>
    <w:rsid w:val="00756556"/>
    <w:rsid w:val="007618C4"/>
    <w:rsid w:val="00767980"/>
    <w:rsid w:val="00770B19"/>
    <w:rsid w:val="0077463F"/>
    <w:rsid w:val="00775D4B"/>
    <w:rsid w:val="007836EA"/>
    <w:rsid w:val="00784CDA"/>
    <w:rsid w:val="007906C4"/>
    <w:rsid w:val="007940EA"/>
    <w:rsid w:val="007967E8"/>
    <w:rsid w:val="007A2170"/>
    <w:rsid w:val="007A22BF"/>
    <w:rsid w:val="007A3323"/>
    <w:rsid w:val="007B72B8"/>
    <w:rsid w:val="007B7A58"/>
    <w:rsid w:val="007C21B5"/>
    <w:rsid w:val="007E21B8"/>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362E"/>
    <w:rsid w:val="00995992"/>
    <w:rsid w:val="009A03E5"/>
    <w:rsid w:val="009A0F3B"/>
    <w:rsid w:val="009A1BB4"/>
    <w:rsid w:val="009A2628"/>
    <w:rsid w:val="009A3200"/>
    <w:rsid w:val="009B0897"/>
    <w:rsid w:val="009B7BD9"/>
    <w:rsid w:val="009C7DD5"/>
    <w:rsid w:val="009E227D"/>
    <w:rsid w:val="009E5019"/>
    <w:rsid w:val="00A04F1B"/>
    <w:rsid w:val="00A0501B"/>
    <w:rsid w:val="00A079C7"/>
    <w:rsid w:val="00A11ED5"/>
    <w:rsid w:val="00A14947"/>
    <w:rsid w:val="00A32A83"/>
    <w:rsid w:val="00A368DB"/>
    <w:rsid w:val="00A423AA"/>
    <w:rsid w:val="00A4361E"/>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2805"/>
    <w:rsid w:val="00C64BFF"/>
    <w:rsid w:val="00C704E9"/>
    <w:rsid w:val="00C763C9"/>
    <w:rsid w:val="00C80057"/>
    <w:rsid w:val="00C82232"/>
    <w:rsid w:val="00C82913"/>
    <w:rsid w:val="00C972B1"/>
    <w:rsid w:val="00CA2CCE"/>
    <w:rsid w:val="00CA43FD"/>
    <w:rsid w:val="00CA613C"/>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0E97"/>
    <w:rsid w:val="00E2656A"/>
    <w:rsid w:val="00E412D0"/>
    <w:rsid w:val="00E56322"/>
    <w:rsid w:val="00E60982"/>
    <w:rsid w:val="00E62C62"/>
    <w:rsid w:val="00E654C1"/>
    <w:rsid w:val="00E65D97"/>
    <w:rsid w:val="00E72A5A"/>
    <w:rsid w:val="00E73354"/>
    <w:rsid w:val="00E80394"/>
    <w:rsid w:val="00E9242D"/>
    <w:rsid w:val="00EB5255"/>
    <w:rsid w:val="00EB5C47"/>
    <w:rsid w:val="00ED0639"/>
    <w:rsid w:val="00EF4755"/>
    <w:rsid w:val="00EF7135"/>
    <w:rsid w:val="00F027DB"/>
    <w:rsid w:val="00F069CD"/>
    <w:rsid w:val="00F14A7A"/>
    <w:rsid w:val="00F22985"/>
    <w:rsid w:val="00F3383E"/>
    <w:rsid w:val="00F465A7"/>
    <w:rsid w:val="00F50B7C"/>
    <w:rsid w:val="00F550E6"/>
    <w:rsid w:val="00F656DE"/>
    <w:rsid w:val="00F74345"/>
    <w:rsid w:val="00F80A0A"/>
    <w:rsid w:val="00F82B19"/>
    <w:rsid w:val="00F9212D"/>
    <w:rsid w:val="00F965DA"/>
    <w:rsid w:val="00FA406A"/>
    <w:rsid w:val="00FB1CC0"/>
    <w:rsid w:val="00FB503A"/>
    <w:rsid w:val="00FB516C"/>
    <w:rsid w:val="00FD0236"/>
    <w:rsid w:val="00FD18F4"/>
    <w:rsid w:val="00FD54DB"/>
    <w:rsid w:val="00FD619F"/>
    <w:rsid w:val="011E0236"/>
    <w:rsid w:val="01290F7E"/>
    <w:rsid w:val="01323CE1"/>
    <w:rsid w:val="01454703"/>
    <w:rsid w:val="015D1E09"/>
    <w:rsid w:val="01695955"/>
    <w:rsid w:val="017B3B55"/>
    <w:rsid w:val="01AD4D56"/>
    <w:rsid w:val="01B354EA"/>
    <w:rsid w:val="01BA7D4E"/>
    <w:rsid w:val="01E36F4E"/>
    <w:rsid w:val="01E70628"/>
    <w:rsid w:val="01FD5AB3"/>
    <w:rsid w:val="02113575"/>
    <w:rsid w:val="021D70DF"/>
    <w:rsid w:val="0227136C"/>
    <w:rsid w:val="023575E5"/>
    <w:rsid w:val="02697903"/>
    <w:rsid w:val="02A43D1D"/>
    <w:rsid w:val="02BF0840"/>
    <w:rsid w:val="02E24B61"/>
    <w:rsid w:val="02E84657"/>
    <w:rsid w:val="02EB406C"/>
    <w:rsid w:val="02F96569"/>
    <w:rsid w:val="03104E09"/>
    <w:rsid w:val="031A3365"/>
    <w:rsid w:val="03381231"/>
    <w:rsid w:val="034253AD"/>
    <w:rsid w:val="0348159A"/>
    <w:rsid w:val="035D4597"/>
    <w:rsid w:val="036D00AF"/>
    <w:rsid w:val="038852D4"/>
    <w:rsid w:val="03AA4C63"/>
    <w:rsid w:val="03D22144"/>
    <w:rsid w:val="03E322AC"/>
    <w:rsid w:val="03EA7B21"/>
    <w:rsid w:val="03FE04A3"/>
    <w:rsid w:val="0424259F"/>
    <w:rsid w:val="043D0E14"/>
    <w:rsid w:val="045C65EA"/>
    <w:rsid w:val="04893C18"/>
    <w:rsid w:val="04E470A0"/>
    <w:rsid w:val="05025778"/>
    <w:rsid w:val="05157BA2"/>
    <w:rsid w:val="0520214C"/>
    <w:rsid w:val="053171B4"/>
    <w:rsid w:val="053F305D"/>
    <w:rsid w:val="05487A70"/>
    <w:rsid w:val="05512A90"/>
    <w:rsid w:val="056B0190"/>
    <w:rsid w:val="056B4B16"/>
    <w:rsid w:val="05A64CE0"/>
    <w:rsid w:val="05C0567F"/>
    <w:rsid w:val="05CB22BB"/>
    <w:rsid w:val="05E9638D"/>
    <w:rsid w:val="05F20F73"/>
    <w:rsid w:val="05F83EAE"/>
    <w:rsid w:val="0606092B"/>
    <w:rsid w:val="06226A06"/>
    <w:rsid w:val="063E7D85"/>
    <w:rsid w:val="064323A1"/>
    <w:rsid w:val="06901BB8"/>
    <w:rsid w:val="06952D48"/>
    <w:rsid w:val="06AF5B76"/>
    <w:rsid w:val="06C278B5"/>
    <w:rsid w:val="06E82466"/>
    <w:rsid w:val="06FA19CE"/>
    <w:rsid w:val="07231279"/>
    <w:rsid w:val="07293586"/>
    <w:rsid w:val="07295285"/>
    <w:rsid w:val="074F208F"/>
    <w:rsid w:val="075065BC"/>
    <w:rsid w:val="07636392"/>
    <w:rsid w:val="07667795"/>
    <w:rsid w:val="07770C56"/>
    <w:rsid w:val="077D0A4B"/>
    <w:rsid w:val="077F3AB3"/>
    <w:rsid w:val="07870976"/>
    <w:rsid w:val="079B25E0"/>
    <w:rsid w:val="079E1A04"/>
    <w:rsid w:val="07D50140"/>
    <w:rsid w:val="08012539"/>
    <w:rsid w:val="082058C8"/>
    <w:rsid w:val="08395955"/>
    <w:rsid w:val="083E5E44"/>
    <w:rsid w:val="085E716A"/>
    <w:rsid w:val="0878256E"/>
    <w:rsid w:val="087F780C"/>
    <w:rsid w:val="08961FC9"/>
    <w:rsid w:val="08A10FEA"/>
    <w:rsid w:val="08A84C97"/>
    <w:rsid w:val="08BF37EF"/>
    <w:rsid w:val="08C05347"/>
    <w:rsid w:val="08DE33AB"/>
    <w:rsid w:val="08EE2D4F"/>
    <w:rsid w:val="08F55D20"/>
    <w:rsid w:val="090D27AF"/>
    <w:rsid w:val="092217DD"/>
    <w:rsid w:val="092F01B8"/>
    <w:rsid w:val="0933542B"/>
    <w:rsid w:val="093A7294"/>
    <w:rsid w:val="09400B40"/>
    <w:rsid w:val="09763059"/>
    <w:rsid w:val="097C01EF"/>
    <w:rsid w:val="0988643E"/>
    <w:rsid w:val="09911F20"/>
    <w:rsid w:val="099D7D71"/>
    <w:rsid w:val="09AA6B1D"/>
    <w:rsid w:val="09CB139F"/>
    <w:rsid w:val="09D129E3"/>
    <w:rsid w:val="09DD2324"/>
    <w:rsid w:val="09DF42DA"/>
    <w:rsid w:val="09E366B7"/>
    <w:rsid w:val="09EB75E0"/>
    <w:rsid w:val="09EE4C79"/>
    <w:rsid w:val="09F75AC8"/>
    <w:rsid w:val="0A043E1E"/>
    <w:rsid w:val="0A23066B"/>
    <w:rsid w:val="0A263993"/>
    <w:rsid w:val="0A2D3AC2"/>
    <w:rsid w:val="0A362524"/>
    <w:rsid w:val="0A526C05"/>
    <w:rsid w:val="0A60366D"/>
    <w:rsid w:val="0A85631C"/>
    <w:rsid w:val="0AA755DF"/>
    <w:rsid w:val="0AAE64BA"/>
    <w:rsid w:val="0ACE430C"/>
    <w:rsid w:val="0AE42508"/>
    <w:rsid w:val="0B0F299D"/>
    <w:rsid w:val="0B1054C7"/>
    <w:rsid w:val="0B120D44"/>
    <w:rsid w:val="0B242101"/>
    <w:rsid w:val="0B337CA4"/>
    <w:rsid w:val="0B8D7114"/>
    <w:rsid w:val="0BA36F45"/>
    <w:rsid w:val="0BC467D3"/>
    <w:rsid w:val="0BD27BF6"/>
    <w:rsid w:val="0BE43E2A"/>
    <w:rsid w:val="0BEE462D"/>
    <w:rsid w:val="0BF33CDB"/>
    <w:rsid w:val="0C2C241F"/>
    <w:rsid w:val="0C3B3C7D"/>
    <w:rsid w:val="0C3F059C"/>
    <w:rsid w:val="0C4900DF"/>
    <w:rsid w:val="0C572706"/>
    <w:rsid w:val="0C673DCB"/>
    <w:rsid w:val="0C812CC8"/>
    <w:rsid w:val="0C83145C"/>
    <w:rsid w:val="0C8C7FCD"/>
    <w:rsid w:val="0C9A0A72"/>
    <w:rsid w:val="0C9B5204"/>
    <w:rsid w:val="0CA63264"/>
    <w:rsid w:val="0CA75583"/>
    <w:rsid w:val="0CAB2EAE"/>
    <w:rsid w:val="0CAB5696"/>
    <w:rsid w:val="0CB24EC7"/>
    <w:rsid w:val="0CD32B4F"/>
    <w:rsid w:val="0CD86DD1"/>
    <w:rsid w:val="0CE75980"/>
    <w:rsid w:val="0D1D3133"/>
    <w:rsid w:val="0D336E17"/>
    <w:rsid w:val="0D366374"/>
    <w:rsid w:val="0D4904F5"/>
    <w:rsid w:val="0D4A5F0F"/>
    <w:rsid w:val="0D4E59FF"/>
    <w:rsid w:val="0D621C7D"/>
    <w:rsid w:val="0D8341B7"/>
    <w:rsid w:val="0DA45B6C"/>
    <w:rsid w:val="0DA74070"/>
    <w:rsid w:val="0DCB3277"/>
    <w:rsid w:val="0DE87C01"/>
    <w:rsid w:val="0DEB5944"/>
    <w:rsid w:val="0DF00369"/>
    <w:rsid w:val="0DFC3E81"/>
    <w:rsid w:val="0DFD79CD"/>
    <w:rsid w:val="0E1B0505"/>
    <w:rsid w:val="0E1B1E5B"/>
    <w:rsid w:val="0E2726DF"/>
    <w:rsid w:val="0E433C09"/>
    <w:rsid w:val="0E663D87"/>
    <w:rsid w:val="0E73034D"/>
    <w:rsid w:val="0E8D5C3B"/>
    <w:rsid w:val="0E8E1C5C"/>
    <w:rsid w:val="0E936C8D"/>
    <w:rsid w:val="0E9671C2"/>
    <w:rsid w:val="0EB35F83"/>
    <w:rsid w:val="0EF652A0"/>
    <w:rsid w:val="0EFF16A6"/>
    <w:rsid w:val="0F13775A"/>
    <w:rsid w:val="0F1F3B79"/>
    <w:rsid w:val="0F220EF1"/>
    <w:rsid w:val="0F473047"/>
    <w:rsid w:val="0F4C0664"/>
    <w:rsid w:val="0F5F45FE"/>
    <w:rsid w:val="0F680F65"/>
    <w:rsid w:val="0F7756E1"/>
    <w:rsid w:val="0F8C0A60"/>
    <w:rsid w:val="0F9A112B"/>
    <w:rsid w:val="0FA57836"/>
    <w:rsid w:val="0FA579EC"/>
    <w:rsid w:val="0FAD28DD"/>
    <w:rsid w:val="0FC150CF"/>
    <w:rsid w:val="0FE05657"/>
    <w:rsid w:val="0FE07ED0"/>
    <w:rsid w:val="0FFA260F"/>
    <w:rsid w:val="101A1F93"/>
    <w:rsid w:val="102147F8"/>
    <w:rsid w:val="102F518A"/>
    <w:rsid w:val="10303EF6"/>
    <w:rsid w:val="104220FC"/>
    <w:rsid w:val="10437371"/>
    <w:rsid w:val="10562819"/>
    <w:rsid w:val="105754EE"/>
    <w:rsid w:val="106D2F64"/>
    <w:rsid w:val="1080556E"/>
    <w:rsid w:val="1085436E"/>
    <w:rsid w:val="1091537A"/>
    <w:rsid w:val="10AF0BAA"/>
    <w:rsid w:val="10B63710"/>
    <w:rsid w:val="10D41E94"/>
    <w:rsid w:val="10D70330"/>
    <w:rsid w:val="10DE709A"/>
    <w:rsid w:val="10E70644"/>
    <w:rsid w:val="10E7268D"/>
    <w:rsid w:val="10EE6860"/>
    <w:rsid w:val="10F10820"/>
    <w:rsid w:val="10F33916"/>
    <w:rsid w:val="111C2F7A"/>
    <w:rsid w:val="112167B4"/>
    <w:rsid w:val="1122167C"/>
    <w:rsid w:val="1154735C"/>
    <w:rsid w:val="11665CA1"/>
    <w:rsid w:val="11875E5E"/>
    <w:rsid w:val="119208DE"/>
    <w:rsid w:val="11A33105"/>
    <w:rsid w:val="11AD363C"/>
    <w:rsid w:val="11FE2376"/>
    <w:rsid w:val="12114F0A"/>
    <w:rsid w:val="12544015"/>
    <w:rsid w:val="12703D7D"/>
    <w:rsid w:val="12B376DE"/>
    <w:rsid w:val="12B37DEE"/>
    <w:rsid w:val="12C0739F"/>
    <w:rsid w:val="12C306CC"/>
    <w:rsid w:val="12D16100"/>
    <w:rsid w:val="12DB7D35"/>
    <w:rsid w:val="12E3308D"/>
    <w:rsid w:val="12EF1BF6"/>
    <w:rsid w:val="131C64A0"/>
    <w:rsid w:val="13216D07"/>
    <w:rsid w:val="1336343C"/>
    <w:rsid w:val="133D6C35"/>
    <w:rsid w:val="13581385"/>
    <w:rsid w:val="137C2A53"/>
    <w:rsid w:val="13830FA6"/>
    <w:rsid w:val="13951726"/>
    <w:rsid w:val="139E27C3"/>
    <w:rsid w:val="13B7075E"/>
    <w:rsid w:val="13CD729A"/>
    <w:rsid w:val="13EF7C2B"/>
    <w:rsid w:val="141A7849"/>
    <w:rsid w:val="14396509"/>
    <w:rsid w:val="14463A68"/>
    <w:rsid w:val="146228E4"/>
    <w:rsid w:val="14647DD5"/>
    <w:rsid w:val="14787365"/>
    <w:rsid w:val="14A71FB7"/>
    <w:rsid w:val="14A73E2F"/>
    <w:rsid w:val="14CD18FF"/>
    <w:rsid w:val="14DD2C3C"/>
    <w:rsid w:val="14F33503"/>
    <w:rsid w:val="14F818EF"/>
    <w:rsid w:val="14F85F8E"/>
    <w:rsid w:val="14FA0773"/>
    <w:rsid w:val="15067A88"/>
    <w:rsid w:val="15411B60"/>
    <w:rsid w:val="155142DE"/>
    <w:rsid w:val="15583CB7"/>
    <w:rsid w:val="15634011"/>
    <w:rsid w:val="156C311B"/>
    <w:rsid w:val="15973CBB"/>
    <w:rsid w:val="15A66620"/>
    <w:rsid w:val="15A74787"/>
    <w:rsid w:val="15A9236C"/>
    <w:rsid w:val="15AE1060"/>
    <w:rsid w:val="15C302C1"/>
    <w:rsid w:val="15CC7A50"/>
    <w:rsid w:val="15D43E1B"/>
    <w:rsid w:val="15D4618E"/>
    <w:rsid w:val="15E211F7"/>
    <w:rsid w:val="15E63EC2"/>
    <w:rsid w:val="16087E1D"/>
    <w:rsid w:val="16213029"/>
    <w:rsid w:val="162C583E"/>
    <w:rsid w:val="163C6D3C"/>
    <w:rsid w:val="163D1F89"/>
    <w:rsid w:val="165226B5"/>
    <w:rsid w:val="166456F1"/>
    <w:rsid w:val="16845441"/>
    <w:rsid w:val="168D3DD1"/>
    <w:rsid w:val="16A95608"/>
    <w:rsid w:val="16C27344"/>
    <w:rsid w:val="16D73273"/>
    <w:rsid w:val="16E52453"/>
    <w:rsid w:val="17097C7A"/>
    <w:rsid w:val="170B4961"/>
    <w:rsid w:val="174D02F7"/>
    <w:rsid w:val="17701D14"/>
    <w:rsid w:val="17735226"/>
    <w:rsid w:val="177C13BA"/>
    <w:rsid w:val="17B117AC"/>
    <w:rsid w:val="17B44FF8"/>
    <w:rsid w:val="17C43DD0"/>
    <w:rsid w:val="17E13079"/>
    <w:rsid w:val="17E44BFC"/>
    <w:rsid w:val="180F2CDA"/>
    <w:rsid w:val="18167A61"/>
    <w:rsid w:val="183357E7"/>
    <w:rsid w:val="183A374F"/>
    <w:rsid w:val="184F26DA"/>
    <w:rsid w:val="189105F4"/>
    <w:rsid w:val="18982224"/>
    <w:rsid w:val="189F624C"/>
    <w:rsid w:val="18A60196"/>
    <w:rsid w:val="18A961DF"/>
    <w:rsid w:val="18AD2173"/>
    <w:rsid w:val="18D87CD2"/>
    <w:rsid w:val="19017DC9"/>
    <w:rsid w:val="19044120"/>
    <w:rsid w:val="191012EE"/>
    <w:rsid w:val="19375BC2"/>
    <w:rsid w:val="194C312C"/>
    <w:rsid w:val="196912DD"/>
    <w:rsid w:val="19801636"/>
    <w:rsid w:val="198C1C7F"/>
    <w:rsid w:val="19B65058"/>
    <w:rsid w:val="19C71817"/>
    <w:rsid w:val="19E971DB"/>
    <w:rsid w:val="1A0045C4"/>
    <w:rsid w:val="1A095342"/>
    <w:rsid w:val="1A0D716D"/>
    <w:rsid w:val="1A1C66C0"/>
    <w:rsid w:val="1A25488B"/>
    <w:rsid w:val="1A3B555D"/>
    <w:rsid w:val="1A42393B"/>
    <w:rsid w:val="1A4408B5"/>
    <w:rsid w:val="1A616FE2"/>
    <w:rsid w:val="1A6C6144"/>
    <w:rsid w:val="1A87674F"/>
    <w:rsid w:val="1AAD45DE"/>
    <w:rsid w:val="1ACD08AB"/>
    <w:rsid w:val="1B046F80"/>
    <w:rsid w:val="1B2C7A13"/>
    <w:rsid w:val="1B3204C1"/>
    <w:rsid w:val="1B3267B5"/>
    <w:rsid w:val="1B40161D"/>
    <w:rsid w:val="1B441859"/>
    <w:rsid w:val="1B6606B1"/>
    <w:rsid w:val="1B6D18C5"/>
    <w:rsid w:val="1B854CE1"/>
    <w:rsid w:val="1BA64C58"/>
    <w:rsid w:val="1BBE4697"/>
    <w:rsid w:val="1BC752FA"/>
    <w:rsid w:val="1BD22B4C"/>
    <w:rsid w:val="1C0F1353"/>
    <w:rsid w:val="1C0F2C5C"/>
    <w:rsid w:val="1C1918CE"/>
    <w:rsid w:val="1C4A0E21"/>
    <w:rsid w:val="1C5308B3"/>
    <w:rsid w:val="1C5C1D06"/>
    <w:rsid w:val="1C5E7925"/>
    <w:rsid w:val="1C7B4336"/>
    <w:rsid w:val="1C8651B5"/>
    <w:rsid w:val="1CB258D2"/>
    <w:rsid w:val="1CC47A8B"/>
    <w:rsid w:val="1CC63891"/>
    <w:rsid w:val="1CCF7CB8"/>
    <w:rsid w:val="1CF86BD6"/>
    <w:rsid w:val="1CFD070F"/>
    <w:rsid w:val="1D4E6151"/>
    <w:rsid w:val="1D522E85"/>
    <w:rsid w:val="1D5F6196"/>
    <w:rsid w:val="1D6132A5"/>
    <w:rsid w:val="1D7C0366"/>
    <w:rsid w:val="1D834723"/>
    <w:rsid w:val="1D8E56D5"/>
    <w:rsid w:val="1D9A1FF5"/>
    <w:rsid w:val="1DC52889"/>
    <w:rsid w:val="1DC932FC"/>
    <w:rsid w:val="1DE70F29"/>
    <w:rsid w:val="1DF60D84"/>
    <w:rsid w:val="1DFC5340"/>
    <w:rsid w:val="1E0A001A"/>
    <w:rsid w:val="1E0C16EA"/>
    <w:rsid w:val="1E2660A9"/>
    <w:rsid w:val="1E301B9F"/>
    <w:rsid w:val="1E391DB3"/>
    <w:rsid w:val="1E4B0389"/>
    <w:rsid w:val="1E681D11"/>
    <w:rsid w:val="1E721445"/>
    <w:rsid w:val="1E7228D5"/>
    <w:rsid w:val="1E7304F7"/>
    <w:rsid w:val="1E741F31"/>
    <w:rsid w:val="1E7A43DA"/>
    <w:rsid w:val="1E982F7E"/>
    <w:rsid w:val="1EB12291"/>
    <w:rsid w:val="1EC2624D"/>
    <w:rsid w:val="1ECE55CB"/>
    <w:rsid w:val="1EDB78D8"/>
    <w:rsid w:val="1EDC5F80"/>
    <w:rsid w:val="1F1712DB"/>
    <w:rsid w:val="1F33215A"/>
    <w:rsid w:val="1F3507CD"/>
    <w:rsid w:val="1F3B5844"/>
    <w:rsid w:val="1F613491"/>
    <w:rsid w:val="1F651542"/>
    <w:rsid w:val="1F6707C5"/>
    <w:rsid w:val="1F745F7B"/>
    <w:rsid w:val="1F7F5EEC"/>
    <w:rsid w:val="1FA26223"/>
    <w:rsid w:val="1FB14406"/>
    <w:rsid w:val="1FB65DB1"/>
    <w:rsid w:val="1FCF6838"/>
    <w:rsid w:val="1FD209A4"/>
    <w:rsid w:val="1FE7539E"/>
    <w:rsid w:val="200A3A07"/>
    <w:rsid w:val="201C77E6"/>
    <w:rsid w:val="204809D3"/>
    <w:rsid w:val="204D5FEA"/>
    <w:rsid w:val="2052555B"/>
    <w:rsid w:val="205C1496"/>
    <w:rsid w:val="20671BE0"/>
    <w:rsid w:val="207402A9"/>
    <w:rsid w:val="207D59DE"/>
    <w:rsid w:val="20963CB8"/>
    <w:rsid w:val="20A81A1B"/>
    <w:rsid w:val="20AF1627"/>
    <w:rsid w:val="20B07FB6"/>
    <w:rsid w:val="20B646FB"/>
    <w:rsid w:val="20C46F55"/>
    <w:rsid w:val="20DC03F8"/>
    <w:rsid w:val="20DF6940"/>
    <w:rsid w:val="20E41BB1"/>
    <w:rsid w:val="20F17BD1"/>
    <w:rsid w:val="20F920BF"/>
    <w:rsid w:val="21014986"/>
    <w:rsid w:val="211A2370"/>
    <w:rsid w:val="212B0814"/>
    <w:rsid w:val="21380F88"/>
    <w:rsid w:val="21392F8F"/>
    <w:rsid w:val="213B74B1"/>
    <w:rsid w:val="213F17DE"/>
    <w:rsid w:val="21403AEA"/>
    <w:rsid w:val="21543E5D"/>
    <w:rsid w:val="215A2310"/>
    <w:rsid w:val="21817CF9"/>
    <w:rsid w:val="21B52B49"/>
    <w:rsid w:val="21BE0F4D"/>
    <w:rsid w:val="21D818E3"/>
    <w:rsid w:val="21DE318A"/>
    <w:rsid w:val="21E131ED"/>
    <w:rsid w:val="21EF5B80"/>
    <w:rsid w:val="21FF0D89"/>
    <w:rsid w:val="2209733C"/>
    <w:rsid w:val="223F374B"/>
    <w:rsid w:val="224C0133"/>
    <w:rsid w:val="22576990"/>
    <w:rsid w:val="225936CC"/>
    <w:rsid w:val="22595D90"/>
    <w:rsid w:val="226A06FE"/>
    <w:rsid w:val="22936057"/>
    <w:rsid w:val="229B200E"/>
    <w:rsid w:val="229D2DC0"/>
    <w:rsid w:val="22A16179"/>
    <w:rsid w:val="22AF0C16"/>
    <w:rsid w:val="22C62F3A"/>
    <w:rsid w:val="22C84F16"/>
    <w:rsid w:val="22D27242"/>
    <w:rsid w:val="22F47480"/>
    <w:rsid w:val="22F84190"/>
    <w:rsid w:val="23121476"/>
    <w:rsid w:val="23167A6F"/>
    <w:rsid w:val="23546916"/>
    <w:rsid w:val="235A0D1F"/>
    <w:rsid w:val="23665473"/>
    <w:rsid w:val="23711FEF"/>
    <w:rsid w:val="237E524F"/>
    <w:rsid w:val="2389558B"/>
    <w:rsid w:val="2392304D"/>
    <w:rsid w:val="23D06D16"/>
    <w:rsid w:val="23D902C0"/>
    <w:rsid w:val="23DD119A"/>
    <w:rsid w:val="23DE1C48"/>
    <w:rsid w:val="2401595F"/>
    <w:rsid w:val="24016050"/>
    <w:rsid w:val="240210CD"/>
    <w:rsid w:val="241A2687"/>
    <w:rsid w:val="242D4168"/>
    <w:rsid w:val="242D5F16"/>
    <w:rsid w:val="24763D61"/>
    <w:rsid w:val="24771AB9"/>
    <w:rsid w:val="248B6F10"/>
    <w:rsid w:val="24A75DD1"/>
    <w:rsid w:val="24AD1217"/>
    <w:rsid w:val="24BD4B8E"/>
    <w:rsid w:val="24BF09F7"/>
    <w:rsid w:val="24C53A3F"/>
    <w:rsid w:val="24CC565C"/>
    <w:rsid w:val="24CE7218"/>
    <w:rsid w:val="24F41F0A"/>
    <w:rsid w:val="24FC6017"/>
    <w:rsid w:val="24FD4AC9"/>
    <w:rsid w:val="252D53FE"/>
    <w:rsid w:val="253A13A7"/>
    <w:rsid w:val="25B229DB"/>
    <w:rsid w:val="25B467DD"/>
    <w:rsid w:val="25B6018D"/>
    <w:rsid w:val="25BD00FE"/>
    <w:rsid w:val="25BD4A76"/>
    <w:rsid w:val="25C1725E"/>
    <w:rsid w:val="25CB3688"/>
    <w:rsid w:val="25E04007"/>
    <w:rsid w:val="25EC2D81"/>
    <w:rsid w:val="25F74A2E"/>
    <w:rsid w:val="26040AE7"/>
    <w:rsid w:val="260B2287"/>
    <w:rsid w:val="264E77B2"/>
    <w:rsid w:val="265947CC"/>
    <w:rsid w:val="265F132E"/>
    <w:rsid w:val="265F7A49"/>
    <w:rsid w:val="2672718A"/>
    <w:rsid w:val="26BD06F7"/>
    <w:rsid w:val="26BD1EBC"/>
    <w:rsid w:val="26E64588"/>
    <w:rsid w:val="26EB5FEE"/>
    <w:rsid w:val="26FA337A"/>
    <w:rsid w:val="27485039"/>
    <w:rsid w:val="275F7934"/>
    <w:rsid w:val="276A6553"/>
    <w:rsid w:val="277057A2"/>
    <w:rsid w:val="27781B9E"/>
    <w:rsid w:val="27817875"/>
    <w:rsid w:val="278E17D2"/>
    <w:rsid w:val="27A908DC"/>
    <w:rsid w:val="27DF178A"/>
    <w:rsid w:val="27F1444B"/>
    <w:rsid w:val="27F53BFF"/>
    <w:rsid w:val="28001F91"/>
    <w:rsid w:val="280460E8"/>
    <w:rsid w:val="282633A8"/>
    <w:rsid w:val="28363EB7"/>
    <w:rsid w:val="28441A80"/>
    <w:rsid w:val="284C442A"/>
    <w:rsid w:val="2862727C"/>
    <w:rsid w:val="286640ED"/>
    <w:rsid w:val="286F11F3"/>
    <w:rsid w:val="28724E88"/>
    <w:rsid w:val="287A7186"/>
    <w:rsid w:val="288972BE"/>
    <w:rsid w:val="28B44E58"/>
    <w:rsid w:val="28B46EC0"/>
    <w:rsid w:val="28D72835"/>
    <w:rsid w:val="28DF4BB3"/>
    <w:rsid w:val="28ED6C21"/>
    <w:rsid w:val="29206EB8"/>
    <w:rsid w:val="292A4721"/>
    <w:rsid w:val="292A7E7B"/>
    <w:rsid w:val="292E69BA"/>
    <w:rsid w:val="2945608E"/>
    <w:rsid w:val="294A756A"/>
    <w:rsid w:val="295403E9"/>
    <w:rsid w:val="29595666"/>
    <w:rsid w:val="29752090"/>
    <w:rsid w:val="297C0A5B"/>
    <w:rsid w:val="29874881"/>
    <w:rsid w:val="29A6223A"/>
    <w:rsid w:val="29AA742B"/>
    <w:rsid w:val="29B9024C"/>
    <w:rsid w:val="29C22137"/>
    <w:rsid w:val="29CB24AA"/>
    <w:rsid w:val="29CE5AA6"/>
    <w:rsid w:val="29DF06DE"/>
    <w:rsid w:val="29DF6D2B"/>
    <w:rsid w:val="29E325E0"/>
    <w:rsid w:val="29F446FA"/>
    <w:rsid w:val="29F730D4"/>
    <w:rsid w:val="29FA7887"/>
    <w:rsid w:val="29FC5C6A"/>
    <w:rsid w:val="2A0D0CC4"/>
    <w:rsid w:val="2A452503"/>
    <w:rsid w:val="2A5049B2"/>
    <w:rsid w:val="2A521023"/>
    <w:rsid w:val="2A754BDC"/>
    <w:rsid w:val="2A79759D"/>
    <w:rsid w:val="2A9419D0"/>
    <w:rsid w:val="2A9E738D"/>
    <w:rsid w:val="2AA77572"/>
    <w:rsid w:val="2AA809EC"/>
    <w:rsid w:val="2AB07A68"/>
    <w:rsid w:val="2ABE63C2"/>
    <w:rsid w:val="2AD92315"/>
    <w:rsid w:val="2ADA2EC7"/>
    <w:rsid w:val="2ADF3F76"/>
    <w:rsid w:val="2AE94929"/>
    <w:rsid w:val="2B044D71"/>
    <w:rsid w:val="2B2D22CA"/>
    <w:rsid w:val="2B522260"/>
    <w:rsid w:val="2B781AF8"/>
    <w:rsid w:val="2B7C161C"/>
    <w:rsid w:val="2B802C2A"/>
    <w:rsid w:val="2B8B386C"/>
    <w:rsid w:val="2B9C21ED"/>
    <w:rsid w:val="2BA936A8"/>
    <w:rsid w:val="2BAD3E89"/>
    <w:rsid w:val="2BD31A99"/>
    <w:rsid w:val="2BE76212"/>
    <w:rsid w:val="2BED16AA"/>
    <w:rsid w:val="2BF11F1F"/>
    <w:rsid w:val="2BF83045"/>
    <w:rsid w:val="2BF832AE"/>
    <w:rsid w:val="2BF87A83"/>
    <w:rsid w:val="2C126BF9"/>
    <w:rsid w:val="2C315A5A"/>
    <w:rsid w:val="2C3C5B7C"/>
    <w:rsid w:val="2C447E50"/>
    <w:rsid w:val="2C4B1C25"/>
    <w:rsid w:val="2C5B6870"/>
    <w:rsid w:val="2C862667"/>
    <w:rsid w:val="2C8E59C0"/>
    <w:rsid w:val="2CC032E9"/>
    <w:rsid w:val="2CCB6766"/>
    <w:rsid w:val="2CE23E3F"/>
    <w:rsid w:val="2D0B213D"/>
    <w:rsid w:val="2D2E0C20"/>
    <w:rsid w:val="2D410C84"/>
    <w:rsid w:val="2D4F3FFF"/>
    <w:rsid w:val="2D574DFE"/>
    <w:rsid w:val="2D736B67"/>
    <w:rsid w:val="2D9E56F5"/>
    <w:rsid w:val="2DA52353"/>
    <w:rsid w:val="2DB33930"/>
    <w:rsid w:val="2DB526B0"/>
    <w:rsid w:val="2DC16AE6"/>
    <w:rsid w:val="2DD536C3"/>
    <w:rsid w:val="2DE56F06"/>
    <w:rsid w:val="2DE85F3E"/>
    <w:rsid w:val="2DEB0301"/>
    <w:rsid w:val="2DEC6810"/>
    <w:rsid w:val="2DF81343"/>
    <w:rsid w:val="2DFD4010"/>
    <w:rsid w:val="2DFF7C71"/>
    <w:rsid w:val="2E056305"/>
    <w:rsid w:val="2E0A2945"/>
    <w:rsid w:val="2E1D6FFC"/>
    <w:rsid w:val="2E2C5491"/>
    <w:rsid w:val="2E316BEE"/>
    <w:rsid w:val="2E3615D0"/>
    <w:rsid w:val="2E400F3C"/>
    <w:rsid w:val="2E667F96"/>
    <w:rsid w:val="2E680DA0"/>
    <w:rsid w:val="2E6E3F01"/>
    <w:rsid w:val="2E79527A"/>
    <w:rsid w:val="2E8226AB"/>
    <w:rsid w:val="2E870057"/>
    <w:rsid w:val="2EA9088F"/>
    <w:rsid w:val="2EBF4557"/>
    <w:rsid w:val="2EC53536"/>
    <w:rsid w:val="2ED52EBC"/>
    <w:rsid w:val="2EDD1AA4"/>
    <w:rsid w:val="2EEA15D4"/>
    <w:rsid w:val="2EED2E72"/>
    <w:rsid w:val="2F1D79A9"/>
    <w:rsid w:val="2F345295"/>
    <w:rsid w:val="2F3517DE"/>
    <w:rsid w:val="2F8E20BB"/>
    <w:rsid w:val="2F951A24"/>
    <w:rsid w:val="2F976F8B"/>
    <w:rsid w:val="2FD065E6"/>
    <w:rsid w:val="2FD96870"/>
    <w:rsid w:val="2FDD62F3"/>
    <w:rsid w:val="2FDE6975"/>
    <w:rsid w:val="2FE96968"/>
    <w:rsid w:val="2FEA5460"/>
    <w:rsid w:val="2FFD05E8"/>
    <w:rsid w:val="30006BD5"/>
    <w:rsid w:val="30146A2A"/>
    <w:rsid w:val="3029030A"/>
    <w:rsid w:val="30580BC9"/>
    <w:rsid w:val="30586FDF"/>
    <w:rsid w:val="306D7717"/>
    <w:rsid w:val="306F1683"/>
    <w:rsid w:val="3078676B"/>
    <w:rsid w:val="3084306C"/>
    <w:rsid w:val="30896F9D"/>
    <w:rsid w:val="30AA4D0F"/>
    <w:rsid w:val="30AF4FF7"/>
    <w:rsid w:val="30B17ECF"/>
    <w:rsid w:val="30C13C90"/>
    <w:rsid w:val="30C41C15"/>
    <w:rsid w:val="30CC59E1"/>
    <w:rsid w:val="30D047F9"/>
    <w:rsid w:val="30D40F90"/>
    <w:rsid w:val="30D66767"/>
    <w:rsid w:val="311E2ED7"/>
    <w:rsid w:val="3124258B"/>
    <w:rsid w:val="315619EE"/>
    <w:rsid w:val="315C449C"/>
    <w:rsid w:val="316F4012"/>
    <w:rsid w:val="31934018"/>
    <w:rsid w:val="319D6E9C"/>
    <w:rsid w:val="31B82709"/>
    <w:rsid w:val="31B907E3"/>
    <w:rsid w:val="31D05482"/>
    <w:rsid w:val="31D66820"/>
    <w:rsid w:val="31E340B8"/>
    <w:rsid w:val="32400B34"/>
    <w:rsid w:val="324B7C8E"/>
    <w:rsid w:val="324D35C8"/>
    <w:rsid w:val="32636828"/>
    <w:rsid w:val="32656435"/>
    <w:rsid w:val="327D275F"/>
    <w:rsid w:val="32816B91"/>
    <w:rsid w:val="3284589B"/>
    <w:rsid w:val="329E6876"/>
    <w:rsid w:val="32AE418A"/>
    <w:rsid w:val="32B86000"/>
    <w:rsid w:val="32DD76BC"/>
    <w:rsid w:val="32E015AF"/>
    <w:rsid w:val="32E41DED"/>
    <w:rsid w:val="32EC3440"/>
    <w:rsid w:val="33022C64"/>
    <w:rsid w:val="331C6AE0"/>
    <w:rsid w:val="331D1716"/>
    <w:rsid w:val="33270FD5"/>
    <w:rsid w:val="332E2F02"/>
    <w:rsid w:val="333015F2"/>
    <w:rsid w:val="334B6320"/>
    <w:rsid w:val="33725452"/>
    <w:rsid w:val="33863895"/>
    <w:rsid w:val="33A819B6"/>
    <w:rsid w:val="33B026C0"/>
    <w:rsid w:val="33BC72B7"/>
    <w:rsid w:val="33D934D4"/>
    <w:rsid w:val="33F15392"/>
    <w:rsid w:val="33FE2F6A"/>
    <w:rsid w:val="34005499"/>
    <w:rsid w:val="34015D57"/>
    <w:rsid w:val="34094392"/>
    <w:rsid w:val="340E07E5"/>
    <w:rsid w:val="34120C85"/>
    <w:rsid w:val="34131D21"/>
    <w:rsid w:val="341B2889"/>
    <w:rsid w:val="34235BF7"/>
    <w:rsid w:val="343B75F5"/>
    <w:rsid w:val="34565511"/>
    <w:rsid w:val="346C2A8B"/>
    <w:rsid w:val="34A73AC3"/>
    <w:rsid w:val="34AF4725"/>
    <w:rsid w:val="34B94ACE"/>
    <w:rsid w:val="34BB24A6"/>
    <w:rsid w:val="34CA77B1"/>
    <w:rsid w:val="34D374C9"/>
    <w:rsid w:val="34F67558"/>
    <w:rsid w:val="34FF7FF6"/>
    <w:rsid w:val="351539BD"/>
    <w:rsid w:val="352D4FC3"/>
    <w:rsid w:val="352E68BA"/>
    <w:rsid w:val="353A1CA5"/>
    <w:rsid w:val="35505F08"/>
    <w:rsid w:val="356E45E1"/>
    <w:rsid w:val="358C5FA8"/>
    <w:rsid w:val="35AA1945"/>
    <w:rsid w:val="35C15DF1"/>
    <w:rsid w:val="35D72186"/>
    <w:rsid w:val="35E13818"/>
    <w:rsid w:val="35E36B0D"/>
    <w:rsid w:val="36074A7F"/>
    <w:rsid w:val="36116DAA"/>
    <w:rsid w:val="36416B0C"/>
    <w:rsid w:val="366652B8"/>
    <w:rsid w:val="366A3071"/>
    <w:rsid w:val="366D6646"/>
    <w:rsid w:val="367E4E6F"/>
    <w:rsid w:val="36825E6C"/>
    <w:rsid w:val="36923549"/>
    <w:rsid w:val="36A53FDD"/>
    <w:rsid w:val="36B75FBF"/>
    <w:rsid w:val="36BD0C45"/>
    <w:rsid w:val="36C90700"/>
    <w:rsid w:val="36D77E04"/>
    <w:rsid w:val="36FA5D6F"/>
    <w:rsid w:val="37173B70"/>
    <w:rsid w:val="372A0C84"/>
    <w:rsid w:val="37311A62"/>
    <w:rsid w:val="373227C5"/>
    <w:rsid w:val="373F688E"/>
    <w:rsid w:val="37623183"/>
    <w:rsid w:val="37740FCE"/>
    <w:rsid w:val="377432D3"/>
    <w:rsid w:val="37893954"/>
    <w:rsid w:val="3799307A"/>
    <w:rsid w:val="37A564C6"/>
    <w:rsid w:val="37B25BE8"/>
    <w:rsid w:val="37E00298"/>
    <w:rsid w:val="37E172EC"/>
    <w:rsid w:val="37F37919"/>
    <w:rsid w:val="38195E9E"/>
    <w:rsid w:val="381B22F3"/>
    <w:rsid w:val="385E2FE6"/>
    <w:rsid w:val="38B302F9"/>
    <w:rsid w:val="38BF587F"/>
    <w:rsid w:val="38C06056"/>
    <w:rsid w:val="38C52678"/>
    <w:rsid w:val="38D445C9"/>
    <w:rsid w:val="38E56968"/>
    <w:rsid w:val="38F12CD3"/>
    <w:rsid w:val="38F94775"/>
    <w:rsid w:val="38FC2B25"/>
    <w:rsid w:val="38FF4436"/>
    <w:rsid w:val="392971ED"/>
    <w:rsid w:val="392D2312"/>
    <w:rsid w:val="392F0171"/>
    <w:rsid w:val="39325651"/>
    <w:rsid w:val="393A61F1"/>
    <w:rsid w:val="394F3325"/>
    <w:rsid w:val="39755B0E"/>
    <w:rsid w:val="39820561"/>
    <w:rsid w:val="398A5989"/>
    <w:rsid w:val="39B966FD"/>
    <w:rsid w:val="39CC330E"/>
    <w:rsid w:val="39D96898"/>
    <w:rsid w:val="39DA4DCD"/>
    <w:rsid w:val="39E97AD3"/>
    <w:rsid w:val="39F06068"/>
    <w:rsid w:val="3A313DDF"/>
    <w:rsid w:val="3A4D507E"/>
    <w:rsid w:val="3A625E7E"/>
    <w:rsid w:val="3A655477"/>
    <w:rsid w:val="3A7A7584"/>
    <w:rsid w:val="3A7F7D10"/>
    <w:rsid w:val="3A84407A"/>
    <w:rsid w:val="3A872856"/>
    <w:rsid w:val="3A8A5A19"/>
    <w:rsid w:val="3A8F750B"/>
    <w:rsid w:val="3A953740"/>
    <w:rsid w:val="3AAD343A"/>
    <w:rsid w:val="3ABF721B"/>
    <w:rsid w:val="3B0E03F8"/>
    <w:rsid w:val="3B2A5510"/>
    <w:rsid w:val="3B2A7A46"/>
    <w:rsid w:val="3B2B3204"/>
    <w:rsid w:val="3B3763D1"/>
    <w:rsid w:val="3B5068F7"/>
    <w:rsid w:val="3B634251"/>
    <w:rsid w:val="3B817D3C"/>
    <w:rsid w:val="3B9D50C0"/>
    <w:rsid w:val="3BB92FCA"/>
    <w:rsid w:val="3BC431AC"/>
    <w:rsid w:val="3BCE2E77"/>
    <w:rsid w:val="3BD210EC"/>
    <w:rsid w:val="3BFA246A"/>
    <w:rsid w:val="3BFE1F56"/>
    <w:rsid w:val="3C055B26"/>
    <w:rsid w:val="3C160E0A"/>
    <w:rsid w:val="3C166AA5"/>
    <w:rsid w:val="3C2100DE"/>
    <w:rsid w:val="3C2F6E1E"/>
    <w:rsid w:val="3C3C7EA1"/>
    <w:rsid w:val="3C3D7B36"/>
    <w:rsid w:val="3C4A3275"/>
    <w:rsid w:val="3C4D400B"/>
    <w:rsid w:val="3C4F64BA"/>
    <w:rsid w:val="3C602049"/>
    <w:rsid w:val="3C664263"/>
    <w:rsid w:val="3C80719C"/>
    <w:rsid w:val="3C8D6828"/>
    <w:rsid w:val="3CA7694E"/>
    <w:rsid w:val="3CAE5253"/>
    <w:rsid w:val="3CB04C67"/>
    <w:rsid w:val="3CB31314"/>
    <w:rsid w:val="3CB46C36"/>
    <w:rsid w:val="3CC571DC"/>
    <w:rsid w:val="3CDA245A"/>
    <w:rsid w:val="3CE36C30"/>
    <w:rsid w:val="3CE60A27"/>
    <w:rsid w:val="3D007E13"/>
    <w:rsid w:val="3D0719EB"/>
    <w:rsid w:val="3D1E06B7"/>
    <w:rsid w:val="3D2211C4"/>
    <w:rsid w:val="3D2D6C82"/>
    <w:rsid w:val="3D56589C"/>
    <w:rsid w:val="3D644C0E"/>
    <w:rsid w:val="3D7540D4"/>
    <w:rsid w:val="3D7C6E63"/>
    <w:rsid w:val="3DAA3342"/>
    <w:rsid w:val="3DB66B25"/>
    <w:rsid w:val="3DCB54D0"/>
    <w:rsid w:val="3DD36E8F"/>
    <w:rsid w:val="3DD43653"/>
    <w:rsid w:val="3DE23C97"/>
    <w:rsid w:val="3DF86485"/>
    <w:rsid w:val="3DF91485"/>
    <w:rsid w:val="3E0F175C"/>
    <w:rsid w:val="3E1D4AF4"/>
    <w:rsid w:val="3E2919ED"/>
    <w:rsid w:val="3E320F55"/>
    <w:rsid w:val="3E380469"/>
    <w:rsid w:val="3E611186"/>
    <w:rsid w:val="3E6F2D8D"/>
    <w:rsid w:val="3E7313A8"/>
    <w:rsid w:val="3E84485B"/>
    <w:rsid w:val="3EA14D33"/>
    <w:rsid w:val="3EB34EB9"/>
    <w:rsid w:val="3EBB68DC"/>
    <w:rsid w:val="3EBC4B8C"/>
    <w:rsid w:val="3EDA0523"/>
    <w:rsid w:val="3EE84C99"/>
    <w:rsid w:val="3EFC2A3B"/>
    <w:rsid w:val="3F1315DD"/>
    <w:rsid w:val="3F3978F9"/>
    <w:rsid w:val="3F41113A"/>
    <w:rsid w:val="3F4B2DEB"/>
    <w:rsid w:val="3F52267A"/>
    <w:rsid w:val="3F566811"/>
    <w:rsid w:val="3F5C7C20"/>
    <w:rsid w:val="3F7C0F6A"/>
    <w:rsid w:val="3FA26360"/>
    <w:rsid w:val="3FF7445C"/>
    <w:rsid w:val="403E177F"/>
    <w:rsid w:val="404515F5"/>
    <w:rsid w:val="407A6407"/>
    <w:rsid w:val="408A55AD"/>
    <w:rsid w:val="40961B1B"/>
    <w:rsid w:val="409B3943"/>
    <w:rsid w:val="4105629E"/>
    <w:rsid w:val="4124398E"/>
    <w:rsid w:val="41297D82"/>
    <w:rsid w:val="41401283"/>
    <w:rsid w:val="41777FD1"/>
    <w:rsid w:val="41894625"/>
    <w:rsid w:val="41896917"/>
    <w:rsid w:val="418A4550"/>
    <w:rsid w:val="41A97D0E"/>
    <w:rsid w:val="41B16375"/>
    <w:rsid w:val="41CF42AF"/>
    <w:rsid w:val="41DC5CC2"/>
    <w:rsid w:val="41E163E2"/>
    <w:rsid w:val="41EA124C"/>
    <w:rsid w:val="41F65B4A"/>
    <w:rsid w:val="41FF1B86"/>
    <w:rsid w:val="4200449D"/>
    <w:rsid w:val="42084A18"/>
    <w:rsid w:val="421245F7"/>
    <w:rsid w:val="42265720"/>
    <w:rsid w:val="423A3BCC"/>
    <w:rsid w:val="423B4C47"/>
    <w:rsid w:val="424439FF"/>
    <w:rsid w:val="42446DF5"/>
    <w:rsid w:val="424E57D2"/>
    <w:rsid w:val="42650575"/>
    <w:rsid w:val="42795009"/>
    <w:rsid w:val="42862AF1"/>
    <w:rsid w:val="429C09DF"/>
    <w:rsid w:val="42B26C49"/>
    <w:rsid w:val="42BC6853"/>
    <w:rsid w:val="42D9753E"/>
    <w:rsid w:val="42DC0DDB"/>
    <w:rsid w:val="42E44134"/>
    <w:rsid w:val="42FB7AA1"/>
    <w:rsid w:val="430628C9"/>
    <w:rsid w:val="430E1705"/>
    <w:rsid w:val="43252782"/>
    <w:rsid w:val="43361A71"/>
    <w:rsid w:val="433A17D1"/>
    <w:rsid w:val="433A6FE6"/>
    <w:rsid w:val="43480868"/>
    <w:rsid w:val="4350713C"/>
    <w:rsid w:val="436653E0"/>
    <w:rsid w:val="437C436D"/>
    <w:rsid w:val="438C3F40"/>
    <w:rsid w:val="43AE7A61"/>
    <w:rsid w:val="43B72C56"/>
    <w:rsid w:val="43B835F7"/>
    <w:rsid w:val="43C4431A"/>
    <w:rsid w:val="43D70449"/>
    <w:rsid w:val="43EC504E"/>
    <w:rsid w:val="44143AFC"/>
    <w:rsid w:val="44A433DE"/>
    <w:rsid w:val="44B951CC"/>
    <w:rsid w:val="44CD14E0"/>
    <w:rsid w:val="44CE021A"/>
    <w:rsid w:val="44D073C1"/>
    <w:rsid w:val="44D9739A"/>
    <w:rsid w:val="44F20B0B"/>
    <w:rsid w:val="45036AF3"/>
    <w:rsid w:val="452E5F4C"/>
    <w:rsid w:val="455448C0"/>
    <w:rsid w:val="455C6204"/>
    <w:rsid w:val="45612018"/>
    <w:rsid w:val="45680119"/>
    <w:rsid w:val="45682DFA"/>
    <w:rsid w:val="458946E9"/>
    <w:rsid w:val="45947D5B"/>
    <w:rsid w:val="459C4CE8"/>
    <w:rsid w:val="45A47C0E"/>
    <w:rsid w:val="45AA1EF9"/>
    <w:rsid w:val="45B67CC6"/>
    <w:rsid w:val="45C50DEF"/>
    <w:rsid w:val="45CA37B0"/>
    <w:rsid w:val="45DD5636"/>
    <w:rsid w:val="45E43B02"/>
    <w:rsid w:val="460D70C4"/>
    <w:rsid w:val="462976F5"/>
    <w:rsid w:val="46577FD6"/>
    <w:rsid w:val="465B4516"/>
    <w:rsid w:val="466A0E47"/>
    <w:rsid w:val="46A50E9C"/>
    <w:rsid w:val="46A77952"/>
    <w:rsid w:val="46D955A7"/>
    <w:rsid w:val="46FA3C5C"/>
    <w:rsid w:val="47133957"/>
    <w:rsid w:val="47215957"/>
    <w:rsid w:val="475B0A52"/>
    <w:rsid w:val="475C7312"/>
    <w:rsid w:val="477723DE"/>
    <w:rsid w:val="477D265F"/>
    <w:rsid w:val="47867568"/>
    <w:rsid w:val="47A07E0C"/>
    <w:rsid w:val="47BB7793"/>
    <w:rsid w:val="47D22243"/>
    <w:rsid w:val="47DF0117"/>
    <w:rsid w:val="47DF7D4B"/>
    <w:rsid w:val="47DF7F53"/>
    <w:rsid w:val="47FB7EB7"/>
    <w:rsid w:val="48002AF9"/>
    <w:rsid w:val="4814066D"/>
    <w:rsid w:val="483A65C3"/>
    <w:rsid w:val="483F7400"/>
    <w:rsid w:val="48457CBF"/>
    <w:rsid w:val="485F3886"/>
    <w:rsid w:val="4865210C"/>
    <w:rsid w:val="486716D5"/>
    <w:rsid w:val="4870272E"/>
    <w:rsid w:val="48777B4E"/>
    <w:rsid w:val="487F7E32"/>
    <w:rsid w:val="48907EB9"/>
    <w:rsid w:val="48B5270C"/>
    <w:rsid w:val="48BC0D87"/>
    <w:rsid w:val="48E24BBA"/>
    <w:rsid w:val="48F77C20"/>
    <w:rsid w:val="494E4A9E"/>
    <w:rsid w:val="498779AB"/>
    <w:rsid w:val="499D7C4A"/>
    <w:rsid w:val="49CC27B8"/>
    <w:rsid w:val="49D67550"/>
    <w:rsid w:val="49DC7715"/>
    <w:rsid w:val="49F501CC"/>
    <w:rsid w:val="4A023139"/>
    <w:rsid w:val="4A037596"/>
    <w:rsid w:val="4A082895"/>
    <w:rsid w:val="4A271687"/>
    <w:rsid w:val="4A5A202A"/>
    <w:rsid w:val="4A6D4385"/>
    <w:rsid w:val="4A7B576F"/>
    <w:rsid w:val="4A80623A"/>
    <w:rsid w:val="4A862918"/>
    <w:rsid w:val="4ACC6C2B"/>
    <w:rsid w:val="4AE20BFA"/>
    <w:rsid w:val="4AEA4ACB"/>
    <w:rsid w:val="4AF561A9"/>
    <w:rsid w:val="4AF76EE1"/>
    <w:rsid w:val="4AFC64BF"/>
    <w:rsid w:val="4AFD2237"/>
    <w:rsid w:val="4B2A3283"/>
    <w:rsid w:val="4B524D19"/>
    <w:rsid w:val="4B69318E"/>
    <w:rsid w:val="4B736055"/>
    <w:rsid w:val="4BAB07F5"/>
    <w:rsid w:val="4BCC52B3"/>
    <w:rsid w:val="4C0233B4"/>
    <w:rsid w:val="4C081CA4"/>
    <w:rsid w:val="4C2C2250"/>
    <w:rsid w:val="4C2C4B82"/>
    <w:rsid w:val="4C43011D"/>
    <w:rsid w:val="4C4A0649"/>
    <w:rsid w:val="4C631B91"/>
    <w:rsid w:val="4C6E544A"/>
    <w:rsid w:val="4C7E5ECA"/>
    <w:rsid w:val="4C876AA5"/>
    <w:rsid w:val="4C9269AF"/>
    <w:rsid w:val="4CE114E8"/>
    <w:rsid w:val="4D03307E"/>
    <w:rsid w:val="4D072E8F"/>
    <w:rsid w:val="4D0E00FB"/>
    <w:rsid w:val="4D176606"/>
    <w:rsid w:val="4D513A8B"/>
    <w:rsid w:val="4D5C1145"/>
    <w:rsid w:val="4D8306D4"/>
    <w:rsid w:val="4DA42E3E"/>
    <w:rsid w:val="4DAC584E"/>
    <w:rsid w:val="4DB85903"/>
    <w:rsid w:val="4DE34C26"/>
    <w:rsid w:val="4DEC4FB0"/>
    <w:rsid w:val="4DF2714E"/>
    <w:rsid w:val="4E075D8A"/>
    <w:rsid w:val="4E2D5856"/>
    <w:rsid w:val="4E83361B"/>
    <w:rsid w:val="4E8A5B90"/>
    <w:rsid w:val="4EC00FAD"/>
    <w:rsid w:val="4EC512BE"/>
    <w:rsid w:val="4ECE1B1A"/>
    <w:rsid w:val="4ED07D21"/>
    <w:rsid w:val="4EDD6B06"/>
    <w:rsid w:val="4EE91CD3"/>
    <w:rsid w:val="4F0040A4"/>
    <w:rsid w:val="4F041DE6"/>
    <w:rsid w:val="4F0E24B7"/>
    <w:rsid w:val="4F0F3B2D"/>
    <w:rsid w:val="4F2E04D0"/>
    <w:rsid w:val="4F381A8F"/>
    <w:rsid w:val="4F542EE9"/>
    <w:rsid w:val="4F7C732D"/>
    <w:rsid w:val="4F8D5A54"/>
    <w:rsid w:val="4F9843DC"/>
    <w:rsid w:val="4FAA24EE"/>
    <w:rsid w:val="4FB66650"/>
    <w:rsid w:val="4FC62A8C"/>
    <w:rsid w:val="4FD02C81"/>
    <w:rsid w:val="4FE20F0D"/>
    <w:rsid w:val="4FE47A31"/>
    <w:rsid w:val="4FE51552"/>
    <w:rsid w:val="4FE74196"/>
    <w:rsid w:val="500D26BF"/>
    <w:rsid w:val="50136B9E"/>
    <w:rsid w:val="501E3FEC"/>
    <w:rsid w:val="50504C4B"/>
    <w:rsid w:val="508166BD"/>
    <w:rsid w:val="50861242"/>
    <w:rsid w:val="509C6E7C"/>
    <w:rsid w:val="50A44E55"/>
    <w:rsid w:val="50CE26AB"/>
    <w:rsid w:val="50CF5EEA"/>
    <w:rsid w:val="50CF7027"/>
    <w:rsid w:val="50E21CB3"/>
    <w:rsid w:val="510155EC"/>
    <w:rsid w:val="510F6250"/>
    <w:rsid w:val="5115563D"/>
    <w:rsid w:val="51181B78"/>
    <w:rsid w:val="51214051"/>
    <w:rsid w:val="513C6EA5"/>
    <w:rsid w:val="514B6A3D"/>
    <w:rsid w:val="51595CED"/>
    <w:rsid w:val="515E0AC1"/>
    <w:rsid w:val="515F3A7B"/>
    <w:rsid w:val="5162104E"/>
    <w:rsid w:val="51990EDC"/>
    <w:rsid w:val="51B178D7"/>
    <w:rsid w:val="51C413B8"/>
    <w:rsid w:val="51E541D6"/>
    <w:rsid w:val="51EF0175"/>
    <w:rsid w:val="51F429D5"/>
    <w:rsid w:val="51FA49B0"/>
    <w:rsid w:val="521D255D"/>
    <w:rsid w:val="521F72C8"/>
    <w:rsid w:val="52383CD0"/>
    <w:rsid w:val="524C3D9F"/>
    <w:rsid w:val="526856F0"/>
    <w:rsid w:val="527A5F1B"/>
    <w:rsid w:val="527B1EA7"/>
    <w:rsid w:val="52971631"/>
    <w:rsid w:val="52B1202C"/>
    <w:rsid w:val="52BA4AFD"/>
    <w:rsid w:val="52BB4769"/>
    <w:rsid w:val="52C553E8"/>
    <w:rsid w:val="52D63A99"/>
    <w:rsid w:val="53035CDB"/>
    <w:rsid w:val="533F6258"/>
    <w:rsid w:val="535A2FA8"/>
    <w:rsid w:val="53690469"/>
    <w:rsid w:val="53742406"/>
    <w:rsid w:val="53807561"/>
    <w:rsid w:val="53861FF4"/>
    <w:rsid w:val="538829DF"/>
    <w:rsid w:val="53915C12"/>
    <w:rsid w:val="53A039CC"/>
    <w:rsid w:val="53A1505A"/>
    <w:rsid w:val="53B6727B"/>
    <w:rsid w:val="53C73982"/>
    <w:rsid w:val="53D46B22"/>
    <w:rsid w:val="53DE680C"/>
    <w:rsid w:val="53E81E9C"/>
    <w:rsid w:val="54063E08"/>
    <w:rsid w:val="542362A5"/>
    <w:rsid w:val="543437E8"/>
    <w:rsid w:val="5454111A"/>
    <w:rsid w:val="546155E5"/>
    <w:rsid w:val="54665AB2"/>
    <w:rsid w:val="546E3A6F"/>
    <w:rsid w:val="547846DC"/>
    <w:rsid w:val="549B5123"/>
    <w:rsid w:val="549E2395"/>
    <w:rsid w:val="54C067AF"/>
    <w:rsid w:val="54F50220"/>
    <w:rsid w:val="54F73313"/>
    <w:rsid w:val="54F80955"/>
    <w:rsid w:val="552211B7"/>
    <w:rsid w:val="554956D1"/>
    <w:rsid w:val="555170A7"/>
    <w:rsid w:val="55592760"/>
    <w:rsid w:val="555B2034"/>
    <w:rsid w:val="5587536D"/>
    <w:rsid w:val="5591749D"/>
    <w:rsid w:val="55943798"/>
    <w:rsid w:val="559B174B"/>
    <w:rsid w:val="55B62248"/>
    <w:rsid w:val="55B81575"/>
    <w:rsid w:val="55BB256E"/>
    <w:rsid w:val="55CE0CF4"/>
    <w:rsid w:val="560617A9"/>
    <w:rsid w:val="561B23FD"/>
    <w:rsid w:val="56290E65"/>
    <w:rsid w:val="56436DEA"/>
    <w:rsid w:val="56485946"/>
    <w:rsid w:val="56591451"/>
    <w:rsid w:val="56643CB4"/>
    <w:rsid w:val="56670CF5"/>
    <w:rsid w:val="566F769F"/>
    <w:rsid w:val="568B6949"/>
    <w:rsid w:val="56950243"/>
    <w:rsid w:val="56B22A9C"/>
    <w:rsid w:val="56BF4B95"/>
    <w:rsid w:val="56CD278A"/>
    <w:rsid w:val="571461A1"/>
    <w:rsid w:val="571D1821"/>
    <w:rsid w:val="57592CB3"/>
    <w:rsid w:val="578226A1"/>
    <w:rsid w:val="57864FE8"/>
    <w:rsid w:val="57932B88"/>
    <w:rsid w:val="57A17F6F"/>
    <w:rsid w:val="57A777B2"/>
    <w:rsid w:val="57AE0B41"/>
    <w:rsid w:val="57B721BF"/>
    <w:rsid w:val="57B72A76"/>
    <w:rsid w:val="57C3426C"/>
    <w:rsid w:val="57CE1F93"/>
    <w:rsid w:val="58021F5D"/>
    <w:rsid w:val="5812294D"/>
    <w:rsid w:val="581F559B"/>
    <w:rsid w:val="582E1BEA"/>
    <w:rsid w:val="586E02D0"/>
    <w:rsid w:val="587254FD"/>
    <w:rsid w:val="58733B38"/>
    <w:rsid w:val="587F072F"/>
    <w:rsid w:val="58860961"/>
    <w:rsid w:val="588743D1"/>
    <w:rsid w:val="5887701A"/>
    <w:rsid w:val="58986088"/>
    <w:rsid w:val="58B636C1"/>
    <w:rsid w:val="58B65AA2"/>
    <w:rsid w:val="58B77EC9"/>
    <w:rsid w:val="58D918B5"/>
    <w:rsid w:val="58DF2F7C"/>
    <w:rsid w:val="58E14F7F"/>
    <w:rsid w:val="58FA1B64"/>
    <w:rsid w:val="58FE1654"/>
    <w:rsid w:val="59260BAB"/>
    <w:rsid w:val="593776DB"/>
    <w:rsid w:val="59462FFB"/>
    <w:rsid w:val="597D3EA4"/>
    <w:rsid w:val="5989726A"/>
    <w:rsid w:val="59A3044D"/>
    <w:rsid w:val="59AD2ADA"/>
    <w:rsid w:val="59C0439F"/>
    <w:rsid w:val="59C24CD2"/>
    <w:rsid w:val="59C86985"/>
    <w:rsid w:val="59E7307A"/>
    <w:rsid w:val="59EB1740"/>
    <w:rsid w:val="5A010E1A"/>
    <w:rsid w:val="5A23076E"/>
    <w:rsid w:val="5A3D0B5E"/>
    <w:rsid w:val="5A434FE4"/>
    <w:rsid w:val="5A4C0425"/>
    <w:rsid w:val="5A763C23"/>
    <w:rsid w:val="5A7C018E"/>
    <w:rsid w:val="5A992E07"/>
    <w:rsid w:val="5AA70016"/>
    <w:rsid w:val="5AAB0196"/>
    <w:rsid w:val="5AB20948"/>
    <w:rsid w:val="5ABE2233"/>
    <w:rsid w:val="5AC65F69"/>
    <w:rsid w:val="5AC71F19"/>
    <w:rsid w:val="5AE047D0"/>
    <w:rsid w:val="5AE908F6"/>
    <w:rsid w:val="5AF83831"/>
    <w:rsid w:val="5AFA711E"/>
    <w:rsid w:val="5AFA763F"/>
    <w:rsid w:val="5B156152"/>
    <w:rsid w:val="5B4A7D20"/>
    <w:rsid w:val="5BD010D2"/>
    <w:rsid w:val="5BDA3AC8"/>
    <w:rsid w:val="5BDF5D95"/>
    <w:rsid w:val="5BEE20A9"/>
    <w:rsid w:val="5BFE7528"/>
    <w:rsid w:val="5BFF1759"/>
    <w:rsid w:val="5C074B91"/>
    <w:rsid w:val="5C233C84"/>
    <w:rsid w:val="5C480E38"/>
    <w:rsid w:val="5C9018ED"/>
    <w:rsid w:val="5C983A6F"/>
    <w:rsid w:val="5C9F4BDD"/>
    <w:rsid w:val="5CB12E81"/>
    <w:rsid w:val="5CD72CFD"/>
    <w:rsid w:val="5D081262"/>
    <w:rsid w:val="5D2C0F26"/>
    <w:rsid w:val="5D54174E"/>
    <w:rsid w:val="5DAA7FFC"/>
    <w:rsid w:val="5DB402AB"/>
    <w:rsid w:val="5DBA7B13"/>
    <w:rsid w:val="5DD130A9"/>
    <w:rsid w:val="5DD74B5C"/>
    <w:rsid w:val="5DE56518"/>
    <w:rsid w:val="5DE60909"/>
    <w:rsid w:val="5E005E6E"/>
    <w:rsid w:val="5E010F43"/>
    <w:rsid w:val="5E0A2132"/>
    <w:rsid w:val="5E2467F1"/>
    <w:rsid w:val="5E281F05"/>
    <w:rsid w:val="5E2B4120"/>
    <w:rsid w:val="5E6B1FFF"/>
    <w:rsid w:val="5E7136B3"/>
    <w:rsid w:val="5E7471C5"/>
    <w:rsid w:val="5E8D2A1A"/>
    <w:rsid w:val="5E954F01"/>
    <w:rsid w:val="5E9D3D74"/>
    <w:rsid w:val="5EA7128D"/>
    <w:rsid w:val="5EB42CDF"/>
    <w:rsid w:val="5EBC2507"/>
    <w:rsid w:val="5EDC2437"/>
    <w:rsid w:val="5EDF5A84"/>
    <w:rsid w:val="5EFC1C0E"/>
    <w:rsid w:val="5F1119B5"/>
    <w:rsid w:val="5F17346F"/>
    <w:rsid w:val="5F1A2B43"/>
    <w:rsid w:val="5F1C2834"/>
    <w:rsid w:val="5F4C72CA"/>
    <w:rsid w:val="5F630463"/>
    <w:rsid w:val="5FB837BB"/>
    <w:rsid w:val="5FC20FEA"/>
    <w:rsid w:val="5FDD1A0A"/>
    <w:rsid w:val="5FDE5D05"/>
    <w:rsid w:val="5FE63023"/>
    <w:rsid w:val="602050BE"/>
    <w:rsid w:val="60223961"/>
    <w:rsid w:val="602D0138"/>
    <w:rsid w:val="60383FDA"/>
    <w:rsid w:val="60386A8A"/>
    <w:rsid w:val="60636240"/>
    <w:rsid w:val="60677708"/>
    <w:rsid w:val="60CC405A"/>
    <w:rsid w:val="60FC1B05"/>
    <w:rsid w:val="61004E5C"/>
    <w:rsid w:val="610139B4"/>
    <w:rsid w:val="611C2A0D"/>
    <w:rsid w:val="61535E2D"/>
    <w:rsid w:val="616D381B"/>
    <w:rsid w:val="617F354E"/>
    <w:rsid w:val="619D712D"/>
    <w:rsid w:val="61A93286"/>
    <w:rsid w:val="61AD00BB"/>
    <w:rsid w:val="61BA27D8"/>
    <w:rsid w:val="61D141E5"/>
    <w:rsid w:val="61DE64C6"/>
    <w:rsid w:val="61E215D8"/>
    <w:rsid w:val="621B3775"/>
    <w:rsid w:val="622B58B1"/>
    <w:rsid w:val="62364782"/>
    <w:rsid w:val="624D3FF6"/>
    <w:rsid w:val="627222EF"/>
    <w:rsid w:val="627369F1"/>
    <w:rsid w:val="6276330C"/>
    <w:rsid w:val="62A50CBD"/>
    <w:rsid w:val="62BC34BF"/>
    <w:rsid w:val="62BE3D10"/>
    <w:rsid w:val="62C002E4"/>
    <w:rsid w:val="62C34226"/>
    <w:rsid w:val="630A076A"/>
    <w:rsid w:val="631D37BF"/>
    <w:rsid w:val="63283C1D"/>
    <w:rsid w:val="634E31D8"/>
    <w:rsid w:val="635D2D54"/>
    <w:rsid w:val="638008EE"/>
    <w:rsid w:val="6386481F"/>
    <w:rsid w:val="6394356A"/>
    <w:rsid w:val="6397045F"/>
    <w:rsid w:val="63AD1FEB"/>
    <w:rsid w:val="63BA4221"/>
    <w:rsid w:val="63C61B2C"/>
    <w:rsid w:val="63D40BE9"/>
    <w:rsid w:val="63D61AC1"/>
    <w:rsid w:val="63EB4ECB"/>
    <w:rsid w:val="640146EE"/>
    <w:rsid w:val="64102431"/>
    <w:rsid w:val="641E605D"/>
    <w:rsid w:val="64411EBD"/>
    <w:rsid w:val="64535682"/>
    <w:rsid w:val="646F5DDE"/>
    <w:rsid w:val="64842E48"/>
    <w:rsid w:val="648469BC"/>
    <w:rsid w:val="64A5243A"/>
    <w:rsid w:val="64E73B73"/>
    <w:rsid w:val="64E965CB"/>
    <w:rsid w:val="64F531DE"/>
    <w:rsid w:val="65044544"/>
    <w:rsid w:val="652D0651"/>
    <w:rsid w:val="65373578"/>
    <w:rsid w:val="653E4B02"/>
    <w:rsid w:val="655A350D"/>
    <w:rsid w:val="655B398A"/>
    <w:rsid w:val="656C3E87"/>
    <w:rsid w:val="656F7435"/>
    <w:rsid w:val="658D6460"/>
    <w:rsid w:val="65AD2600"/>
    <w:rsid w:val="65BB6A86"/>
    <w:rsid w:val="65D73958"/>
    <w:rsid w:val="65F853C2"/>
    <w:rsid w:val="65FE52C2"/>
    <w:rsid w:val="6626795D"/>
    <w:rsid w:val="662A79E4"/>
    <w:rsid w:val="664D3C1B"/>
    <w:rsid w:val="665B6338"/>
    <w:rsid w:val="665E5A2D"/>
    <w:rsid w:val="669021AE"/>
    <w:rsid w:val="66B71094"/>
    <w:rsid w:val="66BC48FC"/>
    <w:rsid w:val="66C057B2"/>
    <w:rsid w:val="66CB277F"/>
    <w:rsid w:val="66CD2666"/>
    <w:rsid w:val="66EF3494"/>
    <w:rsid w:val="66F70F35"/>
    <w:rsid w:val="67000CC4"/>
    <w:rsid w:val="67000E3B"/>
    <w:rsid w:val="6703580B"/>
    <w:rsid w:val="6707201B"/>
    <w:rsid w:val="670E0B4F"/>
    <w:rsid w:val="671B5EFB"/>
    <w:rsid w:val="671F124A"/>
    <w:rsid w:val="674E444A"/>
    <w:rsid w:val="676A58F9"/>
    <w:rsid w:val="67777F76"/>
    <w:rsid w:val="677A33C6"/>
    <w:rsid w:val="679636D1"/>
    <w:rsid w:val="67BD3CBF"/>
    <w:rsid w:val="67E67E83"/>
    <w:rsid w:val="67E964BF"/>
    <w:rsid w:val="67EE3316"/>
    <w:rsid w:val="68171831"/>
    <w:rsid w:val="681F6961"/>
    <w:rsid w:val="68364600"/>
    <w:rsid w:val="686025A4"/>
    <w:rsid w:val="68610A2F"/>
    <w:rsid w:val="68692862"/>
    <w:rsid w:val="68805514"/>
    <w:rsid w:val="68866CD3"/>
    <w:rsid w:val="68C27F38"/>
    <w:rsid w:val="68CB0847"/>
    <w:rsid w:val="68F640F6"/>
    <w:rsid w:val="69316E2F"/>
    <w:rsid w:val="69317F96"/>
    <w:rsid w:val="694A110D"/>
    <w:rsid w:val="694E2071"/>
    <w:rsid w:val="69766163"/>
    <w:rsid w:val="69774E94"/>
    <w:rsid w:val="697A3B33"/>
    <w:rsid w:val="69921BD7"/>
    <w:rsid w:val="69A064AF"/>
    <w:rsid w:val="69A90608"/>
    <w:rsid w:val="69AD50D5"/>
    <w:rsid w:val="69BF36D4"/>
    <w:rsid w:val="69D44760"/>
    <w:rsid w:val="69EA2BD4"/>
    <w:rsid w:val="69EE0B66"/>
    <w:rsid w:val="6A161ADF"/>
    <w:rsid w:val="6A3B2535"/>
    <w:rsid w:val="6A520EC7"/>
    <w:rsid w:val="6A527A52"/>
    <w:rsid w:val="6A576E16"/>
    <w:rsid w:val="6A587C04"/>
    <w:rsid w:val="6A8120E5"/>
    <w:rsid w:val="6AA45378"/>
    <w:rsid w:val="6ABC71AD"/>
    <w:rsid w:val="6AC54E80"/>
    <w:rsid w:val="6AC91A75"/>
    <w:rsid w:val="6ACB5C35"/>
    <w:rsid w:val="6AD71D05"/>
    <w:rsid w:val="6ADE14D1"/>
    <w:rsid w:val="6ADF06DE"/>
    <w:rsid w:val="6AE663EC"/>
    <w:rsid w:val="6AF573BF"/>
    <w:rsid w:val="6AF87E20"/>
    <w:rsid w:val="6AF9611F"/>
    <w:rsid w:val="6AFD14CE"/>
    <w:rsid w:val="6B1C2D47"/>
    <w:rsid w:val="6B244839"/>
    <w:rsid w:val="6B254208"/>
    <w:rsid w:val="6B274AFB"/>
    <w:rsid w:val="6B2801F5"/>
    <w:rsid w:val="6B322639"/>
    <w:rsid w:val="6B3727A3"/>
    <w:rsid w:val="6B4B3EF8"/>
    <w:rsid w:val="6B631EBD"/>
    <w:rsid w:val="6B6A4927"/>
    <w:rsid w:val="6B9624B7"/>
    <w:rsid w:val="6BD14C21"/>
    <w:rsid w:val="6C0B7C76"/>
    <w:rsid w:val="6C0C59DE"/>
    <w:rsid w:val="6C101972"/>
    <w:rsid w:val="6C1F1AB4"/>
    <w:rsid w:val="6C2F085B"/>
    <w:rsid w:val="6C307AAE"/>
    <w:rsid w:val="6C3714C9"/>
    <w:rsid w:val="6C3D64DF"/>
    <w:rsid w:val="6C444C2E"/>
    <w:rsid w:val="6C4706F9"/>
    <w:rsid w:val="6C547ACA"/>
    <w:rsid w:val="6C5F004A"/>
    <w:rsid w:val="6C636C38"/>
    <w:rsid w:val="6C7E69B1"/>
    <w:rsid w:val="6C863FAD"/>
    <w:rsid w:val="6CB322FE"/>
    <w:rsid w:val="6CBD0550"/>
    <w:rsid w:val="6CEA21C3"/>
    <w:rsid w:val="6D0D5EB2"/>
    <w:rsid w:val="6D194017"/>
    <w:rsid w:val="6D417EEF"/>
    <w:rsid w:val="6D510B67"/>
    <w:rsid w:val="6D55003C"/>
    <w:rsid w:val="6D617FAC"/>
    <w:rsid w:val="6D735F81"/>
    <w:rsid w:val="6DA854DF"/>
    <w:rsid w:val="6DB34098"/>
    <w:rsid w:val="6DB450BF"/>
    <w:rsid w:val="6DB545B6"/>
    <w:rsid w:val="6DD34202"/>
    <w:rsid w:val="6DDC54A7"/>
    <w:rsid w:val="6DE02FB4"/>
    <w:rsid w:val="6DED1CA3"/>
    <w:rsid w:val="6DF30EEC"/>
    <w:rsid w:val="6E080427"/>
    <w:rsid w:val="6E096679"/>
    <w:rsid w:val="6E301E58"/>
    <w:rsid w:val="6E353DE4"/>
    <w:rsid w:val="6E391F20"/>
    <w:rsid w:val="6E3B6556"/>
    <w:rsid w:val="6E514CED"/>
    <w:rsid w:val="6E5632B7"/>
    <w:rsid w:val="6E597D79"/>
    <w:rsid w:val="6E902A69"/>
    <w:rsid w:val="6EB563D5"/>
    <w:rsid w:val="6EC15BA9"/>
    <w:rsid w:val="6ED92677"/>
    <w:rsid w:val="6EF035FA"/>
    <w:rsid w:val="6F225983"/>
    <w:rsid w:val="6F233805"/>
    <w:rsid w:val="6F34488D"/>
    <w:rsid w:val="6F3A3E03"/>
    <w:rsid w:val="6F481423"/>
    <w:rsid w:val="6F9878D6"/>
    <w:rsid w:val="6F9C071A"/>
    <w:rsid w:val="6FA02C0D"/>
    <w:rsid w:val="6FA10B33"/>
    <w:rsid w:val="6FFC5590"/>
    <w:rsid w:val="701C7667"/>
    <w:rsid w:val="70290282"/>
    <w:rsid w:val="704D431D"/>
    <w:rsid w:val="704E514D"/>
    <w:rsid w:val="706D1DD0"/>
    <w:rsid w:val="70804E40"/>
    <w:rsid w:val="70856B87"/>
    <w:rsid w:val="709449EC"/>
    <w:rsid w:val="709F2893"/>
    <w:rsid w:val="70A408C8"/>
    <w:rsid w:val="70B17303"/>
    <w:rsid w:val="70BD199D"/>
    <w:rsid w:val="70CA22A0"/>
    <w:rsid w:val="70D527EE"/>
    <w:rsid w:val="71325EE7"/>
    <w:rsid w:val="713C0BF3"/>
    <w:rsid w:val="71437E38"/>
    <w:rsid w:val="714B2083"/>
    <w:rsid w:val="71597917"/>
    <w:rsid w:val="715B5300"/>
    <w:rsid w:val="716E41D1"/>
    <w:rsid w:val="719601A3"/>
    <w:rsid w:val="719646C8"/>
    <w:rsid w:val="71CC7F1B"/>
    <w:rsid w:val="71CF1988"/>
    <w:rsid w:val="71D276C4"/>
    <w:rsid w:val="71D27F8A"/>
    <w:rsid w:val="71E04502"/>
    <w:rsid w:val="72046C38"/>
    <w:rsid w:val="72077373"/>
    <w:rsid w:val="72243CE3"/>
    <w:rsid w:val="72282262"/>
    <w:rsid w:val="72441905"/>
    <w:rsid w:val="72553024"/>
    <w:rsid w:val="726C5969"/>
    <w:rsid w:val="727E69BE"/>
    <w:rsid w:val="727F3840"/>
    <w:rsid w:val="72892BC7"/>
    <w:rsid w:val="72966C68"/>
    <w:rsid w:val="7297294F"/>
    <w:rsid w:val="729E7A5E"/>
    <w:rsid w:val="72C04D9D"/>
    <w:rsid w:val="72C15774"/>
    <w:rsid w:val="72C73AD6"/>
    <w:rsid w:val="72CF66BC"/>
    <w:rsid w:val="72E421C6"/>
    <w:rsid w:val="72F13B62"/>
    <w:rsid w:val="72F6585E"/>
    <w:rsid w:val="72F80E64"/>
    <w:rsid w:val="73034158"/>
    <w:rsid w:val="730E028E"/>
    <w:rsid w:val="730E6926"/>
    <w:rsid w:val="73122968"/>
    <w:rsid w:val="731529C8"/>
    <w:rsid w:val="731A4E85"/>
    <w:rsid w:val="731F5D5E"/>
    <w:rsid w:val="7327134F"/>
    <w:rsid w:val="732B1E4E"/>
    <w:rsid w:val="734A25E8"/>
    <w:rsid w:val="735E370F"/>
    <w:rsid w:val="73612AB3"/>
    <w:rsid w:val="73823ECB"/>
    <w:rsid w:val="739755D2"/>
    <w:rsid w:val="73B76B77"/>
    <w:rsid w:val="73C51AD5"/>
    <w:rsid w:val="73D802A1"/>
    <w:rsid w:val="741716FF"/>
    <w:rsid w:val="741E793C"/>
    <w:rsid w:val="741F0326"/>
    <w:rsid w:val="74512B28"/>
    <w:rsid w:val="74534249"/>
    <w:rsid w:val="74566390"/>
    <w:rsid w:val="745E3944"/>
    <w:rsid w:val="746242BC"/>
    <w:rsid w:val="748A428C"/>
    <w:rsid w:val="74AC5FB0"/>
    <w:rsid w:val="75026274"/>
    <w:rsid w:val="751C4038"/>
    <w:rsid w:val="75483099"/>
    <w:rsid w:val="755C0BB7"/>
    <w:rsid w:val="75667C5E"/>
    <w:rsid w:val="75A25616"/>
    <w:rsid w:val="75A4502A"/>
    <w:rsid w:val="75B84CEB"/>
    <w:rsid w:val="76215762"/>
    <w:rsid w:val="7635099D"/>
    <w:rsid w:val="769253C1"/>
    <w:rsid w:val="76B16769"/>
    <w:rsid w:val="76D01337"/>
    <w:rsid w:val="76D812DE"/>
    <w:rsid w:val="770B219A"/>
    <w:rsid w:val="77110F15"/>
    <w:rsid w:val="772054B7"/>
    <w:rsid w:val="772C5186"/>
    <w:rsid w:val="77352BFE"/>
    <w:rsid w:val="774C5953"/>
    <w:rsid w:val="77665C79"/>
    <w:rsid w:val="776D6665"/>
    <w:rsid w:val="77762421"/>
    <w:rsid w:val="77821AEF"/>
    <w:rsid w:val="778B3A75"/>
    <w:rsid w:val="779234C6"/>
    <w:rsid w:val="77A0185F"/>
    <w:rsid w:val="77A92C7B"/>
    <w:rsid w:val="77B56B1F"/>
    <w:rsid w:val="780F09F4"/>
    <w:rsid w:val="781A446B"/>
    <w:rsid w:val="781D07A0"/>
    <w:rsid w:val="7829648F"/>
    <w:rsid w:val="786C34E9"/>
    <w:rsid w:val="78896EF0"/>
    <w:rsid w:val="788A0834"/>
    <w:rsid w:val="78A27DF6"/>
    <w:rsid w:val="78A32D0B"/>
    <w:rsid w:val="78A90480"/>
    <w:rsid w:val="78F06BB2"/>
    <w:rsid w:val="78F51364"/>
    <w:rsid w:val="79073DA6"/>
    <w:rsid w:val="792A3F9A"/>
    <w:rsid w:val="79442C5B"/>
    <w:rsid w:val="79464C25"/>
    <w:rsid w:val="7947274B"/>
    <w:rsid w:val="796D12BC"/>
    <w:rsid w:val="79CF6CBD"/>
    <w:rsid w:val="79D0629D"/>
    <w:rsid w:val="79FB2265"/>
    <w:rsid w:val="7A364017"/>
    <w:rsid w:val="7A4968AB"/>
    <w:rsid w:val="7A5D0673"/>
    <w:rsid w:val="7A6A04A0"/>
    <w:rsid w:val="7A8265E1"/>
    <w:rsid w:val="7A9159FA"/>
    <w:rsid w:val="7ABF6FEF"/>
    <w:rsid w:val="7ACD6C80"/>
    <w:rsid w:val="7AF4420D"/>
    <w:rsid w:val="7AF910BD"/>
    <w:rsid w:val="7B2F105B"/>
    <w:rsid w:val="7B36052E"/>
    <w:rsid w:val="7B4D3C62"/>
    <w:rsid w:val="7B5F49A4"/>
    <w:rsid w:val="7B686D42"/>
    <w:rsid w:val="7B6E3F3E"/>
    <w:rsid w:val="7B841746"/>
    <w:rsid w:val="7BA3331B"/>
    <w:rsid w:val="7BA37F1B"/>
    <w:rsid w:val="7BFC5A6F"/>
    <w:rsid w:val="7BFE53B6"/>
    <w:rsid w:val="7C016BE2"/>
    <w:rsid w:val="7C02295A"/>
    <w:rsid w:val="7C0A6A36"/>
    <w:rsid w:val="7C29438A"/>
    <w:rsid w:val="7C32323F"/>
    <w:rsid w:val="7C34248C"/>
    <w:rsid w:val="7C372976"/>
    <w:rsid w:val="7C68003A"/>
    <w:rsid w:val="7C6B6751"/>
    <w:rsid w:val="7C6C5AC7"/>
    <w:rsid w:val="7C6D4277"/>
    <w:rsid w:val="7C752BCD"/>
    <w:rsid w:val="7CC400C6"/>
    <w:rsid w:val="7CC6544B"/>
    <w:rsid w:val="7CF14EA8"/>
    <w:rsid w:val="7D0239FF"/>
    <w:rsid w:val="7D0D233E"/>
    <w:rsid w:val="7D191913"/>
    <w:rsid w:val="7D397FE0"/>
    <w:rsid w:val="7D3E4DCA"/>
    <w:rsid w:val="7D557286"/>
    <w:rsid w:val="7D5E40CD"/>
    <w:rsid w:val="7D5F6DCD"/>
    <w:rsid w:val="7DA52DC3"/>
    <w:rsid w:val="7DBD7803"/>
    <w:rsid w:val="7DCA28D7"/>
    <w:rsid w:val="7DCD56F2"/>
    <w:rsid w:val="7DDC406E"/>
    <w:rsid w:val="7DEC1126"/>
    <w:rsid w:val="7E000A2B"/>
    <w:rsid w:val="7E023B1F"/>
    <w:rsid w:val="7E2D48F7"/>
    <w:rsid w:val="7E3C2153"/>
    <w:rsid w:val="7E3E0756"/>
    <w:rsid w:val="7E421789"/>
    <w:rsid w:val="7E5356EF"/>
    <w:rsid w:val="7EDD4593"/>
    <w:rsid w:val="7F001CE7"/>
    <w:rsid w:val="7F181C41"/>
    <w:rsid w:val="7F21759B"/>
    <w:rsid w:val="7F3B5839"/>
    <w:rsid w:val="7F441D1B"/>
    <w:rsid w:val="7F450A78"/>
    <w:rsid w:val="7F463BFE"/>
    <w:rsid w:val="7F4E05F7"/>
    <w:rsid w:val="7F8E4C30"/>
    <w:rsid w:val="7F9B734D"/>
    <w:rsid w:val="7FC9774D"/>
    <w:rsid w:val="7FE47E50"/>
    <w:rsid w:val="7FF17D45"/>
    <w:rsid w:val="7FFA0518"/>
    <w:rsid w:val="7FFF3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iPriority="99"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99"/>
    <w:pPr>
      <w:keepNext/>
      <w:snapToGrid w:val="0"/>
      <w:outlineLvl w:val="1"/>
    </w:pPr>
    <w:rPr>
      <w:sz w:val="28"/>
    </w:rPr>
  </w:style>
  <w:style w:type="paragraph" w:styleId="5">
    <w:name w:val="heading 3"/>
    <w:basedOn w:val="1"/>
    <w:next w:val="1"/>
    <w:qFormat/>
    <w:locked/>
    <w:uiPriority w:val="99"/>
    <w:pPr>
      <w:keepNext/>
      <w:keepLines/>
      <w:spacing w:before="260" w:after="260" w:line="416" w:lineRule="auto"/>
      <w:outlineLvl w:val="2"/>
    </w:pPr>
    <w:rPr>
      <w:b/>
      <w:bCs/>
      <w:sz w:val="32"/>
      <w:szCs w:val="32"/>
    </w:rPr>
  </w:style>
  <w:style w:type="paragraph" w:styleId="6">
    <w:name w:val="heading 4"/>
    <w:basedOn w:val="1"/>
    <w:next w:val="7"/>
    <w:qFormat/>
    <w:locked/>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locked/>
    <w:uiPriority w:val="39"/>
    <w:pPr>
      <w:ind w:left="210"/>
    </w:pPr>
    <w:rPr>
      <w:smallCaps/>
      <w:sz w:val="20"/>
      <w:szCs w:val="20"/>
    </w:rPr>
  </w:style>
  <w:style w:type="paragraph" w:styleId="7">
    <w:name w:val="Normal Indent"/>
    <w:basedOn w:val="1"/>
    <w:next w:val="6"/>
    <w:link w:val="91"/>
    <w:qFormat/>
    <w:locked/>
    <w:uiPriority w:val="99"/>
    <w:pPr>
      <w:spacing w:line="360" w:lineRule="auto"/>
      <w:ind w:firstLine="420"/>
    </w:pPr>
  </w:style>
  <w:style w:type="paragraph" w:styleId="8">
    <w:name w:val="toa heading"/>
    <w:basedOn w:val="1"/>
    <w:next w:val="1"/>
    <w:qFormat/>
    <w:locked/>
    <w:uiPriority w:val="0"/>
    <w:pPr>
      <w:spacing w:before="120" w:after="120"/>
      <w:jc w:val="left"/>
    </w:pPr>
    <w:rPr>
      <w:u w:val="single"/>
    </w:rPr>
  </w:style>
  <w:style w:type="paragraph" w:styleId="9">
    <w:name w:val="annotation text"/>
    <w:basedOn w:val="1"/>
    <w:link w:val="42"/>
    <w:semiHidden/>
    <w:qFormat/>
    <w:uiPriority w:val="0"/>
    <w:pPr>
      <w:jc w:val="left"/>
    </w:pPr>
    <w:rPr>
      <w:kern w:val="0"/>
      <w:sz w:val="24"/>
      <w:szCs w:val="20"/>
    </w:rPr>
  </w:style>
  <w:style w:type="paragraph" w:styleId="10">
    <w:name w:val="Salutation"/>
    <w:basedOn w:val="1"/>
    <w:next w:val="1"/>
    <w:qFormat/>
    <w:locked/>
    <w:uiPriority w:val="0"/>
  </w:style>
  <w:style w:type="paragraph" w:styleId="11">
    <w:name w:val="Body Text"/>
    <w:basedOn w:val="1"/>
    <w:next w:val="1"/>
    <w:link w:val="43"/>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41"/>
    <w:qFormat/>
    <w:uiPriority w:val="0"/>
    <w:pPr>
      <w:spacing w:after="120"/>
      <w:ind w:left="420" w:leftChars="200"/>
    </w:pPr>
    <w:rPr>
      <w:kern w:val="0"/>
      <w:sz w:val="24"/>
      <w:szCs w:val="20"/>
    </w:rPr>
  </w:style>
  <w:style w:type="paragraph" w:styleId="13">
    <w:name w:val="Body Text Indent 2"/>
    <w:basedOn w:val="1"/>
    <w:next w:val="8"/>
    <w:qFormat/>
    <w:locked/>
    <w:uiPriority w:val="0"/>
    <w:pPr>
      <w:spacing w:after="120" w:afterLines="0" w:line="480" w:lineRule="auto"/>
      <w:ind w:left="420" w:leftChars="200"/>
    </w:pPr>
    <w:rPr>
      <w:spacing w:val="0"/>
      <w:kern w:val="2"/>
      <w:sz w:val="21"/>
      <w:szCs w:val="24"/>
    </w:rPr>
  </w:style>
  <w:style w:type="paragraph" w:styleId="14">
    <w:name w:val="Block Text"/>
    <w:basedOn w:val="1"/>
    <w:unhideWhenUsed/>
    <w:qFormat/>
    <w:locked/>
    <w:uiPriority w:val="99"/>
    <w:pPr>
      <w:spacing w:line="360" w:lineRule="auto"/>
    </w:pPr>
  </w:style>
  <w:style w:type="paragraph" w:styleId="15">
    <w:name w:val="Plain Text"/>
    <w:basedOn w:val="1"/>
    <w:next w:val="10"/>
    <w:qFormat/>
    <w:locked/>
    <w:uiPriority w:val="99"/>
    <w:rPr>
      <w:rFonts w:hAnsi="Courier New" w:cs="Courier New"/>
      <w:szCs w:val="21"/>
    </w:rPr>
  </w:style>
  <w:style w:type="paragraph" w:styleId="16">
    <w:name w:val="toc 8"/>
    <w:basedOn w:val="1"/>
    <w:next w:val="1"/>
    <w:qFormat/>
    <w:locked/>
    <w:uiPriority w:val="0"/>
    <w:pPr>
      <w:ind w:left="1470"/>
      <w:jc w:val="left"/>
    </w:pPr>
    <w:rPr>
      <w:sz w:val="18"/>
      <w:szCs w:val="18"/>
    </w:rPr>
  </w:style>
  <w:style w:type="paragraph" w:styleId="17">
    <w:name w:val="Date"/>
    <w:basedOn w:val="1"/>
    <w:next w:val="1"/>
    <w:link w:val="44"/>
    <w:qFormat/>
    <w:uiPriority w:val="0"/>
    <w:pPr>
      <w:ind w:left="100" w:leftChars="2500"/>
    </w:pPr>
    <w:rPr>
      <w:kern w:val="0"/>
      <w:sz w:val="24"/>
      <w:szCs w:val="20"/>
    </w:rPr>
  </w:style>
  <w:style w:type="paragraph" w:styleId="18">
    <w:name w:val="Balloon Text"/>
    <w:basedOn w:val="1"/>
    <w:link w:val="45"/>
    <w:semiHidden/>
    <w:qFormat/>
    <w:uiPriority w:val="0"/>
    <w:rPr>
      <w:kern w:val="0"/>
      <w:sz w:val="18"/>
      <w:szCs w:val="20"/>
    </w:rPr>
  </w:style>
  <w:style w:type="paragraph" w:styleId="19">
    <w:name w:val="footer"/>
    <w:basedOn w:val="1"/>
    <w:link w:val="46"/>
    <w:qFormat/>
    <w:uiPriority w:val="99"/>
    <w:pPr>
      <w:tabs>
        <w:tab w:val="center" w:pos="4153"/>
        <w:tab w:val="right" w:pos="8306"/>
      </w:tabs>
      <w:snapToGrid w:val="0"/>
      <w:jc w:val="left"/>
    </w:pPr>
    <w:rPr>
      <w:kern w:val="0"/>
      <w:sz w:val="18"/>
      <w:szCs w:val="20"/>
    </w:rPr>
  </w:style>
  <w:style w:type="paragraph" w:styleId="20">
    <w:name w:val="header"/>
    <w:basedOn w:val="1"/>
    <w:next w:val="21"/>
    <w:link w:val="4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1">
    <w:name w:val="样式5"/>
    <w:basedOn w:val="22"/>
    <w:qFormat/>
    <w:uiPriority w:val="0"/>
    <w:pPr>
      <w:jc w:val="center"/>
    </w:pPr>
  </w:style>
  <w:style w:type="paragraph" w:customStyle="1" w:styleId="22">
    <w:name w:val="样式3"/>
    <w:basedOn w:val="1"/>
    <w:qFormat/>
    <w:uiPriority w:val="0"/>
    <w:pPr>
      <w:snapToGrid w:val="0"/>
      <w:ind w:firstLine="539"/>
      <w:jc w:val="center"/>
    </w:pPr>
    <w:rPr>
      <w:rFonts w:ascii="黑体" w:hAnsi="宋体" w:eastAsia="黑体"/>
      <w:color w:val="000000"/>
    </w:rPr>
  </w:style>
  <w:style w:type="paragraph" w:styleId="23">
    <w:name w:val="toc 1"/>
    <w:basedOn w:val="1"/>
    <w:next w:val="1"/>
    <w:qFormat/>
    <w:locked/>
    <w:uiPriority w:val="39"/>
    <w:pPr>
      <w:spacing w:before="120" w:after="120"/>
      <w:jc w:val="left"/>
    </w:pPr>
    <w:rPr>
      <w:b/>
      <w:bCs/>
      <w:caps/>
      <w:sz w:val="20"/>
      <w:szCs w:val="20"/>
    </w:rPr>
  </w:style>
  <w:style w:type="paragraph" w:styleId="24">
    <w:name w:val="List"/>
    <w:basedOn w:val="1"/>
    <w:qFormat/>
    <w:locked/>
    <w:uiPriority w:val="0"/>
    <w:pPr>
      <w:widowControl/>
      <w:spacing w:line="440" w:lineRule="exact"/>
      <w:ind w:left="200" w:hanging="200"/>
      <w:jc w:val="left"/>
    </w:pPr>
    <w:rPr>
      <w:kern w:val="0"/>
      <w:sz w:val="24"/>
      <w:szCs w:val="20"/>
    </w:rPr>
  </w:style>
  <w:style w:type="paragraph" w:styleId="25">
    <w:name w:val="table of figures"/>
    <w:basedOn w:val="1"/>
    <w:next w:val="1"/>
    <w:qFormat/>
    <w:locked/>
    <w:uiPriority w:val="0"/>
  </w:style>
  <w:style w:type="paragraph" w:styleId="26">
    <w:name w:val="Body Text 2"/>
    <w:basedOn w:val="1"/>
    <w:qFormat/>
    <w:locked/>
    <w:uiPriority w:val="0"/>
    <w:pPr>
      <w:spacing w:afterLines="0" w:afterAutospacing="0" w:line="240" w:lineRule="auto"/>
      <w:jc w:val="center"/>
    </w:pPr>
    <w:rPr>
      <w:rFonts w:eastAsia="宋体"/>
      <w:sz w:val="21"/>
    </w:rPr>
  </w:style>
  <w:style w:type="paragraph" w:styleId="27">
    <w:name w:val="Normal (Web)"/>
    <w:basedOn w:val="1"/>
    <w:next w:val="16"/>
    <w:link w:val="48"/>
    <w:qFormat/>
    <w:uiPriority w:val="0"/>
    <w:pPr>
      <w:widowControl/>
      <w:spacing w:before="100" w:beforeAutospacing="1" w:after="100" w:afterAutospacing="1"/>
      <w:jc w:val="left"/>
    </w:pPr>
    <w:rPr>
      <w:rFonts w:ascii="宋体" w:hAnsi="宋体"/>
      <w:kern w:val="0"/>
      <w:sz w:val="24"/>
      <w:szCs w:val="20"/>
    </w:rPr>
  </w:style>
  <w:style w:type="paragraph" w:styleId="28">
    <w:name w:val="annotation subject"/>
    <w:basedOn w:val="9"/>
    <w:next w:val="9"/>
    <w:link w:val="49"/>
    <w:semiHidden/>
    <w:qFormat/>
    <w:uiPriority w:val="0"/>
    <w:rPr>
      <w:b/>
    </w:rPr>
  </w:style>
  <w:style w:type="paragraph" w:styleId="29">
    <w:name w:val="Body Text First Indent"/>
    <w:basedOn w:val="11"/>
    <w:next w:val="25"/>
    <w:qFormat/>
    <w:locked/>
    <w:uiPriority w:val="99"/>
    <w:pPr>
      <w:spacing w:line="440" w:lineRule="exact"/>
      <w:ind w:firstLine="504"/>
    </w:pPr>
    <w:rPr>
      <w:spacing w:val="6"/>
    </w:rPr>
  </w:style>
  <w:style w:type="paragraph" w:styleId="30">
    <w:name w:val="Body Text First Indent 2"/>
    <w:basedOn w:val="12"/>
    <w:next w:val="29"/>
    <w:qFormat/>
    <w:locked/>
    <w:uiPriority w:val="99"/>
    <w:pPr>
      <w:ind w:firstLine="420" w:firstLineChars="200"/>
    </w:p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locked/>
    <w:uiPriority w:val="0"/>
    <w:rPr>
      <w:b/>
    </w:rPr>
  </w:style>
  <w:style w:type="character" w:styleId="35">
    <w:name w:val="page number"/>
    <w:basedOn w:val="33"/>
    <w:qFormat/>
    <w:locked/>
    <w:uiPriority w:val="0"/>
  </w:style>
  <w:style w:type="character" w:styleId="36">
    <w:name w:val="Hyperlink"/>
    <w:basedOn w:val="33"/>
    <w:qFormat/>
    <w:locked/>
    <w:uiPriority w:val="0"/>
    <w:rPr>
      <w:color w:val="0000FF"/>
      <w:u w:val="none"/>
    </w:rPr>
  </w:style>
  <w:style w:type="character" w:styleId="37">
    <w:name w:val="annotation reference"/>
    <w:basedOn w:val="33"/>
    <w:semiHidden/>
    <w:qFormat/>
    <w:uiPriority w:val="0"/>
    <w:rPr>
      <w:sz w:val="21"/>
    </w:rPr>
  </w:style>
  <w:style w:type="paragraph" w:customStyle="1" w:styleId="38">
    <w:name w:val="style4"/>
    <w:basedOn w:val="1"/>
    <w:next w:val="39"/>
    <w:qFormat/>
    <w:uiPriority w:val="0"/>
    <w:pPr>
      <w:widowControl/>
      <w:spacing w:before="280" w:after="280"/>
    </w:pPr>
    <w:rPr>
      <w:rFonts w:ascii="宋体"/>
      <w:sz w:val="18"/>
    </w:rPr>
  </w:style>
  <w:style w:type="paragraph" w:customStyle="1" w:styleId="39">
    <w:name w:val="2"/>
    <w:next w:val="1"/>
    <w:qFormat/>
    <w:uiPriority w:val="0"/>
    <w:pPr>
      <w:widowControl w:val="0"/>
      <w:jc w:val="both"/>
    </w:pPr>
    <w:rPr>
      <w:rFonts w:ascii="Calibri" w:hAnsi="Calibri" w:eastAsia="宋体" w:cs="Times New Roman"/>
      <w:sz w:val="21"/>
      <w:szCs w:val="22"/>
      <w:lang w:val="en-US" w:eastAsia="zh-CN" w:bidi="ar-SA"/>
    </w:rPr>
  </w:style>
  <w:style w:type="paragraph" w:customStyle="1" w:styleId="40">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1">
    <w:name w:val="正文文本缩进 字符"/>
    <w:link w:val="12"/>
    <w:semiHidden/>
    <w:qFormat/>
    <w:locked/>
    <w:uiPriority w:val="0"/>
    <w:rPr>
      <w:rFonts w:ascii="Times New Roman" w:hAnsi="Times New Roman" w:eastAsia="宋体"/>
      <w:sz w:val="24"/>
    </w:rPr>
  </w:style>
  <w:style w:type="character" w:customStyle="1" w:styleId="42">
    <w:name w:val="批注文字 字符"/>
    <w:link w:val="9"/>
    <w:qFormat/>
    <w:locked/>
    <w:uiPriority w:val="0"/>
    <w:rPr>
      <w:rFonts w:ascii="Times New Roman" w:hAnsi="Times New Roman" w:eastAsia="宋体"/>
      <w:sz w:val="24"/>
    </w:rPr>
  </w:style>
  <w:style w:type="character" w:customStyle="1" w:styleId="43">
    <w:name w:val="正文文本 字符"/>
    <w:link w:val="11"/>
    <w:qFormat/>
    <w:locked/>
    <w:uiPriority w:val="0"/>
    <w:rPr>
      <w:sz w:val="18"/>
    </w:rPr>
  </w:style>
  <w:style w:type="character" w:customStyle="1" w:styleId="44">
    <w:name w:val="日期 字符1"/>
    <w:link w:val="17"/>
    <w:qFormat/>
    <w:locked/>
    <w:uiPriority w:val="0"/>
    <w:rPr>
      <w:rFonts w:ascii="Times New Roman" w:hAnsi="Times New Roman" w:eastAsia="宋体"/>
      <w:sz w:val="24"/>
    </w:rPr>
  </w:style>
  <w:style w:type="character" w:customStyle="1" w:styleId="45">
    <w:name w:val="批注框文本 字符"/>
    <w:link w:val="18"/>
    <w:semiHidden/>
    <w:qFormat/>
    <w:locked/>
    <w:uiPriority w:val="0"/>
    <w:rPr>
      <w:rFonts w:ascii="Times New Roman" w:hAnsi="Times New Roman" w:eastAsia="宋体"/>
      <w:sz w:val="18"/>
    </w:rPr>
  </w:style>
  <w:style w:type="character" w:customStyle="1" w:styleId="46">
    <w:name w:val="页脚 字符1"/>
    <w:link w:val="19"/>
    <w:qFormat/>
    <w:locked/>
    <w:uiPriority w:val="99"/>
    <w:rPr>
      <w:sz w:val="18"/>
    </w:rPr>
  </w:style>
  <w:style w:type="character" w:customStyle="1" w:styleId="47">
    <w:name w:val="页眉 字符"/>
    <w:link w:val="20"/>
    <w:qFormat/>
    <w:locked/>
    <w:uiPriority w:val="0"/>
    <w:rPr>
      <w:sz w:val="18"/>
    </w:rPr>
  </w:style>
  <w:style w:type="character" w:customStyle="1" w:styleId="48">
    <w:name w:val="普通(网站) 字符"/>
    <w:link w:val="27"/>
    <w:qFormat/>
    <w:locked/>
    <w:uiPriority w:val="0"/>
    <w:rPr>
      <w:rFonts w:ascii="宋体" w:hAnsi="宋体" w:eastAsia="宋体"/>
      <w:sz w:val="24"/>
    </w:rPr>
  </w:style>
  <w:style w:type="character" w:customStyle="1" w:styleId="49">
    <w:name w:val="批注主题 字符"/>
    <w:link w:val="28"/>
    <w:semiHidden/>
    <w:qFormat/>
    <w:locked/>
    <w:uiPriority w:val="0"/>
    <w:rPr>
      <w:rFonts w:ascii="Times New Roman" w:hAnsi="Times New Roman" w:eastAsia="宋体"/>
      <w:b/>
      <w:kern w:val="2"/>
      <w:sz w:val="24"/>
    </w:rPr>
  </w:style>
  <w:style w:type="character" w:customStyle="1" w:styleId="50">
    <w:name w:val="批注文字 字符1"/>
    <w:semiHidden/>
    <w:qFormat/>
    <w:uiPriority w:val="0"/>
    <w:rPr>
      <w:rFonts w:ascii="Times New Roman" w:hAnsi="Times New Roman" w:eastAsia="宋体"/>
      <w:sz w:val="24"/>
    </w:rPr>
  </w:style>
  <w:style w:type="character" w:customStyle="1" w:styleId="51">
    <w:name w:val="font61"/>
    <w:qFormat/>
    <w:uiPriority w:val="0"/>
    <w:rPr>
      <w:rFonts w:hint="eastAsia" w:ascii="宋体" w:hAnsi="宋体" w:eastAsia="宋体" w:cs="宋体"/>
      <w:color w:val="000000"/>
      <w:sz w:val="22"/>
      <w:szCs w:val="22"/>
      <w:u w:val="none"/>
    </w:rPr>
  </w:style>
  <w:style w:type="character" w:customStyle="1" w:styleId="52">
    <w:name w:val="日期 字符"/>
    <w:semiHidden/>
    <w:qFormat/>
    <w:uiPriority w:val="0"/>
    <w:rPr>
      <w:rFonts w:ascii="Times New Roman" w:hAnsi="Times New Roman" w:eastAsia="宋体"/>
      <w:sz w:val="24"/>
    </w:rPr>
  </w:style>
  <w:style w:type="character" w:customStyle="1" w:styleId="53">
    <w:name w:val="表格 Char"/>
    <w:link w:val="54"/>
    <w:qFormat/>
    <w:locked/>
    <w:uiPriority w:val="0"/>
    <w:rPr>
      <w:rFonts w:ascii="宋体"/>
      <w:sz w:val="21"/>
    </w:rPr>
  </w:style>
  <w:style w:type="paragraph" w:customStyle="1" w:styleId="54">
    <w:name w:val="表格"/>
    <w:basedOn w:val="24"/>
    <w:next w:val="1"/>
    <w:link w:val="53"/>
    <w:qFormat/>
    <w:uiPriority w:val="0"/>
    <w:pPr>
      <w:adjustRightInd w:val="0"/>
      <w:snapToGrid w:val="0"/>
      <w:spacing w:beforeLines="10" w:afterLines="10" w:line="259" w:lineRule="auto"/>
      <w:jc w:val="center"/>
    </w:pPr>
    <w:rPr>
      <w:rFonts w:ascii="宋体"/>
      <w:kern w:val="0"/>
      <w:szCs w:val="20"/>
    </w:rPr>
  </w:style>
  <w:style w:type="character" w:customStyle="1" w:styleId="55">
    <w:name w:val="font41"/>
    <w:qFormat/>
    <w:uiPriority w:val="0"/>
    <w:rPr>
      <w:rFonts w:hint="eastAsia" w:ascii="宋体" w:hAnsi="宋体" w:eastAsia="宋体" w:cs="宋体"/>
      <w:color w:val="000000"/>
      <w:sz w:val="22"/>
      <w:szCs w:val="22"/>
      <w:u w:val="none"/>
      <w:vertAlign w:val="superscript"/>
    </w:rPr>
  </w:style>
  <w:style w:type="character" w:customStyle="1" w:styleId="56">
    <w:name w:val="正文文本 字符1"/>
    <w:semiHidden/>
    <w:qFormat/>
    <w:uiPriority w:val="0"/>
    <w:rPr>
      <w:rFonts w:ascii="Times New Roman" w:hAnsi="Times New Roman" w:eastAsia="宋体"/>
      <w:sz w:val="24"/>
    </w:rPr>
  </w:style>
  <w:style w:type="character" w:customStyle="1" w:styleId="57">
    <w:name w:val="页脚 字符"/>
    <w:basedOn w:val="33"/>
    <w:qFormat/>
    <w:uiPriority w:val="99"/>
  </w:style>
  <w:style w:type="paragraph" w:styleId="58">
    <w:name w:val="List Paragraph"/>
    <w:basedOn w:val="1"/>
    <w:unhideWhenUsed/>
    <w:qFormat/>
    <w:uiPriority w:val="99"/>
    <w:pPr>
      <w:ind w:firstLine="420" w:firstLineChars="200"/>
    </w:pPr>
  </w:style>
  <w:style w:type="paragraph" w:customStyle="1" w:styleId="59">
    <w:name w:val="样式 五号 居中"/>
    <w:basedOn w:val="1"/>
    <w:qFormat/>
    <w:uiPriority w:val="0"/>
    <w:pPr>
      <w:spacing w:line="240" w:lineRule="atLeast"/>
      <w:jc w:val="center"/>
    </w:pPr>
    <w:rPr>
      <w:rFonts w:cs="宋体"/>
      <w:szCs w:val="20"/>
    </w:rPr>
  </w:style>
  <w:style w:type="paragraph" w:customStyle="1" w:styleId="6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列出段落2"/>
    <w:basedOn w:val="1"/>
    <w:unhideWhenUsed/>
    <w:qFormat/>
    <w:uiPriority w:val="99"/>
    <w:pPr>
      <w:ind w:firstLine="420" w:firstLineChars="200"/>
    </w:pPr>
  </w:style>
  <w:style w:type="paragraph" w:customStyle="1" w:styleId="63">
    <w:name w:val="文"/>
    <w:qFormat/>
    <w:uiPriority w:val="0"/>
    <w:pPr>
      <w:spacing w:before="30" w:beforeLines="30" w:after="20" w:afterLines="20" w:line="420" w:lineRule="atLeast"/>
      <w:ind w:firstLine="200" w:firstLineChars="200"/>
      <w:jc w:val="both"/>
    </w:pPr>
    <w:rPr>
      <w:rFonts w:ascii="Times New Roman" w:hAnsi="Times New Roman" w:eastAsia="宋体" w:cs="Times New Roman"/>
      <w:bCs/>
      <w:sz w:val="24"/>
      <w:szCs w:val="28"/>
      <w:lang w:val="en-US" w:eastAsia="zh-CN" w:bidi="ar-SA"/>
    </w:rPr>
  </w:style>
  <w:style w:type="paragraph" w:customStyle="1" w:styleId="64">
    <w:name w:val="Default"/>
    <w:next w:val="65"/>
    <w:unhideWhenUsed/>
    <w:qFormat/>
    <w:uiPriority w:val="99"/>
    <w:pPr>
      <w:widowControl w:val="0"/>
      <w:autoSpaceDE w:val="0"/>
      <w:autoSpaceDN w:val="0"/>
    </w:pPr>
    <w:rPr>
      <w:rFonts w:hint="eastAsia" w:ascii="仿宋_GB2312" w:hAnsi="Calibri" w:eastAsia="仿宋_GB2312" w:cs="Times New Roman"/>
      <w:color w:val="000000"/>
      <w:sz w:val="24"/>
      <w:szCs w:val="22"/>
      <w:lang w:val="en-US" w:eastAsia="zh-CN" w:bidi="ar-SA"/>
    </w:rPr>
  </w:style>
  <w:style w:type="paragraph" w:customStyle="1" w:styleId="65">
    <w:name w:val="样式1"/>
    <w:next w:val="1"/>
    <w:qFormat/>
    <w:uiPriority w:val="0"/>
    <w:pPr>
      <w:widowControl w:val="0"/>
      <w:spacing w:after="40" w:line="300" w:lineRule="atLeast"/>
      <w:jc w:val="center"/>
      <w:outlineLvl w:val="2"/>
    </w:pPr>
    <w:rPr>
      <w:rFonts w:ascii="Arial" w:hAnsi="Arial" w:eastAsia="楷体_GB2312" w:cs="Arial"/>
      <w:b/>
      <w:bCs/>
      <w:kern w:val="2"/>
      <w:sz w:val="21"/>
      <w:lang w:val="en-US" w:eastAsia="zh-CN" w:bidi="ar-SA"/>
    </w:rPr>
  </w:style>
  <w:style w:type="character" w:customStyle="1" w:styleId="66">
    <w:name w:val="表头 Char"/>
    <w:link w:val="67"/>
    <w:qFormat/>
    <w:locked/>
    <w:uiPriority w:val="99"/>
    <w:rPr>
      <w:rFonts w:ascii="Times New Roman" w:eastAsia="黑体"/>
    </w:rPr>
  </w:style>
  <w:style w:type="paragraph" w:customStyle="1" w:styleId="67">
    <w:name w:val="表头"/>
    <w:basedOn w:val="1"/>
    <w:next w:val="1"/>
    <w:link w:val="66"/>
    <w:qFormat/>
    <w:uiPriority w:val="99"/>
    <w:pPr>
      <w:spacing w:line="360" w:lineRule="auto"/>
      <w:ind w:firstLine="300" w:firstLineChars="300"/>
    </w:pPr>
    <w:rPr>
      <w:rFonts w:eastAsia="黑体"/>
    </w:rPr>
  </w:style>
  <w:style w:type="paragraph" w:customStyle="1" w:styleId="68">
    <w:name w:val="HDY正文"/>
    <w:basedOn w:val="1"/>
    <w:qFormat/>
    <w:uiPriority w:val="99"/>
    <w:pPr>
      <w:widowControl/>
      <w:spacing w:line="360" w:lineRule="auto"/>
      <w:ind w:firstLine="480" w:firstLineChars="200"/>
    </w:pPr>
    <w:rPr>
      <w:szCs w:val="22"/>
    </w:rPr>
  </w:style>
  <w:style w:type="paragraph" w:customStyle="1" w:styleId="69">
    <w:name w:val="样式2"/>
    <w:basedOn w:val="1"/>
    <w:qFormat/>
    <w:uiPriority w:val="99"/>
    <w:pPr>
      <w:adjustRightInd w:val="0"/>
      <w:snapToGrid w:val="0"/>
      <w:spacing w:line="500" w:lineRule="exact"/>
      <w:ind w:firstLine="539"/>
    </w:pPr>
    <w:rPr>
      <w:rFonts w:eastAsia="仿宋_GB2312"/>
      <w:sz w:val="28"/>
    </w:rPr>
  </w:style>
  <w:style w:type="paragraph" w:customStyle="1" w:styleId="70">
    <w:name w:val="表格3"/>
    <w:qFormat/>
    <w:uiPriority w:val="0"/>
    <w:pPr>
      <w:spacing w:line="240" w:lineRule="atLeast"/>
      <w:jc w:val="center"/>
    </w:pPr>
    <w:rPr>
      <w:rFonts w:ascii="Calibri" w:hAnsi="Calibri" w:eastAsia="宋体" w:cs="Times New Roman"/>
      <w:kern w:val="2"/>
      <w:sz w:val="21"/>
      <w:szCs w:val="21"/>
      <w:lang w:val="en-US" w:eastAsia="zh-CN" w:bidi="ar-SA"/>
    </w:rPr>
  </w:style>
  <w:style w:type="paragraph" w:customStyle="1" w:styleId="71">
    <w:name w:val="表格内容"/>
    <w:basedOn w:val="1"/>
    <w:qFormat/>
    <w:uiPriority w:val="0"/>
    <w:pPr>
      <w:overflowPunct w:val="0"/>
      <w:adjustRightInd w:val="0"/>
      <w:spacing w:line="200" w:lineRule="atLeast"/>
      <w:textAlignment w:val="baseline"/>
    </w:pPr>
    <w:rPr>
      <w:rFonts w:ascii="Arial" w:hAnsi="Arial" w:eastAsia="仿宋_GB2312"/>
      <w:kern w:val="0"/>
    </w:rPr>
  </w:style>
  <w:style w:type="paragraph" w:customStyle="1" w:styleId="72">
    <w:name w:val="第一章表标头"/>
    <w:basedOn w:val="1"/>
    <w:qFormat/>
    <w:uiPriority w:val="0"/>
    <w:pPr>
      <w:numPr>
        <w:ilvl w:val="0"/>
        <w:numId w:val="1"/>
      </w:numPr>
      <w:tabs>
        <w:tab w:val="left" w:pos="360"/>
        <w:tab w:val="left" w:pos="2269"/>
      </w:tabs>
      <w:adjustRightInd w:val="0"/>
      <w:snapToGrid w:val="0"/>
      <w:spacing w:line="480" w:lineRule="exact"/>
      <w:jc w:val="center"/>
    </w:pPr>
    <w:rPr>
      <w:rFonts w:ascii="黑体" w:eastAsia="黑体"/>
      <w:szCs w:val="21"/>
    </w:rPr>
  </w:style>
  <w:style w:type="paragraph" w:customStyle="1" w:styleId="73">
    <w:name w:val="0正文"/>
    <w:basedOn w:val="1"/>
    <w:qFormat/>
    <w:uiPriority w:val="0"/>
    <w:pPr>
      <w:spacing w:line="360" w:lineRule="auto"/>
      <w:ind w:firstLine="480" w:firstLineChars="200"/>
    </w:pPr>
    <w:rPr>
      <w:rFonts w:ascii="Times New Roman" w:hAnsi="Times New Roman" w:eastAsia="宋体" w:cs="Times New Roman"/>
      <w:color w:val="0000FF"/>
      <w:kern w:val="0"/>
      <w:sz w:val="24"/>
      <w:szCs w:val="24"/>
      <w:lang w:val="zh-CN"/>
    </w:rPr>
  </w:style>
  <w:style w:type="paragraph" w:customStyle="1" w:styleId="74">
    <w:name w:val="表格文字"/>
    <w:basedOn w:val="67"/>
    <w:next w:val="1"/>
    <w:qFormat/>
    <w:uiPriority w:val="0"/>
    <w:pPr>
      <w:spacing w:line="240" w:lineRule="auto"/>
      <w:ind w:firstLine="0" w:firstLineChars="0"/>
      <w:jc w:val="center"/>
    </w:pPr>
    <w:rPr>
      <w:rFonts w:ascii="Times New Roman" w:hAnsi="Times New Roman"/>
      <w:kern w:val="44"/>
      <w:sz w:val="21"/>
    </w:rPr>
  </w:style>
  <w:style w:type="paragraph" w:customStyle="1" w:styleId="75">
    <w:name w:val="Table Paragraph"/>
    <w:basedOn w:val="1"/>
    <w:qFormat/>
    <w:uiPriority w:val="1"/>
    <w:pPr>
      <w:widowControl w:val="0"/>
      <w:jc w:val="both"/>
    </w:pPr>
    <w:rPr>
      <w:rFonts w:ascii="宋体" w:hAnsi="宋体" w:cs="宋体"/>
      <w:kern w:val="2"/>
      <w:sz w:val="21"/>
      <w:szCs w:val="24"/>
      <w:lang w:val="zh-CN" w:bidi="zh-CN"/>
    </w:rPr>
  </w:style>
  <w:style w:type="character" w:customStyle="1" w:styleId="76">
    <w:name w:val="font21"/>
    <w:basedOn w:val="33"/>
    <w:qFormat/>
    <w:uiPriority w:val="0"/>
    <w:rPr>
      <w:rFonts w:hint="default" w:ascii="Calibri" w:hAnsi="Calibri" w:cs="Calibri"/>
      <w:color w:val="000000"/>
      <w:sz w:val="24"/>
      <w:szCs w:val="24"/>
      <w:u w:val="none"/>
    </w:rPr>
  </w:style>
  <w:style w:type="character" w:customStyle="1" w:styleId="77">
    <w:name w:val="font01"/>
    <w:basedOn w:val="33"/>
    <w:qFormat/>
    <w:uiPriority w:val="0"/>
    <w:rPr>
      <w:rFonts w:hint="eastAsia" w:ascii="宋体" w:hAnsi="宋体" w:eastAsia="宋体" w:cs="宋体"/>
      <w:color w:val="000000"/>
      <w:sz w:val="24"/>
      <w:szCs w:val="24"/>
      <w:u w:val="none"/>
    </w:rPr>
  </w:style>
  <w:style w:type="paragraph" w:customStyle="1" w:styleId="78">
    <w:name w:val="2006正文"/>
    <w:basedOn w:val="1"/>
    <w:qFormat/>
    <w:uiPriority w:val="0"/>
    <w:pPr>
      <w:spacing w:line="520" w:lineRule="exact"/>
      <w:ind w:firstLine="200" w:firstLineChars="200"/>
    </w:pPr>
    <w:rPr>
      <w:rFonts w:ascii="宋体" w:hAnsi="宋体"/>
      <w:sz w:val="24"/>
      <w:szCs w:val="20"/>
    </w:rPr>
  </w:style>
  <w:style w:type="character" w:customStyle="1" w:styleId="79">
    <w:name w:val="fontstyle01"/>
    <w:basedOn w:val="33"/>
    <w:qFormat/>
    <w:uiPriority w:val="0"/>
    <w:rPr>
      <w:rFonts w:hint="eastAsia" w:ascii="宋体" w:hAnsi="宋体" w:eastAsia="宋体"/>
      <w:color w:val="000000"/>
      <w:sz w:val="24"/>
      <w:szCs w:val="24"/>
    </w:rPr>
  </w:style>
  <w:style w:type="character" w:customStyle="1" w:styleId="80">
    <w:name w:val="fontstyle11"/>
    <w:basedOn w:val="33"/>
    <w:qFormat/>
    <w:uiPriority w:val="0"/>
    <w:rPr>
      <w:rFonts w:hint="default" w:ascii="Wingdings" w:hAnsi="Wingdings"/>
      <w:color w:val="000000"/>
      <w:sz w:val="24"/>
      <w:szCs w:val="24"/>
    </w:rPr>
  </w:style>
  <w:style w:type="character" w:customStyle="1" w:styleId="81">
    <w:name w:val="fontstyle21"/>
    <w:basedOn w:val="33"/>
    <w:qFormat/>
    <w:uiPriority w:val="0"/>
    <w:rPr>
      <w:rFonts w:hint="default" w:ascii="Times New Roman" w:hAnsi="Times New Roman" w:cs="Times New Roman"/>
      <w:color w:val="000000"/>
      <w:sz w:val="24"/>
      <w:szCs w:val="24"/>
    </w:rPr>
  </w:style>
  <w:style w:type="paragraph" w:customStyle="1" w:styleId="82">
    <w:name w:val="1正文"/>
    <w:basedOn w:val="1"/>
    <w:qFormat/>
    <w:uiPriority w:val="0"/>
    <w:pPr>
      <w:widowControl/>
      <w:spacing w:line="360" w:lineRule="auto"/>
      <w:ind w:firstLine="200" w:firstLineChars="200"/>
    </w:pPr>
    <w:rPr>
      <w:rFonts w:ascii="Calibri" w:hAnsi="Calibri"/>
      <w:kern w:val="0"/>
      <w:sz w:val="24"/>
      <w:szCs w:val="20"/>
      <w:lang w:val="en-GB"/>
    </w:rPr>
  </w:style>
  <w:style w:type="paragraph" w:customStyle="1" w:styleId="83">
    <w:name w:val="正文首行缩进 2 + Times New Roman"/>
    <w:basedOn w:val="1"/>
    <w:qFormat/>
    <w:uiPriority w:val="0"/>
    <w:pPr>
      <w:tabs>
        <w:tab w:val="left" w:pos="0"/>
      </w:tabs>
      <w:autoSpaceDE w:val="0"/>
      <w:autoSpaceDN w:val="0"/>
      <w:spacing w:line="360" w:lineRule="auto"/>
      <w:ind w:right="5" w:rightChars="2" w:firstLine="480" w:firstLineChars="200"/>
      <w:jc w:val="left"/>
    </w:pPr>
    <w:rPr>
      <w:color w:val="000000"/>
      <w:kern w:val="0"/>
      <w:sz w:val="24"/>
      <w:szCs w:val="24"/>
    </w:rPr>
  </w:style>
  <w:style w:type="paragraph" w:customStyle="1" w:styleId="84">
    <w:name w:val="No Spacing"/>
    <w:basedOn w:val="1"/>
    <w:qFormat/>
    <w:uiPriority w:val="0"/>
    <w:pPr>
      <w:keepNext w:val="0"/>
      <w:keepLines w:val="0"/>
      <w:widowControl w:val="0"/>
      <w:suppressLineNumbers w:val="0"/>
      <w:adjustRightInd w:val="0"/>
      <w:snapToGrid w:val="0"/>
      <w:spacing w:before="0" w:beforeAutospacing="0" w:after="0" w:afterAutospacing="0"/>
      <w:ind w:left="0" w:right="0"/>
      <w:jc w:val="center"/>
    </w:pPr>
    <w:rPr>
      <w:rFonts w:hint="default" w:ascii="Times New Roman" w:hAnsi="Times New Roman" w:eastAsia="宋体" w:cs="Times New Roman"/>
      <w:b/>
      <w:kern w:val="2"/>
      <w:sz w:val="21"/>
      <w:szCs w:val="21"/>
      <w:lang w:val="en-US" w:eastAsia="zh-CN" w:bidi="ar"/>
    </w:rPr>
  </w:style>
  <w:style w:type="paragraph" w:customStyle="1" w:styleId="85">
    <w:name w:val="Heading2"/>
    <w:basedOn w:val="1"/>
    <w:next w:val="1"/>
    <w:qFormat/>
    <w:uiPriority w:val="0"/>
    <w:pPr>
      <w:keepNext/>
      <w:keepLines/>
      <w:spacing w:before="260" w:after="260" w:line="416" w:lineRule="auto"/>
      <w:jc w:val="both"/>
      <w:textAlignment w:val="baseline"/>
    </w:pPr>
    <w:rPr>
      <w:rFonts w:ascii="Arial" w:hAnsi="Arial" w:eastAsia="黑体" w:cs="Times New Roman"/>
      <w:b/>
      <w:bCs/>
      <w:kern w:val="2"/>
      <w:sz w:val="32"/>
      <w:szCs w:val="32"/>
      <w:lang w:val="en-US" w:eastAsia="zh-CN" w:bidi="ar-SA"/>
    </w:rPr>
  </w:style>
  <w:style w:type="table" w:customStyle="1" w:styleId="86">
    <w:name w:val="Table Normal"/>
    <w:semiHidden/>
    <w:unhideWhenUsed/>
    <w:qFormat/>
    <w:uiPriority w:val="0"/>
    <w:tblPr>
      <w:tblCellMar>
        <w:top w:w="0" w:type="dxa"/>
        <w:left w:w="0" w:type="dxa"/>
        <w:bottom w:w="0" w:type="dxa"/>
        <w:right w:w="0" w:type="dxa"/>
      </w:tblCellMar>
    </w:tblPr>
  </w:style>
  <w:style w:type="paragraph" w:customStyle="1" w:styleId="87">
    <w:name w:val="表格-陈"/>
    <w:basedOn w:val="1"/>
    <w:qFormat/>
    <w:uiPriority w:val="0"/>
    <w:pPr>
      <w:spacing w:line="320" w:lineRule="exact"/>
      <w:ind w:firstLine="0" w:firstLineChars="0"/>
      <w:jc w:val="center"/>
    </w:pPr>
    <w:rPr>
      <w:sz w:val="21"/>
    </w:rPr>
  </w:style>
  <w:style w:type="paragraph" w:customStyle="1" w:styleId="88">
    <w:name w:val="2表格内容"/>
    <w:basedOn w:val="82"/>
    <w:qFormat/>
    <w:uiPriority w:val="0"/>
    <w:pPr>
      <w:spacing w:line="240" w:lineRule="auto"/>
      <w:ind w:firstLine="0" w:firstLineChars="0"/>
      <w:jc w:val="center"/>
    </w:pPr>
    <w:rPr>
      <w:kern w:val="24"/>
      <w:sz w:val="21"/>
    </w:rPr>
  </w:style>
  <w:style w:type="paragraph" w:customStyle="1" w:styleId="89">
    <w:name w:val="样式 样式 样式 样式 首行缩进:  1 字符 + 首行缩进:  2 字符2 + 首行缩进:  2 字符 +"/>
    <w:basedOn w:val="1"/>
    <w:qFormat/>
    <w:uiPriority w:val="0"/>
    <w:pPr>
      <w:spacing w:line="360" w:lineRule="auto"/>
      <w:ind w:firstLine="480" w:firstLineChars="200"/>
    </w:pPr>
    <w:rPr>
      <w:rFonts w:cs="宋体"/>
      <w:kern w:val="0"/>
      <w:sz w:val="24"/>
    </w:rPr>
  </w:style>
  <w:style w:type="paragraph" w:customStyle="1" w:styleId="90">
    <w:name w:val="WPSOffice手动目录 1"/>
    <w:qFormat/>
    <w:uiPriority w:val="0"/>
    <w:pPr>
      <w:ind w:leftChars="0"/>
    </w:pPr>
    <w:rPr>
      <w:rFonts w:ascii="Times New Roman" w:hAnsi="Times New Roman" w:eastAsia="宋体" w:cs="Times New Roman"/>
      <w:sz w:val="20"/>
      <w:szCs w:val="20"/>
    </w:rPr>
  </w:style>
  <w:style w:type="character" w:customStyle="1" w:styleId="91">
    <w:name w:val="正文缩进 Char"/>
    <w:link w:val="7"/>
    <w:qFormat/>
    <w:uiPriority w:val="0"/>
  </w:style>
  <w:style w:type="paragraph" w:customStyle="1" w:styleId="92">
    <w:name w:val="小四正文"/>
    <w:basedOn w:val="1"/>
    <w:qFormat/>
    <w:uiPriority w:val="0"/>
    <w:pPr>
      <w:adjustRightInd w:val="0"/>
      <w:snapToGrid w:val="0"/>
      <w:spacing w:line="360" w:lineRule="auto"/>
      <w:ind w:firstLine="200" w:firstLineChars="200"/>
    </w:pPr>
    <w:rPr>
      <w:rFonts w:ascii="宋体" w:hAnsi="宋体"/>
      <w:bCs/>
      <w:sz w:val="24"/>
      <w:szCs w:val="21"/>
    </w:rPr>
  </w:style>
  <w:style w:type="paragraph" w:customStyle="1" w:styleId="93">
    <w:name w:val="曹1.1"/>
    <w:basedOn w:val="1"/>
    <w:qFormat/>
    <w:uiPriority w:val="0"/>
    <w:pPr>
      <w:spacing w:line="360" w:lineRule="auto"/>
    </w:pPr>
    <w:rPr>
      <w:b/>
      <w:sz w:val="24"/>
    </w:rPr>
  </w:style>
  <w:style w:type="paragraph" w:customStyle="1" w:styleId="94">
    <w:name w:val="_Style 1"/>
    <w:qFormat/>
    <w:uiPriority w:val="1"/>
    <w:pPr>
      <w:widowControl w:val="0"/>
      <w:jc w:val="both"/>
    </w:pPr>
    <w:rPr>
      <w:rFonts w:ascii="Calibri" w:hAnsi="Calibri" w:eastAsia="宋体" w:cs="Times New Roman"/>
      <w:kern w:val="2"/>
      <w:sz w:val="21"/>
      <w:szCs w:val="22"/>
      <w:lang w:val="en-US" w:eastAsia="zh-CN" w:bidi="ar-SA"/>
    </w:rPr>
  </w:style>
  <w:style w:type="paragraph" w:customStyle="1" w:styleId="95">
    <w:name w:val="段落"/>
    <w:basedOn w:val="1"/>
    <w:qFormat/>
    <w:uiPriority w:val="0"/>
    <w:pPr>
      <w:topLinePunct/>
      <w:ind w:firstLine="200" w:firstLineChars="200"/>
      <w:jc w:val="left"/>
    </w:pPr>
    <w:rPr>
      <w:spacing w:val="0"/>
      <w:sz w:val="24"/>
      <w:szCs w:val="24"/>
      <w:lang w:val="zh-CN"/>
    </w:rPr>
  </w:style>
  <w:style w:type="paragraph" w:customStyle="1" w:styleId="96">
    <w:name w:val="5号头"/>
    <w:qFormat/>
    <w:uiPriority w:val="0"/>
    <w:pPr>
      <w:spacing w:line="360" w:lineRule="auto"/>
      <w:jc w:val="center"/>
    </w:pPr>
    <w:rPr>
      <w:rFonts w:ascii="Times New Roman" w:hAnsi="Times New Roman" w:eastAsia="宋体" w:cs="Times New Roman"/>
      <w:b/>
      <w:sz w:val="21"/>
      <w:lang w:val="en-US" w:eastAsia="zh-CN" w:bidi="ar-SA"/>
    </w:rPr>
  </w:style>
  <w:style w:type="paragraph" w:customStyle="1" w:styleId="97">
    <w:name w:val="表格名称-li"/>
    <w:basedOn w:val="1"/>
    <w:qFormat/>
    <w:uiPriority w:val="0"/>
    <w:pPr>
      <w:ind w:firstLine="482"/>
      <w:jc w:val="left"/>
    </w:pPr>
    <w:rPr>
      <w:rFonts w:hAnsi="宋体"/>
      <w:b/>
    </w:rPr>
  </w:style>
  <w:style w:type="paragraph" w:customStyle="1" w:styleId="98">
    <w:name w:val="表格内容-1"/>
    <w:basedOn w:val="1"/>
    <w:qFormat/>
    <w:uiPriority w:val="0"/>
    <w:pPr>
      <w:widowControl/>
      <w:adjustRightInd/>
      <w:snapToGrid/>
      <w:spacing w:line="360" w:lineRule="exact"/>
      <w:ind w:firstLine="0" w:firstLineChars="0"/>
      <w:jc w:val="center"/>
    </w:pPr>
    <w:rPr>
      <w:rFonts w:cs="宋体"/>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119</Pages>
  <Words>55901</Words>
  <Characters>68759</Characters>
  <Lines>258</Lines>
  <Paragraphs>72</Paragraphs>
  <TotalTime>0</TotalTime>
  <ScaleCrop>false</ScaleCrop>
  <LinksUpToDate>false</LinksUpToDate>
  <CharactersWithSpaces>69564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LAJ</cp:lastModifiedBy>
  <cp:lastPrinted>2023-05-06T02:39:00Z</cp:lastPrinted>
  <dcterms:modified xsi:type="dcterms:W3CDTF">2023-07-24T02:19:06Z</dcterms:modified>
  <dc:title>附件2</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6841146C79134854904684D832A537ED_13</vt:lpwstr>
  </property>
</Properties>
</file>