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8年度综合考核民意测评打分表</w:t>
      </w:r>
    </w:p>
    <w:tbl>
      <w:tblPr>
        <w:tblStyle w:val="3"/>
        <w:tblpPr w:leftFromText="180" w:rightFromText="180" w:vertAnchor="text" w:horzAnchor="page" w:tblpX="1055" w:tblpY="220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637"/>
        <w:gridCol w:w="3208"/>
        <w:gridCol w:w="279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年度目标任务完成情况（占</w:t>
            </w:r>
            <w:r>
              <w:rPr>
                <w:rFonts w:hint="default"/>
                <w:b/>
                <w:bCs/>
              </w:rPr>
              <w:t>80%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领导班子建设情况（占</w:t>
            </w:r>
            <w:r>
              <w:rPr>
                <w:rFonts w:hint="default"/>
                <w:b/>
                <w:bCs/>
              </w:rPr>
              <w:t>20%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党工委管委会办公室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党工委管委会督查室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纪工委监察局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党群工作部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发展和改革局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财政局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招商一局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招商二局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统计局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规划土地局</w:t>
            </w:r>
            <w:r>
              <w:rPr>
                <w:rFonts w:hint="eastAsia"/>
                <w:lang w:eastAsia="zh-CN"/>
              </w:rPr>
              <w:t>（城改办）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建设局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水务局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城市管理执法局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社会事业局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教育文体局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卫生食品药品监督管理局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综治信访办公室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安全生产监督管理局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创建工作办公室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威楠公司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良田街道办事处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崇业路街道办事处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白杨街道办事处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金城社区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公安分局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工商分局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环保分局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质监分局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税务局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养老经办中心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</w:tbl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</w:rPr>
        <w:t>注意事项：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被考核单位对本单位不测评打分。</w:t>
      </w:r>
    </w:p>
    <w:p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综合考核民意测评打分以百分制计。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F77C8"/>
    <w:rsid w:val="13CA69E4"/>
    <w:rsid w:val="734F7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2019-01-15T07:31:00Z</dcterms:created>
  <dc:creator>雷秦榜</dc:creator>
  <cp:lastModifiedBy>雷秦榜</cp:lastModifiedBy>
  <dcterms:modified xsi:type="dcterms:W3CDTF">2019-01-15T07:39:13Z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