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39" w:rightChars="66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高新区201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年度综合考核时间安排表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48"/>
          <w:szCs w:val="48"/>
        </w:rPr>
      </w:pPr>
    </w:p>
    <w:tbl>
      <w:tblPr>
        <w:tblStyle w:val="5"/>
        <w:tblW w:w="1014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045"/>
        <w:gridCol w:w="25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815" w:type="dxa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分组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时间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第一组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个单位）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第二组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（1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个单位）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第三组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个单位）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  <w:t>1月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  <w:t>日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党工委管委会办公室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发展和改革局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党工委管委会督查室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财政局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工商分局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纪工委监察局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招商一局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环保分局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党群工作部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招商二局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国税局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社会事业局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统计局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地税分局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教育文体局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规划土地局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质监分局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卫生食品药品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监督管理局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建设局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  <w:t>养老经办中心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综治信访办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综合执法局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良田街道办事处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创建办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安全生产监督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管理局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崇业路街道办事处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金城社区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水务局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白杨街道办事处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城改办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威楠公司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锐字工房云字库行楷GBK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stellar">
    <w:altName w:val="Almonte Snow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00E6B"/>
    <w:rsid w:val="0A600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2018-01-26T08:08:00Z</dcterms:created>
  <dc:creator>雷秦榜</dc:creator>
  <cp:lastModifiedBy>雷秦榜</cp:lastModifiedBy>
  <dcterms:modified xsi:type="dcterms:W3CDTF">2018-01-26T08:11:23Z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