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91440</wp:posOffset>
                </wp:positionV>
                <wp:extent cx="579120" cy="7429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- 10 -</w:t>
                            </w: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35.1pt;margin-top:7.2pt;height:58.5pt;width:45.6pt;z-index:-251658240;mso-width-relative:margin;mso-height-relative:margin;mso-width-percent:400;" filled="f" stroked="f" coordsize="21600,21600" o:gfxdata="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jwckp1wAAAAkBAAAPAAAA&#10;AAAAAAEAIAAAACIAAABkcnMvZG93bnJldi54bWxQSwECFAAUAAAACACHTuJAcseqOqQBAAAlAwAA&#10;DgAAAAAAAAABACAAAAAmAQAAZHJzL2Uyb0RvYy54bWxQSwUGAAAAAAYABgBZAQAAPAUAAAAA&#10;">
                <v:path/>
                <v:fill on="f" focussize="0,0"/>
                <v:stroke on="f"/>
                <v:imagedata o:title=""/>
                <o:lock v:ext="edit"/>
                <v:textbox style="layout-flow:vertical;mso-fit-shape-to-text:t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- 10 -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bookmarkStart w:id="0" w:name="_GoBack"/>
      <w:bookmarkEnd w:id="0"/>
    </w:p>
    <w:p>
      <w:pPr>
        <w:spacing w:line="6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2019年高新区全面深化改革重点工作任务</w:t>
      </w:r>
    </w:p>
    <w:tbl>
      <w:tblPr>
        <w:tblStyle w:val="3"/>
        <w:tblW w:w="14901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6"/>
        <w:gridCol w:w="625"/>
        <w:gridCol w:w="1050"/>
        <w:gridCol w:w="6510"/>
        <w:gridCol w:w="1406"/>
        <w:gridCol w:w="782"/>
        <w:gridCol w:w="1023"/>
        <w:gridCol w:w="1804"/>
        <w:gridCol w:w="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改革任务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改革内容</w:t>
            </w:r>
          </w:p>
        </w:tc>
        <w:tc>
          <w:tcPr>
            <w:tcW w:w="651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具体工作任务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工作责任</w:t>
            </w: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6510" w:type="dxa"/>
            <w:vMerge w:val="continue"/>
            <w:noWrap w:val="0"/>
            <w:vAlign w:val="center"/>
          </w:tcPr>
          <w:p>
            <w:pPr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hint="eastAsia" w:eastAsia="黑体"/>
                <w:b/>
                <w:color w:val="000000"/>
                <w:kern w:val="0"/>
                <w:szCs w:val="21"/>
              </w:rPr>
              <w:t>牵头</w:t>
            </w:r>
            <w:r>
              <w:rPr>
                <w:rFonts w:eastAsia="黑体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Cs w:val="21"/>
              </w:rPr>
            </w:pPr>
            <w:r>
              <w:rPr>
                <w:rFonts w:eastAsia="黑体"/>
                <w:b/>
                <w:color w:val="000000"/>
                <w:kern w:val="0"/>
                <w:szCs w:val="21"/>
              </w:rPr>
              <w:t>包联领导</w:t>
            </w: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深化政府机构和事业单位改革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纵深推进“放管服”改革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承接落实好中省市取消、下放行政审批事项；全面推行村级“小微权力”清单制度。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持续开展相对集中行政许可权改革；优化整合提升行政服务中心“一站式”功能，实现“一个窗口”“一次办成”；全力推进“互联网+政务服务”工作，探索“线上政府”“网上政府”“掌上政府”。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行政审批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服务局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张仲卫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全力做好行政体制改革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根据中省市机构改革方案要求，结合高新区实际，制定出台《渭南高新区机构改革方案》，积极稳妥推进新一轮机构改革，确保机构精简高效、职责清晰、运行顺畅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制定《渭南高新区企事业单位公务用车改革实施方案》，推进企事业单位公务用车改革。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党工委管委会办公室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周向锋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谭文德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深入推进城市管理执法体制改革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全面理顺城管执法体制，保证城市管理执法部门全面正确履行职能；加强城市精细化管理，探索城市管理外包机制，持续推进城乡环卫一体化，不断提升城市建设管理水平；加快“智慧城管”建设及应用。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城市管理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执法局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许靖晖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刘  平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1263650</wp:posOffset>
                      </wp:positionV>
                      <wp:extent cx="579120" cy="74295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- 11 -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4.25pt;margin-top:99.5pt;height:58.5pt;width:45.6pt;z-index:-251657216;mso-width-relative:margin;mso-height-relative:margin;mso-width-percent:400;" filled="f" stroked="f" coordsize="21600,21600" o:gfxdata="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gmBQbZAAAACgEAAA8A&#10;AAAAAAAAAQAgAAAAIgAAAGRycy9kb3ducmV2LnhtbFBLAQIUABQAAAAIAIdO4kAps9uZpAEAACUD&#10;AAAOAAAAAAAAAAEAIAAAACgBAABkcnMvZTJvRG9jLnhtbFBLBQYAAAAABgAGAFkBAAA+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- 11 -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深化经济体制改革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深化供给侧结构性改革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认真落实《渭南市供给侧结构性改革降成本三年行动方案》，巩固“三去一降一补”改革成果；认真抓好中、省《推动民营经济高质量发展的意见》等任务贯彻落实工作。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发展和改革局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白雪亮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陈改萍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持续优化营商环境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入推进优化提升营商环境行动计划；实施市场准入负面清单，落实办不成书面说明制；落实《深化投资审批制度改革促进投资审批效率变革的实施意见》，扎实推进投资项目承诺制改革；开展规范涉企收费、诚信体系建设、规范中介服务、规范招投标等专项行动，打通利企便民政策落实“最后一公里”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发展和改革局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白雪亮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陈改萍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-2204720</wp:posOffset>
                      </wp:positionH>
                      <wp:positionV relativeFrom="paragraph">
                        <wp:posOffset>77470</wp:posOffset>
                      </wp:positionV>
                      <wp:extent cx="579120" cy="74295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- 12 -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3.6pt;margin-top:6.1pt;height:58.5pt;width:45.6pt;z-index:-251656192;mso-width-relative:margin;mso-height-relative:margin;mso-width-percent:400;" filled="f" stroked="f" coordsize="21600,21600" o:gfxdata="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jo5o+2gAAAAwBAAAP&#10;AAAAAAAAAAEAIAAAACIAAABkcnMvZG93bnJldi54bWxQSwECFAAUAAAACACHTuJA3l1IBKQBAAAl&#10;AwAADgAAAAAAAAABACAAAAApAQAAZHJzL2Uyb0RvYy54bWxQSwUGAAAAAAYABgBZAQAAPw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着力推进工程建设项目审批制度改革，制定《渭南高新区工程建设项目审批制度改革实施方案》，加快工程建设领域的简政放权、放管结合、优化服务。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行政审批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服务局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张仲卫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办公室、督查室、监察局、党群部、发改局、财政局、规划土地局、建设局、执法局、教育文体局、安监局、水务局、环保分局、公安分局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深入推进工商登记便利化改革。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工商分局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丁文辉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陈改萍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构建创新驱动发展机制体制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组织企业参加创新创业大赛，加大培育高新技术企业力度，支持企业申报专利和技术合同；发挥驻西安科技工作站优势，统筹省市科技资源，推进区域协同创新发展；落实《渭南市关于支持全市开发区创新发展追赶超越的意见》，实现全区快速稳定发展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发展和改革局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白雪亮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陈改萍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加快实施“人才强区”战略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落实人才优惠政策，加快人才公寓建设，优化人才发展环境，激发人才队伍活力。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发展和改革局、规划土地局、建设局、城市管理执法局、威楠公司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深入探索“飞地经济”发展模式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加快推进渭南高新区东区建设，完善基础设施配套，强化招商引资力度，推动项目尽快落地建设。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东区管委会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翟华峰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群工作部、规划土地局、</w:t>
            </w:r>
            <w:r>
              <w:rPr>
                <w:rFonts w:ascii="宋体" w:hAnsi="宋体"/>
                <w:color w:val="000000"/>
                <w:szCs w:val="21"/>
              </w:rPr>
              <w:t>发展和改革局、建设局、招商一局、招商二局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2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持续探索推动渭临经济协作区发展路径，加快渭临经济协作区发展，实现“西渭融合”良性发展；探索建立渭南高新区渭北产业园，破解新兴产业发展空间难题。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规划土地局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王二辉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发展和改革局、财政局、建设局、招商一局、招商二局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持续推进“证照分离”改革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解决“准入不准营”问题，真正实现高效便企便民，有效增强全区经济发展活力，改善营商投资环境。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工商分局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丁文辉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陈改萍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7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-1128395</wp:posOffset>
                      </wp:positionH>
                      <wp:positionV relativeFrom="paragraph">
                        <wp:posOffset>494665</wp:posOffset>
                      </wp:positionV>
                      <wp:extent cx="579120" cy="74295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- 13 -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8.85pt;margin-top:38.95pt;height:58.5pt;width:45.6pt;z-index:-251655168;mso-width-relative:margin;mso-height-relative:margin;mso-width-percent:400;" filled="f" stroked="f" coordsize="21600,21600" o:gfxdata="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6MzoT2gAAAAsBAAAP&#10;AAAAAAAAAAEAIAAAACIAAABkcnMvZG93bnJldi54bWxQSwECFAAUAAAACACHTuJAhSk5p6QBAAAl&#10;AwAADgAAAAAAAAABACAAAAApAQAAZHJzL2Uyb0RvYy54bWxQSwUGAAAAAAYABgBZAQAAPw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- 13 -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推进财税金融改革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持续推动国税地税征管体制改革；落实减税降费和个人所得税改革。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税务局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田军高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-2206625</wp:posOffset>
                      </wp:positionH>
                      <wp:positionV relativeFrom="paragraph">
                        <wp:posOffset>-2540</wp:posOffset>
                      </wp:positionV>
                      <wp:extent cx="579120" cy="74295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- 14 -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3.75pt;margin-top:-0.2pt;height:58.5pt;width:45.6pt;z-index:-251654144;mso-width-relative:margin;mso-height-relative:margin;mso-width-percent:400;" filled="f" stroked="f" coordsize="21600,21600" o:gfxdata="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OaZlraAAAACwEAAA8A&#10;AAAAAAAAAQAgAAAAIgAAAGRycy9kb3ducmV2LnhtbFBLAQIUABQAAAAIAIdO4kCZ2VFiowEAACUD&#10;AAAOAAAAAAAAAAEAIAAAACkBAABkcnMvZTJvRG9jLnhtbFBLBQYAAAAABgAGAFkBAAA+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- 14 -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加强政府债务管理，全面实行政府举债融资负面清单制管理；加大清理整顿各类违规违法金融活动力度。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财政局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王孝宏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9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深化农村改革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统筹推进农村综合改革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落实农村承包土地“三权分置”工作要求，鼓励支持土地经营权有序流转，抓好土地经营权抵押贷款；精准实施“八个一批”脱贫措施，扎实推进打赢脱贫攻坚三年行动。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社会事业局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张荣军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2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深化农村人居环境整治行动，推进“厕所革命”“污水革命”“垃圾革命”。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创建办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田武善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财政局、建设局、城市管理执法局、卫食药监局、各街道、金城社区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姜通同志具体包联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加快城乡融合，在“区直管社区”治理模式下持续探索小区精细化治理体系。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金城社区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杨世安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谭文德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建设局、社会事业局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实施农业农村污染治理攻坚战行动。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环保分局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王建锋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刘  平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社会事业局、各街道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扎实推进农村集体产权制度改革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面完成农村集体产权清产核资任务，建立健全集体资产各项管理制度；指导农村集体经济组织在民主协商的基础上，做好成员身份确认，加快推进农村集体经营性资产股份合作制改革；落实《渭南市农村集体经济发展意见》；推动农村各类产权流转交易公开规范运行，实现县级农村产权交易市场全覆盖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社会事业局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张荣军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财政局、各街道、金城社区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1972945</wp:posOffset>
                      </wp:positionV>
                      <wp:extent cx="579120" cy="74295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- 15 -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2.15pt;margin-top:155.35pt;height:58.5pt;width:45.6pt;z-index:-251653120;mso-width-relative:margin;mso-height-relative:margin;mso-width-percent:400;" filled="f" stroked="f" coordsize="21600,21600" o:gfxdata="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gnxxR2gAAAAoBAAAP&#10;AAAAAAAAAAEAIAAAACIAAABkcnMvZG93bnJldi54bWxQSwECFAAUAAAACACHTuJAwq0gwaQBAAAl&#10;AwAADgAAAAAAAAABACAAAAApAQAAZHJzL2Uyb0RvYy54bWxQSwUGAAAAAAYABgBZAQAAPw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- 15 -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深化民主法治领域改革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加强民主法治工作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加快法治政府建设步伐。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党工委管委会办公室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周向锋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谭文德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9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加快依法治区进程，加强法律援助和人民调解工作；坚持领导信访包案、下访接待，积极防范化解各类矛盾。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综治信访办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温富斌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6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-1126490</wp:posOffset>
                      </wp:positionH>
                      <wp:positionV relativeFrom="paragraph">
                        <wp:posOffset>35560</wp:posOffset>
                      </wp:positionV>
                      <wp:extent cx="579120" cy="7429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- 16 -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8.7pt;margin-top:2.8pt;height:58.5pt;width:45.6pt;z-index:-251652096;mso-width-relative:margin;mso-height-relative:margin;mso-width-percent:400;" filled="f" stroked="f" coordsize="21600,21600" o:gfxdata="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5YN0HZAAAACgEAAA8A&#10;AAAAAAAAAQAgAAAAIgAAAGRycy9kb3ducmV2LnhtbFBLAQIUABQAAAAIAIdO4kAq8m9HpAEAACUD&#10;AAAOAAAAAAAAAAEAIAAAACgBAABkcnMvZTJvRG9jLnhtbFBLBQYAAAAABgAGAFkBAAA+BQAAAAA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- 16 -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持续深化群团改革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加强基层志愿者队伍建设，积极引导辖区机关、企业、学校、社区的各类人员注册成为志愿者，不断壮大基层志愿服务力量，有计划地开展志愿服务活动。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1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深化文化体制改革</w:t>
            </w: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推进文化综合改革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强同中省市主流媒体联系合作，加快传统媒体与新兴媒体融合发展，推进区级融媒体中心建设；加大文化产业发展力度，深化“文化+”模式，积极培育新兴文化业态，壮大文化市场主体；深化精神文明建设，制定《渭南高新区新时代文明实践中心建设实施方案》，着力推进区级新时代文明实践中心建设；深入开展党的创新理论学习“双争”活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9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持续实施文化惠民工程，完善公共文化服务体系。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教育文体局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孙晓飞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党群工作部、各街道、金城社区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姜通同志具体包联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3" w:hRule="atLeast"/>
        </w:trPr>
        <w:tc>
          <w:tcPr>
            <w:tcW w:w="11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深化社会民生体制改革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深化教育体制改革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探索公办学校教师工资改革，完善中小学教师绩效工资制度，使绩效工资充分体现教师的工作量和实际业绩；深化学前教育改革；深化义务教育教学改革，全面提高义务教育质量；加大教师“走出去”学习培训力度，着力打造具有高新特色的教育品牌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教育文体局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孙晓飞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薛清军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党群工作部、财政局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姜通同志具体包联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4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深化医药卫生体制改革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健全完善医疗卫生行业综合监管制度，建立健全医疗卫生行业社会信用机制、综合监管结果协同运用机制和黑名单制度；完善医疗保障制度和医疗救助相关制度；加快推进健康高新建设，持续深化医药卫生体制改革；快速推动高新医院建设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卫生食品药品监督管理局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赵  龙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谭文德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3706495</wp:posOffset>
                      </wp:positionV>
                      <wp:extent cx="579120" cy="7429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- 17 -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90.5pt;margin-top:291.85pt;height:58.5pt;width:45.6pt;z-index:-251651072;mso-width-relative:margin;mso-height-relative:margin;mso-width-percent:400;" filled="f" stroked="f" coordsize="21600,21600" o:gfxdata="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HI0We2gAAAAwBAAAP&#10;AAAAAAAAAAEAIAAAACIAAABkcnMvZG93bnJldi54bWxQSwECFAAUAAAACACHTuJAcYYe5KQBAAAl&#10;AwAADgAAAAAAAAABACAAAAApAQAAZHJzL2Uyb0RvYy54bWxQSwUGAAAAAAYABgBZAQAAPwUAAAAA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深化社会治理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制定《加强应急管理工作的实施意见》，健全统一高效的应急管理体系；深入推进网格化管理平台建设，构建全民共建共享的社会治理格局。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党工委管委会办公室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周向锋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谭文德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推行拖欠农民工工资“黑名单”管理制度；持续推进机关事业单位养老保险制度改革；充分发挥创业对就业的带动作用，实施县镇标准化创业中心创建行动。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社会事业局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张荣军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深化社会矛盾纠纷排查化解，纵深推进扫黑除恶专项斗争。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公安分局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王伟峰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赵文昌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11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2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-2207260</wp:posOffset>
                      </wp:positionH>
                      <wp:positionV relativeFrom="paragraph">
                        <wp:posOffset>1270</wp:posOffset>
                      </wp:positionV>
                      <wp:extent cx="579120" cy="74295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8"/>
                                      <w:szCs w:val="28"/>
                                    </w:rPr>
                                    <w:t>- 18 -</w:t>
                                  </w:r>
                                </w:p>
                              </w:txbxContent>
                            </wps:txbx>
                            <wps:bodyPr vert="ver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3.8pt;margin-top:0.1pt;height:58.5pt;width:45.6pt;z-index:-251650048;mso-width-relative:margin;mso-height-relative:margin;mso-width-percent:400;" filled="f" stroked="f" coordsize="21600,21600" o:gfxdata="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ckiQ9kAAAAKAQAADwAA&#10;AAAAAAABACAAAAAiAAAAZHJzL2Rvd25yZXYueG1sUEsBAhQAFAAAAAgAh07iQN0c/NqjAQAAJQMA&#10;AA4AAAAAAAAAAQAgAAAAKAEAAGRycy9lMm9Eb2MueG1sUEsFBgAAAAAGAAYAWQEAAD0FAAAAAA==&#10;">
                      <v:path/>
                      <v:fill on="f" focussize="0,0"/>
                      <v:stroke on="f"/>
                      <v:imagedata o:title=""/>
                      <o:lock v:ext="edit"/>
                      <v:textbox style="layout-flow:vertical;mso-fit-shape-to-text:t;"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- 18 -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完善住房市场体系和住房保障体系，推进城镇棚户区改造。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城改办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常仲德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秦  峰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财政局、建设局、威楠公司、城棚改公司、各街道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textAlignment w:val="center"/>
              <w:rPr>
                <w:rFonts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深化司法体制改革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持续推进公安改革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推动吸毒人员网格化服务管理和社区戒毒社区康复工作“两个体系”规范运行；推动重点行业场所手机APP管理实现全覆盖；深化“平安渭南”创建，加快“雪亮工程”建设。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公安分局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王伟峰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赵文昌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深化党的建设制度改革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强化党的基层组织建设，提升党建工作水平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严格贯彻落实《关于加强和改进城市基层党的建设工作的意见》《中国共产党农村基层组织工作条例》《中国共产党支部工作条例（试行）》等文件要求，持续强化基层党组织建设；落实渭南市《城市基层党建各领域标准化建设办法（试行）》，提升城市基层党建工作标准化水平；借鉴北京“街乡吹哨、部门报到”改革经验，推进城市基层党建工作；创新非公企业和社会组织的党组织组建方式，进一步提升党组织单独组建率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党群工作部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王芳伦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亢  鹏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3" w:hRule="atLeast"/>
        </w:trPr>
        <w:tc>
          <w:tcPr>
            <w:tcW w:w="1136" w:type="dxa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kern w:val="0"/>
                <w:szCs w:val="21"/>
              </w:rPr>
              <w:t>深化纪检监察体制改革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全面提升纪检监察工作能力和水平</w:t>
            </w:r>
          </w:p>
        </w:tc>
        <w:tc>
          <w:tcPr>
            <w:tcW w:w="6510" w:type="dxa"/>
            <w:noWrap w:val="0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textAlignment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强化上级纪工委对下级纪工委的领导，建立健全并落实查办腐败案件以上级纪（工）委领导为主的工作机制；制定《中共渭南高新区工委巡察工作实施细则》，进一步规范和加强我区巡察工作。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纪工委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监察局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钦贵毅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雷  玲</w:t>
            </w:r>
          </w:p>
        </w:tc>
        <w:tc>
          <w:tcPr>
            <w:tcW w:w="18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党工委、管委会各工作部门（含街道、金城、城改办、东区、威楠、火炬、创服、城棚改、双管单位）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690"/>
        </w:tabs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1701" w:right="1440" w:bottom="1531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注：如在机构改革中部门（单位）职责变化，则其承担的改革任务自行由划入部门（单位）承担。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5" w:firstLineChars="15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8692E"/>
    <w:rsid w:val="67286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2019-07-16T09:00:00Z</dcterms:created>
  <dc:creator>放飞心情</dc:creator>
  <cp:lastModifiedBy>放飞心情</cp:lastModifiedBy>
  <dcterms:modified xsi:type="dcterms:W3CDTF">2019-07-16T09:01:41Z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