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hAnsi="黑体" w:eastAsia="黑体"/>
          <w:sz w:val="32"/>
          <w:szCs w:val="32"/>
        </w:rPr>
        <w:t>附件</w:t>
      </w:r>
      <w:r>
        <w:rPr>
          <w:rFonts w:eastAsia="黑体"/>
          <w:sz w:val="32"/>
          <w:szCs w:val="32"/>
        </w:rPr>
        <w:t>4</w:t>
      </w:r>
    </w:p>
    <w:p>
      <w:pPr>
        <w:snapToGrid w:val="0"/>
        <w:spacing w:line="800" w:lineRule="exact"/>
        <w:ind w:firstLine="880" w:firstLineChars="200"/>
        <w:rPr>
          <w:rFonts w:eastAsia="方正小标宋简体"/>
          <w:sz w:val="44"/>
          <w:szCs w:val="44"/>
        </w:rPr>
      </w:pPr>
      <w:r>
        <w:rPr>
          <w:rFonts w:eastAsia="方正小标宋简体"/>
          <w:sz w:val="44"/>
          <w:szCs w:val="44"/>
        </w:rPr>
        <w:t>渭南高新区手足口病防控工作实施方案</w:t>
      </w:r>
    </w:p>
    <w:p>
      <w:pPr>
        <w:snapToGrid w:val="0"/>
        <w:spacing w:line="600" w:lineRule="exact"/>
        <w:ind w:firstLine="640" w:firstLineChars="200"/>
        <w:rPr>
          <w:rFonts w:eastAsia="仿宋_GB2312"/>
          <w:sz w:val="32"/>
          <w:szCs w:val="32"/>
        </w:rPr>
      </w:pPr>
    </w:p>
    <w:p>
      <w:pPr>
        <w:snapToGrid w:val="0"/>
        <w:spacing w:line="600" w:lineRule="exact"/>
        <w:ind w:firstLine="640" w:firstLineChars="200"/>
        <w:rPr>
          <w:rFonts w:eastAsia="仿宋"/>
          <w:sz w:val="32"/>
          <w:szCs w:val="32"/>
        </w:rPr>
      </w:pPr>
      <w:r>
        <w:rPr>
          <w:rFonts w:hAnsi="仿宋_GB2312" w:eastAsia="仿宋_GB2312"/>
          <w:sz w:val="32"/>
          <w:szCs w:val="32"/>
        </w:rPr>
        <w:t>为进一步加强我区手足口病防控工作，确保各项防控措施得到科学、规范、有效落实，使广大儿童的身体健康得到切实保障。根据《传染病防治法》、《陕西省手足口病聚集性和暴发疫情处置工作规范》和《陕西省人民政府办公厅关于进一步做好重点传染病防控工作的通知》要求，结合我区当前疫情与防控工作现状，制定本工作方案。</w:t>
      </w:r>
    </w:p>
    <w:p>
      <w:pPr>
        <w:snapToGrid w:val="0"/>
        <w:spacing w:line="600" w:lineRule="exact"/>
        <w:ind w:firstLine="640" w:firstLineChars="200"/>
        <w:rPr>
          <w:rFonts w:eastAsia="黑体"/>
          <w:bCs/>
          <w:sz w:val="32"/>
          <w:szCs w:val="30"/>
        </w:rPr>
      </w:pPr>
      <w:r>
        <w:rPr>
          <w:rFonts w:eastAsia="黑体"/>
          <w:bCs/>
          <w:sz w:val="32"/>
          <w:szCs w:val="30"/>
        </w:rPr>
        <w:t>一、总体目标和工作原则</w:t>
      </w:r>
    </w:p>
    <w:p>
      <w:pPr>
        <w:snapToGrid w:val="0"/>
        <w:spacing w:line="600" w:lineRule="exact"/>
        <w:ind w:firstLine="643" w:firstLineChars="200"/>
        <w:rPr>
          <w:rFonts w:eastAsia="仿宋_GB2312"/>
          <w:sz w:val="32"/>
          <w:szCs w:val="32"/>
        </w:rPr>
      </w:pPr>
      <w:r>
        <w:rPr>
          <w:rFonts w:hAnsi="楷体" w:eastAsia="楷体"/>
          <w:b/>
          <w:sz w:val="32"/>
          <w:szCs w:val="32"/>
        </w:rPr>
        <w:t>（一）总体目标：</w:t>
      </w:r>
      <w:r>
        <w:rPr>
          <w:rFonts w:hAnsi="仿宋_GB2312" w:eastAsia="仿宋_GB2312"/>
          <w:sz w:val="32"/>
          <w:szCs w:val="32"/>
        </w:rPr>
        <w:t>有效预防和控制手足口病在我区的暴发和流行，降低发病率和病死率，确保广大儿童的身体健康和社会和谐稳定。</w:t>
      </w:r>
      <w:r>
        <w:rPr>
          <w:rFonts w:eastAsia="仿宋_GB2312"/>
          <w:sz w:val="32"/>
          <w:szCs w:val="32"/>
        </w:rPr>
        <w:t xml:space="preserve"> </w:t>
      </w:r>
    </w:p>
    <w:p>
      <w:pPr>
        <w:snapToGrid w:val="0"/>
        <w:spacing w:line="600" w:lineRule="exact"/>
        <w:ind w:firstLine="643" w:firstLineChars="200"/>
        <w:rPr>
          <w:rFonts w:eastAsia="仿宋_GB2312"/>
          <w:sz w:val="32"/>
          <w:szCs w:val="32"/>
        </w:rPr>
      </w:pPr>
      <w:r>
        <w:rPr>
          <w:rFonts w:hAnsi="楷体" w:eastAsia="楷体"/>
          <w:b/>
          <w:sz w:val="32"/>
          <w:szCs w:val="32"/>
        </w:rPr>
        <w:t>（二）工作原则：</w:t>
      </w:r>
      <w:r>
        <w:rPr>
          <w:rFonts w:hAnsi="仿宋_GB2312" w:eastAsia="仿宋_GB2312"/>
          <w:sz w:val="32"/>
          <w:szCs w:val="32"/>
        </w:rPr>
        <w:t>坚持政府领导，部门配合，全社会参与的工作机制；坚持预防为主，广泛宣传，防治结合，强化重症病人救治的工作方针；坚持属地化管理，以农村和城乡结合部散居儿童为重点人群，以托幼机构和小学为重点场所，推行</w:t>
      </w:r>
      <w:r>
        <w:rPr>
          <w:rFonts w:eastAsia="仿宋_GB2312"/>
          <w:sz w:val="32"/>
          <w:szCs w:val="32"/>
        </w:rPr>
        <w:t>“84</w:t>
      </w:r>
      <w:r>
        <w:rPr>
          <w:rFonts w:hAnsi="仿宋_GB2312" w:eastAsia="仿宋_GB2312"/>
          <w:sz w:val="32"/>
          <w:szCs w:val="32"/>
        </w:rPr>
        <w:t>化</w:t>
      </w:r>
      <w:r>
        <w:rPr>
          <w:rFonts w:eastAsia="仿宋_GB2312"/>
          <w:sz w:val="32"/>
          <w:szCs w:val="32"/>
        </w:rPr>
        <w:t>”</w:t>
      </w:r>
      <w:r>
        <w:rPr>
          <w:rFonts w:hAnsi="仿宋_GB2312" w:eastAsia="仿宋_GB2312"/>
          <w:sz w:val="32"/>
          <w:szCs w:val="32"/>
        </w:rPr>
        <w:t>规范消毒流程，强化督导检查，确保各项防控措施落实到位。</w:t>
      </w:r>
    </w:p>
    <w:p>
      <w:pPr>
        <w:snapToGrid w:val="0"/>
        <w:spacing w:line="600" w:lineRule="exact"/>
        <w:ind w:firstLine="640" w:firstLineChars="200"/>
        <w:rPr>
          <w:rFonts w:eastAsia="黑体"/>
          <w:bCs/>
          <w:kern w:val="0"/>
          <w:sz w:val="32"/>
          <w:szCs w:val="32"/>
          <w:lang w:bidi="ar"/>
        </w:rPr>
      </w:pPr>
      <w:r>
        <w:rPr>
          <w:rFonts w:hAnsi="黑体" w:eastAsia="黑体"/>
          <w:bCs/>
          <w:kern w:val="0"/>
          <w:sz w:val="32"/>
          <w:szCs w:val="32"/>
          <w:lang w:bidi="ar"/>
        </w:rPr>
        <w:t>二、手足口病防控工作任务</w:t>
      </w:r>
    </w:p>
    <w:p>
      <w:pPr>
        <w:spacing w:line="600" w:lineRule="exact"/>
        <w:ind w:firstLine="643" w:firstLineChars="200"/>
        <w:rPr>
          <w:rFonts w:eastAsia="楷体"/>
          <w:b/>
          <w:bCs/>
          <w:sz w:val="32"/>
          <w:szCs w:val="32"/>
        </w:rPr>
      </w:pPr>
      <w:r>
        <w:rPr>
          <w:rFonts w:hAnsi="楷体" w:eastAsia="楷体"/>
          <w:b/>
          <w:bCs/>
          <w:sz w:val="32"/>
          <w:szCs w:val="32"/>
        </w:rPr>
        <w:t>（一）政府主导，部门协作</w:t>
      </w:r>
    </w:p>
    <w:p>
      <w:pPr>
        <w:spacing w:line="600" w:lineRule="exact"/>
        <w:ind w:firstLine="640" w:firstLineChars="200"/>
        <w:rPr>
          <w:rFonts w:eastAsia="仿宋_GB2312"/>
          <w:sz w:val="32"/>
          <w:szCs w:val="32"/>
        </w:rPr>
      </w:pPr>
      <w:r>
        <w:rPr>
          <w:rFonts w:hAnsi="仿宋_GB2312" w:eastAsia="仿宋_GB2312"/>
          <w:sz w:val="32"/>
          <w:szCs w:val="32"/>
        </w:rPr>
        <w:t>管委会将手足口病预防控制工作列入全区社会经济发展规划和有关政府部门考核内容。成立高新区手足口病防控领导小组</w:t>
      </w:r>
    </w:p>
    <w:p>
      <w:pPr>
        <w:spacing w:line="600" w:lineRule="exact"/>
        <w:ind w:firstLine="643" w:firstLineChars="200"/>
        <w:rPr>
          <w:rFonts w:eastAsia="仿宋_GB2312"/>
          <w:sz w:val="32"/>
          <w:szCs w:val="32"/>
        </w:rPr>
      </w:pPr>
      <w:r>
        <w:rPr>
          <w:rFonts w:hAnsi="仿宋_GB2312" w:eastAsia="仿宋_GB2312"/>
          <w:b/>
          <w:sz w:val="32"/>
          <w:szCs w:val="32"/>
        </w:rPr>
        <w:t>组</w:t>
      </w:r>
      <w:r>
        <w:rPr>
          <w:rFonts w:eastAsia="仿宋_GB2312"/>
          <w:b/>
          <w:sz w:val="32"/>
          <w:szCs w:val="32"/>
        </w:rPr>
        <w:t xml:space="preserve">  </w:t>
      </w:r>
      <w:r>
        <w:rPr>
          <w:rFonts w:hAnsi="仿宋_GB2312" w:eastAsia="仿宋_GB2312"/>
          <w:b/>
          <w:sz w:val="32"/>
          <w:szCs w:val="32"/>
        </w:rPr>
        <w:t>长</w:t>
      </w:r>
      <w:r>
        <w:rPr>
          <w:rFonts w:hAnsi="仿宋_GB2312" w:eastAsia="仿宋_GB2312"/>
          <w:sz w:val="32"/>
          <w:szCs w:val="32"/>
        </w:rPr>
        <w:t>：谭文德</w:t>
      </w:r>
      <w:r>
        <w:rPr>
          <w:rFonts w:hint="eastAsia" w:hAnsi="仿宋_GB2312" w:eastAsia="仿宋_GB2312"/>
          <w:sz w:val="32"/>
          <w:szCs w:val="32"/>
        </w:rPr>
        <w:t xml:space="preserve">    </w:t>
      </w:r>
      <w:r>
        <w:rPr>
          <w:rFonts w:hAnsi="仿宋_GB2312" w:eastAsia="仿宋_GB2312"/>
          <w:sz w:val="32"/>
          <w:szCs w:val="32"/>
        </w:rPr>
        <w:t>党工委副书记</w:t>
      </w:r>
    </w:p>
    <w:p>
      <w:pPr>
        <w:spacing w:line="600" w:lineRule="exact"/>
        <w:ind w:firstLine="643" w:firstLineChars="200"/>
        <w:rPr>
          <w:rFonts w:eastAsia="仿宋_GB2312"/>
          <w:sz w:val="32"/>
          <w:szCs w:val="32"/>
        </w:rPr>
      </w:pPr>
      <w:r>
        <w:rPr>
          <w:rFonts w:hAnsi="仿宋_GB2312" w:eastAsia="仿宋_GB2312"/>
          <w:b/>
          <w:sz w:val="32"/>
          <w:szCs w:val="32"/>
        </w:rPr>
        <w:t>副组长</w:t>
      </w:r>
      <w:r>
        <w:rPr>
          <w:rFonts w:hAnsi="仿宋_GB2312" w:eastAsia="仿宋_GB2312"/>
          <w:sz w:val="32"/>
          <w:szCs w:val="32"/>
        </w:rPr>
        <w:t>：郭雅丽</w:t>
      </w:r>
      <w:r>
        <w:rPr>
          <w:rFonts w:hint="eastAsia" w:hAnsi="仿宋_GB2312" w:eastAsia="仿宋_GB2312"/>
          <w:sz w:val="32"/>
          <w:szCs w:val="32"/>
        </w:rPr>
        <w:t xml:space="preserve">    </w:t>
      </w:r>
      <w:r>
        <w:rPr>
          <w:rFonts w:hAnsi="仿宋_GB2312" w:eastAsia="仿宋_GB2312"/>
          <w:sz w:val="32"/>
          <w:szCs w:val="32"/>
        </w:rPr>
        <w:t>卫生食品药品监督管理局局长</w:t>
      </w:r>
    </w:p>
    <w:p>
      <w:pPr>
        <w:spacing w:line="600" w:lineRule="exact"/>
        <w:ind w:firstLine="643" w:firstLineChars="200"/>
        <w:rPr>
          <w:rFonts w:eastAsia="仿宋_GB2312"/>
          <w:sz w:val="32"/>
          <w:szCs w:val="32"/>
        </w:rPr>
      </w:pPr>
      <w:r>
        <w:rPr>
          <w:rFonts w:hAnsi="仿宋_GB2312" w:eastAsia="仿宋_GB2312"/>
          <w:b/>
          <w:sz w:val="32"/>
          <w:szCs w:val="32"/>
        </w:rPr>
        <w:t>成</w:t>
      </w:r>
      <w:r>
        <w:rPr>
          <w:rFonts w:eastAsia="仿宋_GB2312"/>
          <w:b/>
          <w:sz w:val="32"/>
          <w:szCs w:val="32"/>
        </w:rPr>
        <w:t xml:space="preserve">  </w:t>
      </w:r>
      <w:r>
        <w:rPr>
          <w:rFonts w:hAnsi="仿宋_GB2312" w:eastAsia="仿宋_GB2312"/>
          <w:b/>
          <w:sz w:val="32"/>
          <w:szCs w:val="32"/>
        </w:rPr>
        <w:t>员</w:t>
      </w:r>
      <w:r>
        <w:rPr>
          <w:rFonts w:hAnsi="仿宋_GB2312" w:eastAsia="仿宋_GB2312"/>
          <w:sz w:val="32"/>
          <w:szCs w:val="32"/>
        </w:rPr>
        <w:t>：刘</w:t>
      </w:r>
      <w:r>
        <w:rPr>
          <w:rFonts w:eastAsia="仿宋_GB2312"/>
          <w:sz w:val="32"/>
          <w:szCs w:val="32"/>
        </w:rPr>
        <w:t xml:space="preserve">  </w:t>
      </w:r>
      <w:r>
        <w:rPr>
          <w:rFonts w:hAnsi="仿宋_GB2312" w:eastAsia="仿宋_GB2312"/>
          <w:sz w:val="32"/>
          <w:szCs w:val="32"/>
        </w:rPr>
        <w:t>成</w:t>
      </w:r>
      <w:r>
        <w:rPr>
          <w:rFonts w:hint="eastAsia" w:hAnsi="仿宋_GB2312" w:eastAsia="仿宋_GB2312"/>
          <w:sz w:val="32"/>
          <w:szCs w:val="32"/>
        </w:rPr>
        <w:t xml:space="preserve">    </w:t>
      </w:r>
      <w:r>
        <w:rPr>
          <w:rFonts w:hAnsi="仿宋_GB2312" w:eastAsia="仿宋_GB2312"/>
          <w:sz w:val="32"/>
          <w:szCs w:val="32"/>
        </w:rPr>
        <w:t>党工委、管委会办公室副主任</w:t>
      </w:r>
    </w:p>
    <w:p>
      <w:pPr>
        <w:spacing w:line="600" w:lineRule="exact"/>
        <w:ind w:firstLine="480" w:firstLineChars="150"/>
        <w:rPr>
          <w:rFonts w:eastAsia="仿宋_GB2312"/>
          <w:sz w:val="32"/>
          <w:szCs w:val="32"/>
        </w:rPr>
      </w:pPr>
      <w:r>
        <w:rPr>
          <w:rFonts w:eastAsia="仿宋_GB2312"/>
          <w:sz w:val="32"/>
          <w:szCs w:val="32"/>
        </w:rPr>
        <w:t xml:space="preserve">         </w:t>
      </w:r>
      <w:r>
        <w:rPr>
          <w:rFonts w:hAnsi="仿宋_GB2312" w:eastAsia="仿宋_GB2312"/>
          <w:sz w:val="32"/>
          <w:szCs w:val="32"/>
        </w:rPr>
        <w:t>王孝宏</w:t>
      </w:r>
      <w:r>
        <w:rPr>
          <w:rFonts w:hint="eastAsia" w:hAnsi="仿宋_GB2312" w:eastAsia="仿宋_GB2312"/>
          <w:sz w:val="32"/>
          <w:szCs w:val="32"/>
        </w:rPr>
        <w:t xml:space="preserve">    </w:t>
      </w:r>
      <w:r>
        <w:rPr>
          <w:rFonts w:hAnsi="仿宋_GB2312" w:eastAsia="仿宋_GB2312"/>
          <w:sz w:val="32"/>
          <w:szCs w:val="32"/>
        </w:rPr>
        <w:t>财政局局长</w:t>
      </w:r>
    </w:p>
    <w:p>
      <w:pPr>
        <w:spacing w:line="600" w:lineRule="exact"/>
        <w:ind w:firstLine="480" w:firstLineChars="150"/>
        <w:rPr>
          <w:rFonts w:eastAsia="仿宋_GB2312"/>
          <w:sz w:val="32"/>
          <w:szCs w:val="32"/>
        </w:rPr>
      </w:pPr>
      <w:r>
        <w:rPr>
          <w:rFonts w:eastAsia="仿宋_GB2312"/>
          <w:sz w:val="32"/>
          <w:szCs w:val="32"/>
        </w:rPr>
        <w:t xml:space="preserve">         </w:t>
      </w:r>
      <w:r>
        <w:rPr>
          <w:rFonts w:hAnsi="仿宋_GB2312" w:eastAsia="仿宋_GB2312"/>
          <w:sz w:val="32"/>
          <w:szCs w:val="32"/>
        </w:rPr>
        <w:t>孙晓飞</w:t>
      </w:r>
      <w:r>
        <w:rPr>
          <w:rFonts w:hint="eastAsia" w:hAnsi="仿宋_GB2312" w:eastAsia="仿宋_GB2312"/>
          <w:sz w:val="32"/>
          <w:szCs w:val="32"/>
        </w:rPr>
        <w:t xml:space="preserve">    </w:t>
      </w:r>
      <w:r>
        <w:rPr>
          <w:rFonts w:hAnsi="仿宋_GB2312" w:eastAsia="仿宋_GB2312"/>
          <w:sz w:val="32"/>
          <w:szCs w:val="32"/>
        </w:rPr>
        <w:t>教育文体局局长</w:t>
      </w:r>
    </w:p>
    <w:p>
      <w:pPr>
        <w:spacing w:line="600" w:lineRule="exact"/>
        <w:ind w:firstLine="480" w:firstLineChars="150"/>
        <w:rPr>
          <w:rFonts w:eastAsia="仿宋_GB2312"/>
          <w:sz w:val="32"/>
          <w:szCs w:val="32"/>
        </w:rPr>
      </w:pPr>
      <w:r>
        <w:rPr>
          <w:rFonts w:eastAsia="仿宋_GB2312"/>
          <w:sz w:val="32"/>
          <w:szCs w:val="32"/>
        </w:rPr>
        <w:t xml:space="preserve">         </w:t>
      </w:r>
      <w:r>
        <w:rPr>
          <w:rFonts w:hAnsi="仿宋_GB2312" w:eastAsia="仿宋_GB2312"/>
          <w:sz w:val="32"/>
          <w:szCs w:val="32"/>
        </w:rPr>
        <w:t>赵</w:t>
      </w:r>
      <w:r>
        <w:rPr>
          <w:rFonts w:eastAsia="仿宋_GB2312"/>
          <w:sz w:val="32"/>
          <w:szCs w:val="32"/>
        </w:rPr>
        <w:t xml:space="preserve">  </w:t>
      </w:r>
      <w:r>
        <w:rPr>
          <w:rFonts w:hAnsi="仿宋_GB2312" w:eastAsia="仿宋_GB2312"/>
          <w:sz w:val="32"/>
          <w:szCs w:val="32"/>
        </w:rPr>
        <w:t>龙</w:t>
      </w:r>
      <w:r>
        <w:rPr>
          <w:rFonts w:hint="eastAsia" w:hAnsi="仿宋_GB2312" w:eastAsia="仿宋_GB2312"/>
          <w:sz w:val="32"/>
          <w:szCs w:val="32"/>
        </w:rPr>
        <w:t xml:space="preserve">    </w:t>
      </w:r>
      <w:r>
        <w:rPr>
          <w:rFonts w:hAnsi="仿宋_GB2312" w:eastAsia="仿宋_GB2312"/>
          <w:sz w:val="32"/>
          <w:szCs w:val="32"/>
        </w:rPr>
        <w:t>卫生食品药品监督管理局副局长</w:t>
      </w:r>
    </w:p>
    <w:p>
      <w:pPr>
        <w:spacing w:line="600" w:lineRule="exact"/>
        <w:rPr>
          <w:rFonts w:eastAsia="仿宋_GB2312"/>
          <w:sz w:val="32"/>
          <w:szCs w:val="32"/>
        </w:rPr>
      </w:pPr>
      <w:r>
        <w:rPr>
          <w:rFonts w:eastAsia="仿宋_GB2312"/>
          <w:sz w:val="32"/>
          <w:szCs w:val="32"/>
        </w:rPr>
        <w:t xml:space="preserve">    </w:t>
      </w:r>
      <w:r>
        <w:rPr>
          <w:rFonts w:hAnsi="仿宋_GB2312" w:eastAsia="仿宋_GB2312"/>
          <w:sz w:val="32"/>
          <w:szCs w:val="32"/>
        </w:rPr>
        <w:t>领导小组办公室设在卫生食品药品监督管理局，办公室主任由郭雅丽同志兼任。</w:t>
      </w:r>
    </w:p>
    <w:p>
      <w:pPr>
        <w:spacing w:line="600" w:lineRule="exact"/>
        <w:ind w:firstLine="640" w:firstLineChars="200"/>
        <w:rPr>
          <w:rFonts w:eastAsia="仿宋_GB2312"/>
          <w:sz w:val="32"/>
          <w:szCs w:val="32"/>
        </w:rPr>
      </w:pPr>
      <w:r>
        <w:rPr>
          <w:rFonts w:hAnsi="仿宋_GB2312" w:eastAsia="仿宋_GB2312"/>
          <w:sz w:val="32"/>
          <w:szCs w:val="32"/>
        </w:rPr>
        <w:t>建立多部门合作机制，落实部门职责。领导小组每年至少召开一次工作会议，落实各部门手足口病防控工作措施。建立联络员制度，各单位设联络员</w:t>
      </w:r>
      <w:r>
        <w:rPr>
          <w:rFonts w:eastAsia="仿宋_GB2312"/>
          <w:sz w:val="32"/>
          <w:szCs w:val="32"/>
        </w:rPr>
        <w:t>1</w:t>
      </w:r>
      <w:r>
        <w:rPr>
          <w:rFonts w:hAnsi="仿宋_GB2312" w:eastAsia="仿宋_GB2312"/>
          <w:sz w:val="32"/>
          <w:szCs w:val="32"/>
        </w:rPr>
        <w:t>名。定期交流、研究、部署手足口病防控工作。</w:t>
      </w:r>
    </w:p>
    <w:p>
      <w:pPr>
        <w:spacing w:line="600" w:lineRule="exact"/>
        <w:rPr>
          <w:rFonts w:eastAsia="黑体"/>
          <w:bCs/>
          <w:sz w:val="32"/>
          <w:szCs w:val="32"/>
        </w:rPr>
      </w:pPr>
      <w:r>
        <w:rPr>
          <w:rFonts w:eastAsia="仿宋"/>
          <w:b/>
          <w:bCs/>
          <w:sz w:val="32"/>
          <w:szCs w:val="32"/>
        </w:rPr>
        <w:t xml:space="preserve">    </w:t>
      </w:r>
      <w:r>
        <w:rPr>
          <w:rFonts w:eastAsia="黑体"/>
          <w:bCs/>
          <w:sz w:val="32"/>
          <w:szCs w:val="32"/>
        </w:rPr>
        <w:t>三、</w:t>
      </w:r>
      <w:r>
        <w:rPr>
          <w:rFonts w:hAnsi="黑体" w:eastAsia="黑体"/>
          <w:sz w:val="32"/>
          <w:szCs w:val="32"/>
        </w:rPr>
        <w:t>手足口病防控工作责任分工</w:t>
      </w:r>
    </w:p>
    <w:p>
      <w:pPr>
        <w:spacing w:line="600" w:lineRule="exact"/>
        <w:ind w:firstLine="630" w:firstLineChars="196"/>
        <w:rPr>
          <w:rFonts w:eastAsia="楷体"/>
          <w:b/>
          <w:bCs/>
          <w:sz w:val="32"/>
          <w:szCs w:val="32"/>
        </w:rPr>
      </w:pPr>
      <w:r>
        <w:rPr>
          <w:rFonts w:hAnsi="楷体" w:eastAsia="楷体"/>
          <w:b/>
          <w:bCs/>
          <w:sz w:val="32"/>
          <w:szCs w:val="32"/>
        </w:rPr>
        <w:t>（一）管委会办公室</w:t>
      </w:r>
    </w:p>
    <w:p>
      <w:pPr>
        <w:spacing w:line="60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．管委会办公室负责统一领导、统筹协调全区内手足口病防治工作，确保部门间的信息互通。</w:t>
      </w:r>
    </w:p>
    <w:p>
      <w:pPr>
        <w:spacing w:line="600" w:lineRule="exact"/>
        <w:ind w:firstLine="640" w:firstLineChars="200"/>
        <w:rPr>
          <w:rFonts w:eastAsia="仿宋"/>
          <w:b/>
          <w:bCs/>
          <w:sz w:val="32"/>
          <w:szCs w:val="32"/>
        </w:rPr>
      </w:pPr>
      <w:r>
        <w:rPr>
          <w:rFonts w:eastAsia="仿宋_GB2312"/>
          <w:sz w:val="32"/>
          <w:szCs w:val="32"/>
        </w:rPr>
        <w:t>2</w:t>
      </w:r>
      <w:r>
        <w:rPr>
          <w:rFonts w:hAnsi="仿宋_GB2312" w:eastAsia="仿宋_GB2312"/>
          <w:sz w:val="32"/>
          <w:szCs w:val="32"/>
        </w:rPr>
        <w:t>．每年组织召开至少一次成员单位手足口病防治工作协调会，研究部署各部门工作任务。</w:t>
      </w:r>
      <w:r>
        <w:rPr>
          <w:rFonts w:eastAsia="仿宋"/>
          <w:b/>
          <w:bCs/>
          <w:sz w:val="32"/>
          <w:szCs w:val="32"/>
        </w:rPr>
        <w:t xml:space="preserve"> </w:t>
      </w:r>
    </w:p>
    <w:p>
      <w:pPr>
        <w:spacing w:line="600" w:lineRule="exact"/>
        <w:rPr>
          <w:rFonts w:eastAsia="楷体"/>
          <w:sz w:val="32"/>
          <w:szCs w:val="32"/>
        </w:rPr>
      </w:pPr>
      <w:r>
        <w:rPr>
          <w:rFonts w:eastAsia="仿宋"/>
          <w:b/>
          <w:bCs/>
          <w:sz w:val="32"/>
          <w:szCs w:val="32"/>
        </w:rPr>
        <w:t xml:space="preserve">  </w:t>
      </w:r>
      <w:r>
        <w:rPr>
          <w:rFonts w:eastAsia="楷体"/>
          <w:b/>
          <w:bCs/>
          <w:sz w:val="32"/>
          <w:szCs w:val="32"/>
        </w:rPr>
        <w:t xml:space="preserve">  </w:t>
      </w:r>
      <w:r>
        <w:rPr>
          <w:rFonts w:hAnsi="楷体" w:eastAsia="楷体"/>
          <w:b/>
          <w:bCs/>
          <w:sz w:val="32"/>
          <w:szCs w:val="32"/>
        </w:rPr>
        <w:t>（二）卫生食品药品监督管理局</w:t>
      </w:r>
    </w:p>
    <w:p>
      <w:pPr>
        <w:spacing w:line="600" w:lineRule="exact"/>
        <w:ind w:firstLine="633" w:firstLineChars="198"/>
        <w:rPr>
          <w:rFonts w:eastAsia="仿宋_GB2312"/>
          <w:sz w:val="32"/>
          <w:szCs w:val="32"/>
        </w:rPr>
      </w:pPr>
      <w:r>
        <w:rPr>
          <w:rFonts w:eastAsia="仿宋_GB2312"/>
          <w:sz w:val="32"/>
          <w:szCs w:val="32"/>
        </w:rPr>
        <w:t>1</w:t>
      </w:r>
      <w:r>
        <w:rPr>
          <w:rFonts w:hAnsi="仿宋_GB2312" w:eastAsia="仿宋_GB2312"/>
          <w:sz w:val="32"/>
          <w:szCs w:val="32"/>
        </w:rPr>
        <w:t>．全面部署全区手足口病防治工作，落实手足口病防控各项措施。</w:t>
      </w:r>
    </w:p>
    <w:p>
      <w:pPr>
        <w:spacing w:line="600" w:lineRule="exact"/>
        <w:rPr>
          <w:rFonts w:eastAsia="仿宋_GB2312"/>
          <w:sz w:val="32"/>
          <w:szCs w:val="32"/>
        </w:rPr>
      </w:pPr>
      <w:r>
        <w:rPr>
          <w:rFonts w:eastAsia="仿宋_GB2312"/>
          <w:sz w:val="32"/>
          <w:szCs w:val="32"/>
        </w:rPr>
        <w:t xml:space="preserve">    2</w:t>
      </w:r>
      <w:r>
        <w:rPr>
          <w:rFonts w:hAnsi="仿宋_GB2312" w:eastAsia="仿宋_GB2312"/>
          <w:sz w:val="32"/>
          <w:szCs w:val="32"/>
        </w:rPr>
        <w:t>．定期组织对全区医疗机构开展手足口病防控工作督导检查，确保各项措施落实到位。</w:t>
      </w:r>
    </w:p>
    <w:p>
      <w:pPr>
        <w:spacing w:line="60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．将基层医疗卫生机构手足口病防控工作职责纳入基本公共卫生服务项目考核内容。</w:t>
      </w:r>
    </w:p>
    <w:p>
      <w:pPr>
        <w:spacing w:line="60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．开展手足口病防治知识宣传活动，积极推行</w:t>
      </w:r>
      <w:r>
        <w:rPr>
          <w:rFonts w:eastAsia="仿宋_GB2312"/>
          <w:sz w:val="32"/>
          <w:szCs w:val="32"/>
        </w:rPr>
        <w:t>84</w:t>
      </w:r>
      <w:r>
        <w:rPr>
          <w:rFonts w:hAnsi="仿宋_GB2312" w:eastAsia="仿宋_GB2312"/>
          <w:sz w:val="32"/>
          <w:szCs w:val="32"/>
        </w:rPr>
        <w:t>化消毒防控措施。</w:t>
      </w:r>
    </w:p>
    <w:p>
      <w:pPr>
        <w:spacing w:line="600" w:lineRule="exact"/>
        <w:rPr>
          <w:rFonts w:eastAsia="楷体"/>
          <w:b/>
          <w:bCs/>
          <w:sz w:val="32"/>
          <w:szCs w:val="32"/>
        </w:rPr>
      </w:pPr>
      <w:r>
        <w:rPr>
          <w:rFonts w:eastAsia="仿宋"/>
          <w:b/>
          <w:bCs/>
          <w:sz w:val="32"/>
          <w:szCs w:val="32"/>
        </w:rPr>
        <w:t xml:space="preserve">   </w:t>
      </w:r>
      <w:r>
        <w:rPr>
          <w:rFonts w:eastAsia="楷体"/>
          <w:b/>
          <w:bCs/>
          <w:sz w:val="32"/>
          <w:szCs w:val="32"/>
        </w:rPr>
        <w:t xml:space="preserve"> </w:t>
      </w:r>
      <w:r>
        <w:rPr>
          <w:rFonts w:hAnsi="楷体" w:eastAsia="楷体"/>
          <w:b/>
          <w:bCs/>
          <w:sz w:val="32"/>
          <w:szCs w:val="32"/>
        </w:rPr>
        <w:t>（三）财政局</w:t>
      </w:r>
    </w:p>
    <w:p>
      <w:pPr>
        <w:spacing w:line="600" w:lineRule="exact"/>
        <w:rPr>
          <w:rFonts w:eastAsia="仿宋"/>
          <w:b/>
          <w:bCs/>
          <w:sz w:val="32"/>
          <w:szCs w:val="32"/>
        </w:rPr>
      </w:pPr>
      <w:r>
        <w:rPr>
          <w:rFonts w:eastAsia="仿宋"/>
          <w:b/>
          <w:bCs/>
          <w:sz w:val="32"/>
          <w:szCs w:val="32"/>
        </w:rPr>
        <w:t xml:space="preserve">   </w:t>
      </w:r>
      <w:r>
        <w:rPr>
          <w:rFonts w:eastAsia="仿宋_GB2312"/>
          <w:sz w:val="32"/>
          <w:szCs w:val="32"/>
        </w:rPr>
        <w:t xml:space="preserve"> </w:t>
      </w:r>
      <w:r>
        <w:rPr>
          <w:rFonts w:hAnsi="仿宋_GB2312" w:eastAsia="仿宋_GB2312"/>
          <w:sz w:val="32"/>
          <w:szCs w:val="32"/>
        </w:rPr>
        <w:t>将手足口病防治工作经费列入年度财政预算。</w:t>
      </w:r>
    </w:p>
    <w:p>
      <w:pPr>
        <w:spacing w:line="600" w:lineRule="exact"/>
        <w:rPr>
          <w:rFonts w:eastAsia="楷体"/>
          <w:b/>
          <w:bCs/>
          <w:sz w:val="32"/>
          <w:szCs w:val="32"/>
        </w:rPr>
      </w:pPr>
      <w:r>
        <w:rPr>
          <w:rFonts w:eastAsia="仿宋"/>
          <w:sz w:val="32"/>
          <w:szCs w:val="32"/>
        </w:rPr>
        <w:t xml:space="preserve">   </w:t>
      </w:r>
      <w:r>
        <w:rPr>
          <w:rFonts w:eastAsia="楷体"/>
          <w:sz w:val="32"/>
          <w:szCs w:val="32"/>
        </w:rPr>
        <w:t xml:space="preserve"> </w:t>
      </w:r>
      <w:r>
        <w:rPr>
          <w:rFonts w:hAnsi="楷体" w:eastAsia="楷体"/>
          <w:b/>
          <w:bCs/>
          <w:sz w:val="32"/>
          <w:szCs w:val="32"/>
        </w:rPr>
        <w:t>（四）教育文体局</w:t>
      </w:r>
    </w:p>
    <w:p>
      <w:pPr>
        <w:spacing w:line="600" w:lineRule="exact"/>
        <w:rPr>
          <w:rFonts w:eastAsia="仿宋_GB2312"/>
          <w:sz w:val="32"/>
          <w:szCs w:val="32"/>
        </w:rPr>
      </w:pPr>
      <w:r>
        <w:rPr>
          <w:rFonts w:eastAsia="仿宋"/>
          <w:sz w:val="32"/>
          <w:szCs w:val="32"/>
        </w:rPr>
        <w:t xml:space="preserve">    </w:t>
      </w:r>
      <w:r>
        <w:rPr>
          <w:rFonts w:eastAsia="仿宋_GB2312"/>
          <w:sz w:val="32"/>
          <w:szCs w:val="32"/>
        </w:rPr>
        <w:t>1</w:t>
      </w:r>
      <w:r>
        <w:rPr>
          <w:rFonts w:hAnsi="仿宋_GB2312" w:eastAsia="仿宋_GB2312"/>
          <w:sz w:val="32"/>
          <w:szCs w:val="32"/>
        </w:rPr>
        <w:t>．负责全区小学及托幼机构手足口病防控工作。</w:t>
      </w:r>
    </w:p>
    <w:p>
      <w:pPr>
        <w:spacing w:line="600" w:lineRule="exact"/>
        <w:rPr>
          <w:rFonts w:eastAsia="仿宋_GB2312"/>
          <w:sz w:val="32"/>
          <w:szCs w:val="32"/>
        </w:rPr>
      </w:pPr>
      <w:r>
        <w:rPr>
          <w:rFonts w:eastAsia="仿宋_GB2312"/>
          <w:sz w:val="32"/>
          <w:szCs w:val="32"/>
        </w:rPr>
        <w:t xml:space="preserve">    2</w:t>
      </w:r>
      <w:r>
        <w:rPr>
          <w:rFonts w:hAnsi="仿宋_GB2312" w:eastAsia="仿宋_GB2312"/>
          <w:sz w:val="32"/>
          <w:szCs w:val="32"/>
        </w:rPr>
        <w:t>．针对手足口病防治，在所有幼儿园和小学开展晨检、午检工作，开展消毒和缺课原因追踪登记。</w:t>
      </w:r>
    </w:p>
    <w:p>
      <w:pPr>
        <w:spacing w:line="600" w:lineRule="exact"/>
        <w:ind w:firstLine="640"/>
        <w:rPr>
          <w:rFonts w:eastAsia="仿宋_GB2312"/>
          <w:sz w:val="32"/>
          <w:szCs w:val="32"/>
        </w:rPr>
      </w:pPr>
      <w:r>
        <w:rPr>
          <w:rFonts w:eastAsia="仿宋_GB2312"/>
          <w:sz w:val="32"/>
          <w:szCs w:val="32"/>
        </w:rPr>
        <w:t>3</w:t>
      </w:r>
      <w:r>
        <w:rPr>
          <w:rFonts w:hAnsi="仿宋_GB2312" w:eastAsia="仿宋_GB2312"/>
          <w:sz w:val="32"/>
          <w:szCs w:val="32"/>
        </w:rPr>
        <w:t>．配合卫生部门做好手足口病聚集性疫情的处置工作，按照卫生部门的要求采取停课放假等措施。</w:t>
      </w:r>
    </w:p>
    <w:p>
      <w:pPr>
        <w:spacing w:line="600" w:lineRule="exact"/>
        <w:ind w:firstLine="640"/>
        <w:rPr>
          <w:rFonts w:eastAsia="仿宋_GB2312"/>
          <w:sz w:val="32"/>
          <w:szCs w:val="32"/>
        </w:rPr>
      </w:pPr>
      <w:r>
        <w:rPr>
          <w:rFonts w:eastAsia="仿宋_GB2312"/>
          <w:sz w:val="32"/>
          <w:szCs w:val="32"/>
        </w:rPr>
        <w:t>4</w:t>
      </w:r>
      <w:r>
        <w:rPr>
          <w:rFonts w:hAnsi="仿宋_GB2312" w:eastAsia="仿宋_GB2312"/>
          <w:sz w:val="32"/>
          <w:szCs w:val="32"/>
        </w:rPr>
        <w:t>．配合卫生部门做好小学、托幼机构手足口病的防控宣传工作，开展从教人员的培训。</w:t>
      </w:r>
    </w:p>
    <w:p>
      <w:pPr>
        <w:spacing w:line="600" w:lineRule="exact"/>
        <w:rPr>
          <w:rFonts w:eastAsia="仿宋_GB2312"/>
          <w:sz w:val="32"/>
          <w:szCs w:val="32"/>
        </w:rPr>
      </w:pPr>
      <w:r>
        <w:rPr>
          <w:rFonts w:eastAsia="仿宋_GB2312"/>
          <w:sz w:val="32"/>
          <w:szCs w:val="32"/>
        </w:rPr>
        <w:t xml:space="preserve">   </w:t>
      </w:r>
      <w:r>
        <w:rPr>
          <w:rFonts w:hAnsi="仿宋_GB2312" w:eastAsia="仿宋_GB2312"/>
          <w:sz w:val="32"/>
          <w:szCs w:val="32"/>
        </w:rPr>
        <w:t>加强防控工作领导和信息互通。为加强防控工作的监测预防力度，各职能部门建立手足口病相互通制度，加强信息交流，保持信息畅通。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E2777"/>
    <w:rsid w:val="3ABE2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2017-06-23T06:28:00Z</dcterms:created>
  <dc:creator>asus-pc</dc:creator>
  <cp:lastModifiedBy>asus-pc</cp:lastModifiedBy>
  <dcterms:modified xsi:type="dcterms:W3CDTF">2017-06-23T06:30:34Z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