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rPr>
          <w:rFonts w:ascii="仿宋_GB2312" w:hAnsi="仿宋_GB2312" w:eastAsia="仿宋_GB2312" w:cs="仿宋_GB2312"/>
          <w:color w:val="auto"/>
          <w:sz w:val="36"/>
          <w:szCs w:val="36"/>
        </w:rPr>
      </w:pPr>
      <w:bookmarkStart w:id="4" w:name="_GoBack"/>
    </w:p>
    <w:p>
      <w:pPr>
        <w:ind w:firstLine="720"/>
        <w:rPr>
          <w:rFonts w:ascii="仿宋_GB2312" w:hAnsi="仿宋_GB2312" w:eastAsia="仿宋_GB2312" w:cs="仿宋_GB2312"/>
          <w:color w:val="auto"/>
          <w:sz w:val="36"/>
          <w:szCs w:val="36"/>
        </w:rPr>
      </w:pPr>
    </w:p>
    <w:p>
      <w:pPr>
        <w:ind w:firstLine="720"/>
        <w:rPr>
          <w:rFonts w:ascii="仿宋_GB2312" w:hAnsi="仿宋_GB2312" w:eastAsia="仿宋_GB2312" w:cs="仿宋_GB2312"/>
          <w:color w:val="auto"/>
          <w:sz w:val="36"/>
          <w:szCs w:val="36"/>
        </w:rPr>
      </w:pPr>
    </w:p>
    <w:p>
      <w:pPr>
        <w:ind w:firstLine="720"/>
        <w:rPr>
          <w:rFonts w:ascii="仿宋_GB2312" w:hAnsi="仿宋_GB2312" w:eastAsia="仿宋_GB2312" w:cs="仿宋_GB2312"/>
          <w:color w:val="auto"/>
          <w:sz w:val="36"/>
          <w:szCs w:val="36"/>
        </w:rPr>
      </w:pPr>
    </w:p>
    <w:p>
      <w:pPr>
        <w:ind w:firstLine="720"/>
        <w:rPr>
          <w:rFonts w:ascii="仿宋_GB2312" w:hAnsi="仿宋_GB2312" w:eastAsia="仿宋_GB2312" w:cs="仿宋_GB2312"/>
          <w:color w:val="auto"/>
          <w:sz w:val="36"/>
          <w:szCs w:val="36"/>
        </w:rPr>
      </w:pPr>
    </w:p>
    <w:p>
      <w:pPr>
        <w:adjustRightInd w:val="0"/>
        <w:snapToGrid w:val="0"/>
        <w:jc w:val="center"/>
        <w:outlineLvl w:val="0"/>
        <w:rPr>
          <w:rFonts w:ascii="方正小标宋_GBK" w:eastAsia="方正小标宋_GBK"/>
          <w:bCs/>
          <w:color w:val="auto"/>
          <w:sz w:val="72"/>
          <w:szCs w:val="72"/>
        </w:rPr>
      </w:pPr>
      <w:r>
        <w:rPr>
          <w:rFonts w:hint="eastAsia" w:ascii="方正小标宋_GBK" w:eastAsia="方正小标宋_GBK"/>
          <w:bCs/>
          <w:color w:val="auto"/>
          <w:sz w:val="72"/>
          <w:szCs w:val="72"/>
        </w:rPr>
        <w:t>建设项目环境影响报告表</w:t>
      </w:r>
    </w:p>
    <w:p>
      <w:pPr>
        <w:adjustRightInd w:val="0"/>
        <w:snapToGrid w:val="0"/>
        <w:spacing w:before="192" w:beforeLines="80"/>
        <w:jc w:val="center"/>
        <w:rPr>
          <w:rFonts w:ascii="楷体_GB2312" w:eastAsia="楷体_GB2312"/>
          <w:bCs/>
          <w:color w:val="auto"/>
          <w:sz w:val="48"/>
          <w:szCs w:val="48"/>
        </w:rPr>
      </w:pPr>
      <w:r>
        <w:rPr>
          <w:rFonts w:hint="eastAsia" w:ascii="楷体_GB2312" w:eastAsia="楷体_GB2312"/>
          <w:bCs/>
          <w:color w:val="auto"/>
          <w:sz w:val="48"/>
          <w:szCs w:val="48"/>
        </w:rPr>
        <w:t>（污染影响类）</w:t>
      </w:r>
    </w:p>
    <w:p>
      <w:pPr>
        <w:adjustRightInd w:val="0"/>
        <w:snapToGrid w:val="0"/>
        <w:spacing w:line="288" w:lineRule="auto"/>
        <w:ind w:firstLine="880"/>
        <w:jc w:val="center"/>
        <w:outlineLvl w:val="0"/>
        <w:rPr>
          <w:rFonts w:ascii="华文仿宋" w:hAnsi="华文仿宋" w:eastAsia="华文仿宋" w:cs="华文仿宋"/>
          <w:color w:val="auto"/>
          <w:kern w:val="44"/>
          <w:sz w:val="44"/>
          <w:szCs w:val="44"/>
        </w:rPr>
      </w:pPr>
    </w:p>
    <w:p>
      <w:pPr>
        <w:ind w:firstLine="1040"/>
        <w:jc w:val="center"/>
        <w:rPr>
          <w:rFonts w:eastAsia="仿宋"/>
          <w:color w:val="auto"/>
          <w:sz w:val="52"/>
          <w:szCs w:val="52"/>
        </w:rPr>
      </w:pPr>
    </w:p>
    <w:p>
      <w:pPr>
        <w:ind w:firstLine="880"/>
        <w:rPr>
          <w:rFonts w:eastAsia="仿宋"/>
          <w:color w:val="auto"/>
          <w:sz w:val="44"/>
          <w:szCs w:val="44"/>
        </w:rPr>
      </w:pPr>
    </w:p>
    <w:p>
      <w:pPr>
        <w:ind w:firstLine="880"/>
        <w:rPr>
          <w:rFonts w:eastAsia="仿宋"/>
          <w:color w:val="auto"/>
          <w:sz w:val="44"/>
          <w:szCs w:val="44"/>
        </w:rPr>
      </w:pPr>
    </w:p>
    <w:p>
      <w:pPr>
        <w:ind w:firstLine="880"/>
        <w:rPr>
          <w:rFonts w:eastAsia="仿宋"/>
          <w:color w:val="auto"/>
          <w:sz w:val="44"/>
          <w:szCs w:val="44"/>
        </w:rPr>
      </w:pPr>
    </w:p>
    <w:p>
      <w:pPr>
        <w:ind w:firstLine="880"/>
        <w:rPr>
          <w:rFonts w:eastAsia="仿宋"/>
          <w:color w:val="auto"/>
          <w:sz w:val="44"/>
          <w:szCs w:val="44"/>
        </w:rPr>
      </w:pPr>
    </w:p>
    <w:p>
      <w:pPr>
        <w:adjustRightInd w:val="0"/>
        <w:snapToGrid w:val="0"/>
        <w:spacing w:line="288" w:lineRule="auto"/>
        <w:ind w:firstLine="1038"/>
        <w:rPr>
          <w:rFonts w:ascii="仿宋_GB2312" w:eastAsia="仿宋_GB2312"/>
          <w:color w:val="auto"/>
          <w:w w:val="95"/>
          <w:sz w:val="36"/>
          <w:szCs w:val="36"/>
          <w:u w:val="single"/>
        </w:rPr>
      </w:pPr>
      <w:r>
        <w:rPr>
          <w:rFonts w:hint="eastAsia" w:ascii="仿宋_GB2312" w:eastAsia="仿宋_GB2312"/>
          <w:color w:val="auto"/>
          <w:w w:val="95"/>
          <w:sz w:val="36"/>
          <w:szCs w:val="36"/>
        </w:rPr>
        <w:t>项目名称：</w:t>
      </w:r>
      <w:r>
        <w:rPr>
          <w:rFonts w:hint="eastAsia" w:ascii="仿宋_GB2312" w:eastAsia="仿宋_GB2312"/>
          <w:color w:val="auto"/>
          <w:w w:val="95"/>
          <w:sz w:val="36"/>
          <w:szCs w:val="36"/>
          <w:u w:val="single"/>
        </w:rPr>
        <w:t>2万吨/年矿用无机材料工业化示范项目</w:t>
      </w:r>
    </w:p>
    <w:p>
      <w:pPr>
        <w:adjustRightInd w:val="0"/>
        <w:snapToGrid w:val="0"/>
        <w:spacing w:line="288" w:lineRule="auto"/>
        <w:ind w:firstLine="1038"/>
        <w:rPr>
          <w:rFonts w:ascii="仿宋_GB2312" w:eastAsia="仿宋_GB2312"/>
          <w:color w:val="auto"/>
          <w:sz w:val="36"/>
          <w:szCs w:val="36"/>
          <w:u w:val="single"/>
        </w:rPr>
      </w:pPr>
      <w:r>
        <w:rPr>
          <w:rFonts w:hint="eastAsia" w:ascii="仿宋_GB2312" w:eastAsia="仿宋_GB2312"/>
          <w:color w:val="auto"/>
          <w:sz w:val="36"/>
          <w:szCs w:val="36"/>
        </w:rPr>
        <w:t>建设单位（盖章）：</w:t>
      </w:r>
      <w:r>
        <w:rPr>
          <w:rFonts w:hint="eastAsia" w:ascii="仿宋_GB2312" w:eastAsia="仿宋_GB2312"/>
          <w:color w:val="auto"/>
          <w:sz w:val="36"/>
          <w:szCs w:val="36"/>
          <w:u w:val="single"/>
        </w:rPr>
        <w:t>渭南陕煤启辰科技有限公司</w:t>
      </w:r>
    </w:p>
    <w:p>
      <w:pPr>
        <w:adjustRightInd w:val="0"/>
        <w:snapToGrid w:val="0"/>
        <w:spacing w:line="288" w:lineRule="auto"/>
        <w:ind w:firstLine="1038"/>
        <w:rPr>
          <w:rFonts w:ascii="仿宋_GB2312" w:eastAsia="仿宋_GB2312"/>
          <w:color w:val="auto"/>
          <w:spacing w:val="30"/>
          <w:sz w:val="36"/>
          <w:szCs w:val="36"/>
          <w:u w:val="single"/>
        </w:rPr>
      </w:pPr>
      <w:r>
        <w:rPr>
          <w:rFonts w:hint="eastAsia" w:ascii="仿宋_GB2312" w:eastAsia="仿宋_GB2312"/>
          <w:color w:val="auto"/>
          <w:spacing w:val="30"/>
          <w:sz w:val="36"/>
          <w:szCs w:val="36"/>
        </w:rPr>
        <w:t>编制日期：</w:t>
      </w:r>
      <w:r>
        <w:rPr>
          <w:rFonts w:hint="eastAsia" w:ascii="仿宋_GB2312" w:eastAsia="仿宋_GB2312"/>
          <w:color w:val="auto"/>
          <w:spacing w:val="30"/>
          <w:sz w:val="36"/>
          <w:szCs w:val="36"/>
          <w:u w:val="single"/>
        </w:rPr>
        <w:t xml:space="preserve">   </w:t>
      </w:r>
      <w:r>
        <w:rPr>
          <w:rFonts w:ascii="仿宋_GB2312" w:eastAsia="仿宋_GB2312"/>
          <w:color w:val="auto"/>
          <w:spacing w:val="30"/>
          <w:sz w:val="36"/>
          <w:szCs w:val="36"/>
          <w:u w:val="single"/>
        </w:rPr>
        <w:t xml:space="preserve"> </w:t>
      </w:r>
      <w:r>
        <w:rPr>
          <w:rFonts w:hint="eastAsia" w:ascii="仿宋_GB2312" w:eastAsia="仿宋_GB2312"/>
          <w:color w:val="auto"/>
          <w:spacing w:val="30"/>
          <w:sz w:val="36"/>
          <w:szCs w:val="36"/>
          <w:u w:val="single"/>
        </w:rPr>
        <w:t xml:space="preserve"> </w:t>
      </w:r>
      <w:r>
        <w:rPr>
          <w:rFonts w:hint="eastAsia" w:ascii="仿宋_GB2312" w:eastAsia="仿宋_GB2312"/>
          <w:color w:val="auto"/>
          <w:spacing w:val="30"/>
          <w:sz w:val="36"/>
          <w:szCs w:val="36"/>
          <w:u w:val="single"/>
        </w:rPr>
        <w:t>二〇二</w:t>
      </w:r>
      <w:r>
        <w:rPr>
          <w:rFonts w:hint="eastAsia" w:ascii="仿宋_GB2312" w:eastAsia="仿宋_GB2312"/>
          <w:color w:val="auto"/>
          <w:spacing w:val="30"/>
          <w:sz w:val="36"/>
          <w:szCs w:val="36"/>
          <w:u w:val="single"/>
          <w:lang w:eastAsia="zh-CN"/>
        </w:rPr>
        <w:t>二</w:t>
      </w:r>
      <w:r>
        <w:rPr>
          <w:rFonts w:hint="eastAsia" w:ascii="仿宋_GB2312" w:eastAsia="仿宋_GB2312"/>
          <w:color w:val="auto"/>
          <w:spacing w:val="30"/>
          <w:sz w:val="36"/>
          <w:szCs w:val="36"/>
          <w:u w:val="single"/>
        </w:rPr>
        <w:t>年</w:t>
      </w:r>
      <w:r>
        <w:rPr>
          <w:rFonts w:hint="eastAsia" w:ascii="仿宋_GB2312" w:eastAsia="仿宋_GB2312"/>
          <w:color w:val="auto"/>
          <w:spacing w:val="30"/>
          <w:sz w:val="36"/>
          <w:szCs w:val="36"/>
          <w:u w:val="single"/>
          <w:lang w:eastAsia="zh-CN"/>
        </w:rPr>
        <w:t>一</w:t>
      </w:r>
      <w:r>
        <w:rPr>
          <w:rFonts w:hint="eastAsia" w:ascii="仿宋_GB2312" w:eastAsia="仿宋_GB2312"/>
          <w:color w:val="auto"/>
          <w:spacing w:val="30"/>
          <w:sz w:val="36"/>
          <w:szCs w:val="36"/>
          <w:u w:val="single"/>
        </w:rPr>
        <w:t>月</w:t>
      </w:r>
      <w:r>
        <w:rPr>
          <w:rFonts w:ascii="仿宋_GB2312" w:eastAsia="仿宋_GB2312"/>
          <w:color w:val="auto"/>
          <w:spacing w:val="30"/>
          <w:sz w:val="36"/>
          <w:szCs w:val="36"/>
          <w:u w:val="single"/>
        </w:rPr>
        <w:t xml:space="preserve"> </w:t>
      </w:r>
      <w:r>
        <w:rPr>
          <w:rFonts w:hint="eastAsia" w:ascii="仿宋_GB2312" w:eastAsia="仿宋_GB2312"/>
          <w:color w:val="auto"/>
          <w:spacing w:val="30"/>
          <w:sz w:val="36"/>
          <w:szCs w:val="36"/>
          <w:u w:val="single"/>
        </w:rPr>
        <w:t xml:space="preserve"> </w:t>
      </w:r>
      <w:r>
        <w:rPr>
          <w:rFonts w:ascii="仿宋_GB2312" w:eastAsia="仿宋_GB2312"/>
          <w:color w:val="auto"/>
          <w:spacing w:val="30"/>
          <w:sz w:val="36"/>
          <w:szCs w:val="36"/>
          <w:u w:val="single"/>
        </w:rPr>
        <w:t xml:space="preserve"> </w:t>
      </w:r>
    </w:p>
    <w:p>
      <w:pPr>
        <w:adjustRightInd w:val="0"/>
        <w:snapToGrid w:val="0"/>
        <w:spacing w:line="288" w:lineRule="auto"/>
        <w:jc w:val="left"/>
        <w:rPr>
          <w:rFonts w:ascii="仿宋_GB2312" w:eastAsia="仿宋_GB2312"/>
          <w:color w:val="auto"/>
          <w:sz w:val="36"/>
          <w:szCs w:val="36"/>
          <w:u w:val="single"/>
        </w:rPr>
      </w:pPr>
      <w:bookmarkStart w:id="0" w:name="_Hlk57884087"/>
    </w:p>
    <w:p>
      <w:pPr>
        <w:adjustRightInd w:val="0"/>
        <w:snapToGrid w:val="0"/>
        <w:spacing w:line="288" w:lineRule="auto"/>
        <w:jc w:val="left"/>
        <w:rPr>
          <w:rFonts w:ascii="仿宋_GB2312" w:eastAsia="仿宋_GB2312"/>
          <w:color w:val="auto"/>
          <w:sz w:val="36"/>
          <w:szCs w:val="36"/>
        </w:rPr>
      </w:pPr>
    </w:p>
    <w:p>
      <w:pPr>
        <w:adjustRightInd w:val="0"/>
        <w:snapToGrid w:val="0"/>
        <w:spacing w:line="288" w:lineRule="auto"/>
        <w:jc w:val="left"/>
        <w:rPr>
          <w:rFonts w:ascii="仿宋_GB2312" w:eastAsia="仿宋_GB2312"/>
          <w:color w:val="auto"/>
          <w:sz w:val="36"/>
          <w:szCs w:val="36"/>
        </w:rPr>
      </w:pPr>
    </w:p>
    <w:p>
      <w:pPr>
        <w:adjustRightInd w:val="0"/>
        <w:snapToGrid w:val="0"/>
        <w:spacing w:line="288" w:lineRule="auto"/>
        <w:jc w:val="left"/>
        <w:rPr>
          <w:rFonts w:ascii="仿宋_GB2312" w:eastAsia="仿宋_GB2312"/>
          <w:color w:val="auto"/>
          <w:sz w:val="36"/>
          <w:szCs w:val="36"/>
        </w:rPr>
      </w:pPr>
    </w:p>
    <w:bookmarkEnd w:id="0"/>
    <w:p>
      <w:pPr>
        <w:adjustRightInd w:val="0"/>
        <w:snapToGrid w:val="0"/>
        <w:spacing w:line="288" w:lineRule="auto"/>
        <w:jc w:val="left"/>
        <w:rPr>
          <w:rFonts w:ascii="楷体_GB2312" w:eastAsia="楷体_GB2312"/>
          <w:color w:val="auto"/>
          <w:sz w:val="36"/>
          <w:szCs w:val="36"/>
        </w:rPr>
      </w:pPr>
    </w:p>
    <w:p>
      <w:pPr>
        <w:adjustRightInd w:val="0"/>
        <w:snapToGrid w:val="0"/>
        <w:spacing w:line="288" w:lineRule="auto"/>
        <w:jc w:val="center"/>
        <w:rPr>
          <w:rFonts w:ascii="楷体_GB2312" w:eastAsia="楷体_GB2312"/>
          <w:color w:val="auto"/>
          <w:sz w:val="36"/>
          <w:szCs w:val="36"/>
        </w:rPr>
      </w:pPr>
      <w:r>
        <w:rPr>
          <w:rFonts w:hint="eastAsia" w:ascii="楷体_GB2312" w:eastAsia="楷体_GB2312"/>
          <w:color w:val="auto"/>
          <w:sz w:val="36"/>
          <w:szCs w:val="36"/>
        </w:rPr>
        <w:t>中华人民共和国生态环境部制</w:t>
      </w:r>
    </w:p>
    <w:p>
      <w:pPr>
        <w:adjustRightInd w:val="0"/>
        <w:snapToGrid w:val="0"/>
        <w:spacing w:line="288" w:lineRule="auto"/>
        <w:jc w:val="center"/>
        <w:rPr>
          <w:rFonts w:ascii="楷体_GB2312" w:eastAsia="楷体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pPr>
    </w:p>
    <w:p>
      <w:pPr>
        <w:adjustRightInd w:val="0"/>
        <w:snapToGrid w:val="0"/>
        <w:spacing w:line="288" w:lineRule="auto"/>
        <w:ind w:firstLine="720"/>
        <w:rPr>
          <w:rFonts w:ascii="仿宋_GB2312" w:eastAsia="仿宋_GB2312"/>
          <w:color w:val="auto"/>
          <w:sz w:val="36"/>
          <w:szCs w:val="36"/>
        </w:rPr>
        <w:sectPr>
          <w:headerReference r:id="rId3" w:type="default"/>
          <w:footerReference r:id="rId4" w:type="default"/>
          <w:footerReference r:id="rId5" w:type="even"/>
          <w:pgSz w:w="11906" w:h="16838"/>
          <w:pgMar w:top="1701" w:right="1531" w:bottom="1701" w:left="1531" w:header="851" w:footer="1077" w:gutter="0"/>
          <w:pgNumType w:start="3"/>
          <w:cols w:space="720" w:num="1"/>
          <w:docGrid w:linePitch="312" w:charSpace="0"/>
        </w:sectPr>
      </w:pPr>
    </w:p>
    <w:p>
      <w:pPr>
        <w:pStyle w:val="15"/>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56"/>
        <w:gridCol w:w="2163"/>
        <w:gridCol w:w="105"/>
        <w:gridCol w:w="1843"/>
        <w:gridCol w:w="264"/>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建设项目名称</w:t>
            </w:r>
          </w:p>
        </w:tc>
        <w:tc>
          <w:tcPr>
            <w:tcW w:w="7014" w:type="dxa"/>
            <w:gridSpan w:val="5"/>
            <w:vAlign w:val="center"/>
          </w:tcPr>
          <w:p>
            <w:pPr>
              <w:adjustRightInd w:val="0"/>
              <w:snapToGrid w:val="0"/>
              <w:jc w:val="center"/>
              <w:rPr>
                <w:rFonts w:ascii="宋体" w:hAnsi="宋体" w:cs="宋体"/>
                <w:color w:val="auto"/>
                <w:sz w:val="24"/>
              </w:rPr>
            </w:pPr>
            <w:r>
              <w:rPr>
                <w:rFonts w:hint="eastAsia" w:ascii="宋体" w:hAnsi="宋体" w:cs="宋体"/>
                <w:color w:val="auto"/>
                <w:sz w:val="24"/>
              </w:rPr>
              <w:t>2 万吨/年矿用无机材料工业化示范项目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项目代码</w:t>
            </w:r>
          </w:p>
        </w:tc>
        <w:tc>
          <w:tcPr>
            <w:tcW w:w="7014" w:type="dxa"/>
            <w:gridSpan w:val="5"/>
            <w:vAlign w:val="center"/>
          </w:tcPr>
          <w:p>
            <w:pPr>
              <w:adjustRightInd w:val="0"/>
              <w:snapToGrid w:val="0"/>
              <w:jc w:val="center"/>
              <w:rPr>
                <w:rFonts w:ascii="宋体" w:hAnsi="宋体" w:cs="宋体"/>
                <w:color w:val="auto"/>
                <w:sz w:val="24"/>
              </w:rPr>
            </w:pPr>
            <w:r>
              <w:rPr>
                <w:color w:val="auto"/>
                <w:sz w:val="24"/>
              </w:rPr>
              <w:t>2111-610563-04-01-849455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建设单位联系人</w:t>
            </w:r>
          </w:p>
        </w:tc>
        <w:tc>
          <w:tcPr>
            <w:tcW w:w="2163"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王毅</w:t>
            </w:r>
          </w:p>
        </w:tc>
        <w:tc>
          <w:tcPr>
            <w:tcW w:w="2212" w:type="dxa"/>
            <w:gridSpan w:val="3"/>
            <w:vAlign w:val="center"/>
          </w:tcPr>
          <w:p>
            <w:pPr>
              <w:adjustRightInd w:val="0"/>
              <w:snapToGrid w:val="0"/>
              <w:jc w:val="center"/>
              <w:rPr>
                <w:rFonts w:ascii="宋体" w:hAnsi="宋体" w:cs="宋体"/>
                <w:color w:val="auto"/>
                <w:sz w:val="24"/>
              </w:rPr>
            </w:pPr>
            <w:r>
              <w:rPr>
                <w:rFonts w:hint="eastAsia" w:ascii="宋体" w:hAnsi="宋体" w:cs="宋体"/>
                <w:color w:val="auto"/>
                <w:sz w:val="24"/>
              </w:rPr>
              <w:t>联系方式</w:t>
            </w:r>
          </w:p>
        </w:tc>
        <w:tc>
          <w:tcPr>
            <w:tcW w:w="2639" w:type="dxa"/>
            <w:vAlign w:val="center"/>
          </w:tcPr>
          <w:p>
            <w:pPr>
              <w:adjustRightInd w:val="0"/>
              <w:snapToGrid w:val="0"/>
              <w:jc w:val="center"/>
              <w:rPr>
                <w:color w:val="auto"/>
                <w:sz w:val="24"/>
              </w:rPr>
            </w:pPr>
            <w:r>
              <w:rPr>
                <w:color w:val="auto"/>
                <w:sz w:val="24"/>
              </w:rPr>
              <w:t>13679240416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建设地点</w:t>
            </w:r>
          </w:p>
        </w:tc>
        <w:tc>
          <w:tcPr>
            <w:tcW w:w="7014" w:type="dxa"/>
            <w:gridSpan w:val="5"/>
            <w:vAlign w:val="center"/>
          </w:tcPr>
          <w:p>
            <w:pPr>
              <w:adjustRightInd w:val="0"/>
              <w:snapToGrid w:val="0"/>
              <w:jc w:val="center"/>
              <w:rPr>
                <w:rFonts w:ascii="宋体" w:hAnsi="宋体" w:cs="宋体"/>
                <w:color w:val="auto"/>
                <w:sz w:val="24"/>
              </w:rPr>
            </w:pPr>
            <w:r>
              <w:rPr>
                <w:rFonts w:ascii="宋体" w:hAnsi="宋体" w:cs="宋体"/>
                <w:color w:val="auto"/>
                <w:sz w:val="24"/>
                <w:u w:val="single"/>
              </w:rPr>
              <w:t xml:space="preserve"> </w:t>
            </w:r>
            <w:r>
              <w:rPr>
                <w:rFonts w:hint="eastAsia" w:ascii="宋体" w:hAnsi="宋体" w:cs="宋体"/>
                <w:color w:val="auto"/>
                <w:sz w:val="24"/>
                <w:u w:val="single"/>
              </w:rPr>
              <w:t>陕西</w:t>
            </w:r>
            <w:r>
              <w:rPr>
                <w:rFonts w:ascii="宋体" w:hAnsi="宋体" w:cs="宋体"/>
                <w:color w:val="auto"/>
                <w:sz w:val="24"/>
                <w:u w:val="single"/>
              </w:rPr>
              <w:t xml:space="preserve"> </w:t>
            </w:r>
            <w:r>
              <w:rPr>
                <w:rFonts w:hint="eastAsia" w:ascii="宋体" w:hAnsi="宋体" w:cs="宋体"/>
                <w:color w:val="auto"/>
                <w:sz w:val="24"/>
              </w:rPr>
              <w:t>省（自治区）</w:t>
            </w:r>
            <w:r>
              <w:rPr>
                <w:rFonts w:hint="eastAsia" w:ascii="宋体" w:hAnsi="宋体" w:cs="宋体"/>
                <w:color w:val="auto"/>
                <w:sz w:val="24"/>
                <w:u w:val="single"/>
              </w:rPr>
              <w:t>渭南</w:t>
            </w:r>
            <w:r>
              <w:rPr>
                <w:rFonts w:ascii="宋体" w:hAnsi="宋体" w:cs="宋体"/>
                <w:color w:val="auto"/>
                <w:sz w:val="24"/>
                <w:u w:val="single"/>
              </w:rPr>
              <w:t xml:space="preserve"> </w:t>
            </w:r>
            <w:r>
              <w:rPr>
                <w:rFonts w:hint="eastAsia" w:ascii="宋体" w:hAnsi="宋体" w:cs="宋体"/>
                <w:color w:val="auto"/>
                <w:sz w:val="24"/>
              </w:rPr>
              <w:t>市</w:t>
            </w:r>
            <w:r>
              <w:rPr>
                <w:rFonts w:ascii="宋体" w:hAnsi="宋体" w:cs="宋体"/>
                <w:color w:val="auto"/>
                <w:sz w:val="24"/>
                <w:u w:val="single"/>
              </w:rPr>
              <w:t xml:space="preserve"> 高新 </w:t>
            </w:r>
            <w:r>
              <w:rPr>
                <w:rFonts w:hint="eastAsia" w:ascii="宋体" w:hAnsi="宋体" w:cs="宋体"/>
                <w:color w:val="auto"/>
                <w:sz w:val="24"/>
              </w:rPr>
              <w:t>县（区）高新技术产业开发区光华路以西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地理坐标</w:t>
            </w:r>
          </w:p>
        </w:tc>
        <w:tc>
          <w:tcPr>
            <w:tcW w:w="7014" w:type="dxa"/>
            <w:gridSpan w:val="5"/>
            <w:vAlign w:val="center"/>
          </w:tcPr>
          <w:p>
            <w:pPr>
              <w:jc w:val="center"/>
              <w:rPr>
                <w:color w:val="auto"/>
                <w:sz w:val="24"/>
              </w:rPr>
            </w:pPr>
            <w:r>
              <w:rPr>
                <w:color w:val="auto"/>
                <w:sz w:val="24"/>
              </w:rPr>
              <w:t>（</w:t>
            </w:r>
            <w:r>
              <w:rPr>
                <w:color w:val="auto"/>
                <w:sz w:val="24"/>
                <w:u w:val="single"/>
              </w:rPr>
              <w:t xml:space="preserve"> 109 </w:t>
            </w:r>
            <w:r>
              <w:rPr>
                <w:color w:val="auto"/>
                <w:sz w:val="24"/>
              </w:rPr>
              <w:t>度</w:t>
            </w:r>
            <w:r>
              <w:rPr>
                <w:color w:val="auto"/>
                <w:sz w:val="24"/>
                <w:u w:val="single"/>
              </w:rPr>
              <w:t xml:space="preserve"> </w:t>
            </w:r>
            <w:r>
              <w:rPr>
                <w:rFonts w:hint="eastAsia"/>
                <w:color w:val="auto"/>
                <w:sz w:val="24"/>
                <w:u w:val="single"/>
              </w:rPr>
              <w:t>25</w:t>
            </w:r>
            <w:r>
              <w:rPr>
                <w:color w:val="auto"/>
                <w:sz w:val="24"/>
                <w:u w:val="single"/>
              </w:rPr>
              <w:t xml:space="preserve"> </w:t>
            </w:r>
            <w:r>
              <w:rPr>
                <w:color w:val="auto"/>
                <w:sz w:val="24"/>
              </w:rPr>
              <w:t>分</w:t>
            </w:r>
            <w:r>
              <w:rPr>
                <w:color w:val="auto"/>
                <w:sz w:val="24"/>
                <w:u w:val="single"/>
              </w:rPr>
              <w:t xml:space="preserve"> </w:t>
            </w:r>
            <w:r>
              <w:rPr>
                <w:rFonts w:hint="eastAsia"/>
                <w:color w:val="auto"/>
                <w:sz w:val="24"/>
                <w:u w:val="single"/>
              </w:rPr>
              <w:t>46.983</w:t>
            </w:r>
            <w:r>
              <w:rPr>
                <w:color w:val="auto"/>
                <w:sz w:val="24"/>
                <w:u w:val="single"/>
              </w:rPr>
              <w:t xml:space="preserve"> </w:t>
            </w:r>
            <w:r>
              <w:rPr>
                <w:color w:val="auto"/>
                <w:sz w:val="24"/>
              </w:rPr>
              <w:t>秒，</w:t>
            </w:r>
            <w:r>
              <w:rPr>
                <w:color w:val="auto"/>
                <w:sz w:val="24"/>
                <w:u w:val="single"/>
              </w:rPr>
              <w:t xml:space="preserve"> </w:t>
            </w:r>
            <w:r>
              <w:rPr>
                <w:rFonts w:hint="eastAsia"/>
                <w:color w:val="auto"/>
                <w:sz w:val="24"/>
                <w:u w:val="single"/>
              </w:rPr>
              <w:t>34</w:t>
            </w:r>
            <w:r>
              <w:rPr>
                <w:color w:val="auto"/>
                <w:sz w:val="24"/>
                <w:u w:val="single"/>
              </w:rPr>
              <w:t xml:space="preserve"> </w:t>
            </w:r>
            <w:r>
              <w:rPr>
                <w:color w:val="auto"/>
                <w:sz w:val="24"/>
              </w:rPr>
              <w:t>度</w:t>
            </w:r>
            <w:r>
              <w:rPr>
                <w:color w:val="auto"/>
                <w:sz w:val="24"/>
                <w:u w:val="single"/>
              </w:rPr>
              <w:t xml:space="preserve"> </w:t>
            </w:r>
            <w:r>
              <w:rPr>
                <w:rFonts w:hint="eastAsia"/>
                <w:color w:val="auto"/>
                <w:sz w:val="24"/>
                <w:u w:val="single"/>
              </w:rPr>
              <w:t>29</w:t>
            </w:r>
            <w:r>
              <w:rPr>
                <w:color w:val="auto"/>
                <w:sz w:val="24"/>
                <w:u w:val="single"/>
              </w:rPr>
              <w:t xml:space="preserve"> </w:t>
            </w:r>
            <w:r>
              <w:rPr>
                <w:color w:val="auto"/>
                <w:sz w:val="24"/>
              </w:rPr>
              <w:t>分</w:t>
            </w:r>
            <w:r>
              <w:rPr>
                <w:color w:val="auto"/>
                <w:sz w:val="24"/>
                <w:u w:val="single"/>
              </w:rPr>
              <w:t xml:space="preserve"> </w:t>
            </w:r>
            <w:r>
              <w:rPr>
                <w:rFonts w:hint="eastAsia"/>
                <w:color w:val="auto"/>
                <w:sz w:val="24"/>
                <w:u w:val="single"/>
              </w:rPr>
              <w:t>26.815</w:t>
            </w:r>
            <w:r>
              <w:rPr>
                <w:color w:val="auto"/>
                <w:sz w:val="24"/>
                <w:u w:val="single"/>
              </w:rPr>
              <w:t xml:space="preserve"> </w:t>
            </w:r>
            <w:r>
              <w:rPr>
                <w:color w:val="auto"/>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56"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国民经济</w:t>
            </w:r>
          </w:p>
          <w:p>
            <w:pPr>
              <w:adjustRightInd w:val="0"/>
              <w:snapToGrid w:val="0"/>
              <w:jc w:val="center"/>
              <w:rPr>
                <w:rFonts w:ascii="宋体" w:hAnsi="宋体" w:cs="宋体"/>
                <w:color w:val="auto"/>
                <w:sz w:val="24"/>
              </w:rPr>
            </w:pPr>
            <w:r>
              <w:rPr>
                <w:rFonts w:hint="eastAsia" w:ascii="宋体" w:hAnsi="宋体" w:cs="宋体"/>
                <w:color w:val="auto"/>
                <w:sz w:val="24"/>
              </w:rPr>
              <w:t>行业类别</w:t>
            </w:r>
          </w:p>
        </w:tc>
        <w:tc>
          <w:tcPr>
            <w:tcW w:w="2268" w:type="dxa"/>
            <w:gridSpan w:val="2"/>
            <w:vAlign w:val="center"/>
          </w:tcPr>
          <w:p>
            <w:pPr>
              <w:adjustRightInd w:val="0"/>
              <w:snapToGrid w:val="0"/>
              <w:jc w:val="center"/>
              <w:rPr>
                <w:rFonts w:hint="eastAsia" w:ascii="宋体" w:hAnsi="宋体" w:eastAsia="宋体" w:cs="宋体"/>
                <w:color w:val="auto"/>
                <w:sz w:val="24"/>
                <w:lang w:eastAsia="zh-CN"/>
              </w:rPr>
            </w:pPr>
            <w:r>
              <w:rPr>
                <w:rFonts w:hint="eastAsia" w:ascii="宋体" w:hAnsi="宋体" w:cs="宋体"/>
                <w:color w:val="auto"/>
                <w:sz w:val="24"/>
              </w:rPr>
              <w:t>C3099 其它非金属矿物制品制造</w:t>
            </w:r>
          </w:p>
        </w:tc>
        <w:tc>
          <w:tcPr>
            <w:tcW w:w="1843"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建设项目</w:t>
            </w:r>
          </w:p>
          <w:p>
            <w:pPr>
              <w:adjustRightInd w:val="0"/>
              <w:snapToGrid w:val="0"/>
              <w:jc w:val="center"/>
              <w:rPr>
                <w:rFonts w:ascii="宋体" w:hAnsi="宋体" w:cs="宋体"/>
                <w:color w:val="auto"/>
                <w:sz w:val="24"/>
              </w:rPr>
            </w:pPr>
            <w:r>
              <w:rPr>
                <w:rFonts w:hint="eastAsia" w:ascii="宋体" w:hAnsi="宋体" w:cs="宋体"/>
                <w:color w:val="auto"/>
                <w:sz w:val="24"/>
              </w:rPr>
              <w:t>行业类别</w:t>
            </w:r>
          </w:p>
        </w:tc>
        <w:tc>
          <w:tcPr>
            <w:tcW w:w="2903" w:type="dxa"/>
            <w:gridSpan w:val="2"/>
            <w:vAlign w:val="center"/>
          </w:tcPr>
          <w:p>
            <w:pPr>
              <w:adjustRightInd w:val="0"/>
              <w:snapToGrid w:val="0"/>
              <w:rPr>
                <w:rFonts w:hint="default" w:eastAsia="宋体"/>
                <w:color w:val="auto"/>
                <w:sz w:val="24"/>
                <w:lang w:val="en-US" w:eastAsia="zh-CN"/>
              </w:rPr>
            </w:pPr>
            <w:r>
              <w:rPr>
                <w:rFonts w:hint="eastAsia"/>
                <w:color w:val="auto"/>
                <w:sz w:val="24"/>
              </w:rPr>
              <w:t>二十七、非金属矿物制品业 60石墨及其它非金属矿物制品制造309  其它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856"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建设性质</w:t>
            </w:r>
          </w:p>
        </w:tc>
        <w:tc>
          <w:tcPr>
            <w:tcW w:w="2268" w:type="dxa"/>
            <w:gridSpan w:val="2"/>
            <w:tcMar>
              <w:left w:w="17" w:type="dxa"/>
              <w:right w:w="17" w:type="dxa"/>
            </w:tcMar>
            <w:vAlign w:val="center"/>
          </w:tcPr>
          <w:p>
            <w:pPr>
              <w:jc w:val="left"/>
              <w:rPr>
                <w:rFonts w:ascii="宋体" w:hAnsi="宋体" w:cs="宋体"/>
                <w:color w:val="auto"/>
                <w:sz w:val="24"/>
              </w:rPr>
            </w:pPr>
            <w:r>
              <w:rPr>
                <w:color w:val="auto"/>
                <w:spacing w:val="12"/>
                <w:sz w:val="36"/>
                <w:szCs w:val="36"/>
              </w:rPr>
              <w:fldChar w:fldCharType="begin"/>
            </w:r>
            <w:r>
              <w:rPr>
                <w:color w:val="auto"/>
                <w:spacing w:val="12"/>
                <w:sz w:val="36"/>
                <w:szCs w:val="36"/>
              </w:rPr>
              <w:instrText xml:space="preserve"> eq \o\ac(□)</w:instrText>
            </w:r>
            <w:r>
              <w:rPr>
                <w:color w:val="auto"/>
                <w:spacing w:val="12"/>
                <w:sz w:val="36"/>
                <w:szCs w:val="36"/>
              </w:rPr>
              <w:fldChar w:fldCharType="end"/>
            </w:r>
            <w:r>
              <w:rPr>
                <w:rFonts w:hint="eastAsia" w:ascii="宋体" w:hAnsi="宋体" w:cs="宋体"/>
                <w:color w:val="auto"/>
                <w:sz w:val="24"/>
              </w:rPr>
              <w:t>新建（迁建）</w:t>
            </w:r>
          </w:p>
          <w:p>
            <w:pPr>
              <w:jc w:val="left"/>
              <w:rPr>
                <w:rFonts w:ascii="宋体" w:hAnsi="宋体" w:cs="宋体"/>
                <w:color w:val="auto"/>
                <w:sz w:val="24"/>
              </w:rPr>
            </w:pPr>
            <w:r>
              <w:rPr>
                <w:rFonts w:hint="eastAsia" w:ascii="宋体" w:hAnsi="宋体" w:cs="宋体"/>
                <w:color w:val="auto"/>
                <w:sz w:val="24"/>
              </w:rPr>
              <w:t>□改建</w:t>
            </w:r>
          </w:p>
          <w:p>
            <w:pPr>
              <w:jc w:val="left"/>
              <w:rPr>
                <w:rFonts w:ascii="宋体" w:hAnsi="宋体" w:cs="宋体"/>
                <w:color w:val="auto"/>
                <w:sz w:val="24"/>
              </w:rPr>
            </w:pPr>
            <w:r>
              <w:rPr>
                <w:rFonts w:hint="eastAsia" w:ascii="宋体" w:hAnsi="宋体" w:cs="宋体"/>
                <w:color w:val="auto"/>
                <w:sz w:val="24"/>
              </w:rPr>
              <w:sym w:font="Wingdings 2" w:char="0052"/>
            </w:r>
            <w:r>
              <w:rPr>
                <w:rFonts w:hint="eastAsia" w:ascii="宋体" w:hAnsi="宋体" w:cs="宋体"/>
                <w:color w:val="auto"/>
                <w:sz w:val="24"/>
              </w:rPr>
              <w:t>扩建</w:t>
            </w:r>
          </w:p>
          <w:p>
            <w:pPr>
              <w:jc w:val="left"/>
              <w:rPr>
                <w:rFonts w:ascii="宋体" w:hAnsi="宋体" w:cs="宋体"/>
                <w:color w:val="auto"/>
                <w:sz w:val="24"/>
              </w:rPr>
            </w:pPr>
            <w:r>
              <w:rPr>
                <w:rFonts w:hint="eastAsia" w:ascii="宋体" w:hAnsi="宋体" w:cs="宋体"/>
                <w:color w:val="auto"/>
                <w:sz w:val="24"/>
              </w:rPr>
              <w:t>□技术改造</w:t>
            </w:r>
          </w:p>
        </w:tc>
        <w:tc>
          <w:tcPr>
            <w:tcW w:w="1843" w:type="dxa"/>
            <w:tcMar>
              <w:left w:w="17" w:type="dxa"/>
              <w:right w:w="17"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建设项目</w:t>
            </w:r>
          </w:p>
          <w:p>
            <w:pPr>
              <w:adjustRightInd w:val="0"/>
              <w:snapToGrid w:val="0"/>
              <w:jc w:val="center"/>
              <w:rPr>
                <w:rFonts w:ascii="宋体" w:hAnsi="宋体" w:cs="宋体"/>
                <w:color w:val="auto"/>
                <w:sz w:val="24"/>
              </w:rPr>
            </w:pPr>
            <w:r>
              <w:rPr>
                <w:rFonts w:hint="eastAsia" w:ascii="宋体" w:hAnsi="宋体" w:cs="宋体"/>
                <w:color w:val="auto"/>
                <w:sz w:val="24"/>
              </w:rPr>
              <w:t>申报情形</w:t>
            </w:r>
          </w:p>
        </w:tc>
        <w:tc>
          <w:tcPr>
            <w:tcW w:w="2903" w:type="dxa"/>
            <w:gridSpan w:val="2"/>
            <w:tcMar>
              <w:left w:w="17" w:type="dxa"/>
              <w:right w:w="17" w:type="dxa"/>
            </w:tcMar>
            <w:vAlign w:val="center"/>
          </w:tcPr>
          <w:p>
            <w:pPr>
              <w:jc w:val="left"/>
              <w:rPr>
                <w:rFonts w:ascii="宋体" w:hAnsi="宋体" w:cs="宋体"/>
                <w:color w:val="auto"/>
                <w:sz w:val="24"/>
              </w:rPr>
            </w:pPr>
            <w:r>
              <w:rPr>
                <w:color w:val="auto"/>
                <w:spacing w:val="12"/>
                <w:sz w:val="36"/>
                <w:szCs w:val="36"/>
              </w:rPr>
              <w:fldChar w:fldCharType="begin"/>
            </w:r>
            <w:r>
              <w:rPr>
                <w:color w:val="auto"/>
                <w:spacing w:val="12"/>
                <w:sz w:val="36"/>
                <w:szCs w:val="36"/>
              </w:rPr>
              <w:instrText xml:space="preserve"> eq \o\ac(□,</w:instrText>
            </w:r>
            <w:r>
              <w:rPr>
                <w:color w:val="auto"/>
                <w:spacing w:val="12"/>
                <w:position w:val="2"/>
                <w:sz w:val="36"/>
                <w:szCs w:val="36"/>
              </w:rPr>
              <w:instrText xml:space="preserve">√</w:instrText>
            </w:r>
            <w:r>
              <w:rPr>
                <w:color w:val="auto"/>
                <w:spacing w:val="12"/>
                <w:sz w:val="36"/>
                <w:szCs w:val="36"/>
              </w:rPr>
              <w:instrText xml:space="preserve">)</w:instrText>
            </w:r>
            <w:r>
              <w:rPr>
                <w:color w:val="auto"/>
                <w:spacing w:val="12"/>
                <w:sz w:val="36"/>
                <w:szCs w:val="36"/>
              </w:rPr>
              <w:fldChar w:fldCharType="end"/>
            </w:r>
            <w:r>
              <w:rPr>
                <w:rFonts w:hint="eastAsia" w:ascii="宋体" w:hAnsi="宋体" w:cs="宋体"/>
                <w:color w:val="auto"/>
                <w:sz w:val="24"/>
              </w:rPr>
              <w:t>首次申报项目</w:t>
            </w:r>
            <w:r>
              <w:rPr>
                <w:rFonts w:ascii="宋体" w:hAnsi="宋体" w:cs="宋体"/>
                <w:color w:val="auto"/>
                <w:sz w:val="24"/>
              </w:rPr>
              <w:t xml:space="preserve">             </w:t>
            </w:r>
          </w:p>
          <w:p>
            <w:pPr>
              <w:jc w:val="left"/>
              <w:rPr>
                <w:rFonts w:ascii="宋体" w:hAnsi="宋体" w:cs="宋体"/>
                <w:color w:val="auto"/>
                <w:sz w:val="24"/>
              </w:rPr>
            </w:pPr>
            <w:r>
              <w:rPr>
                <w:rFonts w:hint="eastAsia" w:ascii="宋体" w:hAnsi="宋体" w:cs="宋体"/>
                <w:color w:val="auto"/>
                <w:sz w:val="24"/>
              </w:rPr>
              <w:t>□不予批准后再次申报项目</w:t>
            </w:r>
          </w:p>
          <w:p>
            <w:pPr>
              <w:jc w:val="left"/>
              <w:rPr>
                <w:rFonts w:ascii="宋体" w:hAnsi="宋体" w:cs="宋体"/>
                <w:color w:val="auto"/>
                <w:sz w:val="24"/>
              </w:rPr>
            </w:pPr>
            <w:r>
              <w:rPr>
                <w:rFonts w:hint="eastAsia" w:ascii="宋体" w:hAnsi="宋体" w:cs="宋体"/>
                <w:color w:val="auto"/>
                <w:sz w:val="24"/>
              </w:rPr>
              <w:sym w:font="Wingdings 2" w:char="00A3"/>
            </w:r>
            <w:r>
              <w:rPr>
                <w:rFonts w:hint="eastAsia" w:ascii="宋体" w:hAnsi="宋体" w:cs="宋体"/>
                <w:color w:val="auto"/>
                <w:sz w:val="24"/>
              </w:rPr>
              <w:t>超五年重新审核项目</w:t>
            </w:r>
            <w:r>
              <w:rPr>
                <w:rFonts w:ascii="宋体" w:hAnsi="宋体" w:cs="宋体"/>
                <w:color w:val="auto"/>
                <w:sz w:val="24"/>
              </w:rPr>
              <w:t xml:space="preserve">     </w:t>
            </w:r>
          </w:p>
          <w:p>
            <w:pPr>
              <w:jc w:val="left"/>
              <w:rPr>
                <w:rFonts w:ascii="宋体" w:hAnsi="宋体" w:cs="宋体"/>
                <w:color w:val="auto"/>
                <w:sz w:val="24"/>
              </w:rPr>
            </w:pPr>
            <w:r>
              <w:rPr>
                <w:rFonts w:hint="eastAsia" w:ascii="宋体" w:hAnsi="宋体" w:cs="宋体"/>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856" w:type="dxa"/>
            <w:tcMar>
              <w:top w:w="16" w:type="dxa"/>
              <w:left w:w="16" w:type="dxa"/>
              <w:right w:w="16" w:type="dxa"/>
            </w:tcMar>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备案）部门（选填）</w:t>
            </w:r>
          </w:p>
        </w:tc>
        <w:tc>
          <w:tcPr>
            <w:tcW w:w="2268" w:type="dxa"/>
            <w:gridSpan w:val="2"/>
            <w:vAlign w:val="center"/>
          </w:tcPr>
          <w:p>
            <w:pPr>
              <w:adjustRightInd w:val="0"/>
              <w:snapToGrid w:val="0"/>
              <w:jc w:val="center"/>
              <w:rPr>
                <w:color w:val="auto"/>
                <w:sz w:val="24"/>
              </w:rPr>
            </w:pPr>
            <w:r>
              <w:rPr>
                <w:color w:val="auto"/>
                <w:sz w:val="24"/>
              </w:rPr>
              <w:t>渭南高新区行政审批服务局</w:t>
            </w:r>
          </w:p>
        </w:tc>
        <w:tc>
          <w:tcPr>
            <w:tcW w:w="1843" w:type="dxa"/>
            <w:vAlign w:val="center"/>
          </w:tcPr>
          <w:p>
            <w:pPr>
              <w:adjustRightInd w:val="0"/>
              <w:snapToGrid w:val="0"/>
              <w:jc w:val="center"/>
              <w:rPr>
                <w:color w:val="auto"/>
                <w:sz w:val="24"/>
              </w:rPr>
            </w:pPr>
            <w:r>
              <w:rPr>
                <w:color w:val="auto"/>
                <w:sz w:val="24"/>
              </w:rPr>
              <w:t>项目审批（核准/</w:t>
            </w:r>
          </w:p>
          <w:p>
            <w:pPr>
              <w:adjustRightInd w:val="0"/>
              <w:snapToGrid w:val="0"/>
              <w:jc w:val="center"/>
              <w:rPr>
                <w:color w:val="auto"/>
                <w:sz w:val="24"/>
              </w:rPr>
            </w:pPr>
            <w:r>
              <w:rPr>
                <w:color w:val="auto"/>
                <w:sz w:val="24"/>
              </w:rPr>
              <w:t>备案）文号（选填）</w:t>
            </w:r>
          </w:p>
        </w:tc>
        <w:tc>
          <w:tcPr>
            <w:tcW w:w="2903" w:type="dxa"/>
            <w:gridSpan w:val="2"/>
            <w:vAlign w:val="center"/>
          </w:tcPr>
          <w:p>
            <w:pPr>
              <w:adjustRightInd w:val="0"/>
              <w:snapToGrid w:val="0"/>
              <w:jc w:val="center"/>
              <w:rPr>
                <w:color w:val="auto"/>
                <w:sz w:val="24"/>
              </w:rPr>
            </w:pPr>
            <w:r>
              <w:rPr>
                <w:color w:val="auto"/>
                <w:sz w:val="24"/>
              </w:rPr>
              <w:t>2111-610563-04-01-849455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pPr>
              <w:adjustRightInd w:val="0"/>
              <w:snapToGrid w:val="0"/>
              <w:jc w:val="center"/>
              <w:rPr>
                <w:color w:val="auto"/>
                <w:sz w:val="24"/>
              </w:rPr>
            </w:pPr>
            <w:r>
              <w:rPr>
                <w:color w:val="auto"/>
                <w:sz w:val="24"/>
              </w:rPr>
              <w:t>总投资（万元）</w:t>
            </w:r>
          </w:p>
        </w:tc>
        <w:tc>
          <w:tcPr>
            <w:tcW w:w="2268" w:type="dxa"/>
            <w:gridSpan w:val="2"/>
            <w:vAlign w:val="center"/>
          </w:tcPr>
          <w:p>
            <w:pPr>
              <w:adjustRightInd w:val="0"/>
              <w:snapToGrid w:val="0"/>
              <w:jc w:val="center"/>
              <w:rPr>
                <w:color w:val="auto"/>
                <w:sz w:val="24"/>
              </w:rPr>
            </w:pPr>
            <w:r>
              <w:rPr>
                <w:rFonts w:hint="eastAsia"/>
                <w:color w:val="auto"/>
                <w:sz w:val="24"/>
              </w:rPr>
              <w:t>5780</w:t>
            </w:r>
          </w:p>
        </w:tc>
        <w:tc>
          <w:tcPr>
            <w:tcW w:w="1843" w:type="dxa"/>
            <w:tcMar>
              <w:top w:w="16" w:type="dxa"/>
              <w:left w:w="16" w:type="dxa"/>
              <w:right w:w="16" w:type="dxa"/>
            </w:tcMar>
            <w:vAlign w:val="center"/>
          </w:tcPr>
          <w:p>
            <w:pPr>
              <w:adjustRightInd w:val="0"/>
              <w:snapToGrid w:val="0"/>
              <w:jc w:val="center"/>
              <w:rPr>
                <w:color w:val="auto"/>
                <w:sz w:val="24"/>
              </w:rPr>
            </w:pPr>
            <w:r>
              <w:rPr>
                <w:color w:val="auto"/>
                <w:sz w:val="24"/>
              </w:rPr>
              <w:t>环保投资（万元）</w:t>
            </w:r>
          </w:p>
        </w:tc>
        <w:tc>
          <w:tcPr>
            <w:tcW w:w="2903" w:type="dxa"/>
            <w:gridSpan w:val="2"/>
            <w:vAlign w:val="center"/>
          </w:tcPr>
          <w:p>
            <w:pPr>
              <w:adjustRightInd w:val="0"/>
              <w:snapToGrid w:val="0"/>
              <w:jc w:val="center"/>
              <w:rPr>
                <w:color w:val="auto"/>
                <w:sz w:val="24"/>
              </w:rPr>
            </w:pPr>
            <w:r>
              <w:rPr>
                <w:rFonts w:hint="eastAsia"/>
                <w:color w:val="auto"/>
                <w:sz w:val="24"/>
              </w:rPr>
              <w:t>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pPr>
              <w:adjustRightInd w:val="0"/>
              <w:snapToGrid w:val="0"/>
              <w:jc w:val="center"/>
              <w:rPr>
                <w:color w:val="auto"/>
                <w:sz w:val="24"/>
              </w:rPr>
            </w:pPr>
            <w:r>
              <w:rPr>
                <w:color w:val="auto"/>
                <w:sz w:val="24"/>
              </w:rPr>
              <w:t>环保投资占比（%）</w:t>
            </w:r>
          </w:p>
        </w:tc>
        <w:tc>
          <w:tcPr>
            <w:tcW w:w="2268" w:type="dxa"/>
            <w:gridSpan w:val="2"/>
            <w:vAlign w:val="center"/>
          </w:tcPr>
          <w:p>
            <w:pPr>
              <w:adjustRightInd w:val="0"/>
              <w:snapToGrid w:val="0"/>
              <w:jc w:val="center"/>
              <w:rPr>
                <w:color w:val="auto"/>
                <w:sz w:val="24"/>
              </w:rPr>
            </w:pPr>
            <w:r>
              <w:rPr>
                <w:rFonts w:hint="eastAsia"/>
                <w:color w:val="auto"/>
                <w:sz w:val="24"/>
              </w:rPr>
              <w:t>0.5</w:t>
            </w:r>
          </w:p>
        </w:tc>
        <w:tc>
          <w:tcPr>
            <w:tcW w:w="1843" w:type="dxa"/>
            <w:tcMar>
              <w:top w:w="16" w:type="dxa"/>
              <w:left w:w="16" w:type="dxa"/>
              <w:right w:w="16" w:type="dxa"/>
            </w:tcMar>
            <w:vAlign w:val="center"/>
          </w:tcPr>
          <w:p>
            <w:pPr>
              <w:adjustRightInd w:val="0"/>
              <w:snapToGrid w:val="0"/>
              <w:jc w:val="center"/>
              <w:rPr>
                <w:color w:val="auto"/>
                <w:sz w:val="24"/>
              </w:rPr>
            </w:pPr>
            <w:r>
              <w:rPr>
                <w:color w:val="auto"/>
                <w:sz w:val="24"/>
              </w:rPr>
              <w:t>施工工期</w:t>
            </w:r>
          </w:p>
        </w:tc>
        <w:tc>
          <w:tcPr>
            <w:tcW w:w="2903" w:type="dxa"/>
            <w:gridSpan w:val="2"/>
            <w:vAlign w:val="center"/>
          </w:tcPr>
          <w:p>
            <w:pPr>
              <w:adjustRightInd w:val="0"/>
              <w:snapToGrid w:val="0"/>
              <w:jc w:val="center"/>
              <w:rPr>
                <w:color w:val="auto"/>
                <w:sz w:val="24"/>
              </w:rPr>
            </w:pPr>
            <w:r>
              <w:rPr>
                <w:rFonts w:hint="eastAsia"/>
                <w:color w:val="auto"/>
                <w:sz w:val="24"/>
              </w:rPr>
              <w:t>8个月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856" w:type="dxa"/>
            <w:tcMar>
              <w:top w:w="16" w:type="dxa"/>
              <w:left w:w="16" w:type="dxa"/>
              <w:right w:w="16" w:type="dxa"/>
            </w:tcMar>
            <w:vAlign w:val="center"/>
          </w:tcPr>
          <w:p>
            <w:pPr>
              <w:adjustRightInd w:val="0"/>
              <w:snapToGrid w:val="0"/>
              <w:jc w:val="center"/>
              <w:rPr>
                <w:color w:val="auto"/>
                <w:sz w:val="24"/>
              </w:rPr>
            </w:pPr>
            <w:r>
              <w:rPr>
                <w:color w:val="auto"/>
                <w:sz w:val="24"/>
              </w:rPr>
              <w:t>是否开工建设</w:t>
            </w:r>
          </w:p>
        </w:tc>
        <w:tc>
          <w:tcPr>
            <w:tcW w:w="2268" w:type="dxa"/>
            <w:gridSpan w:val="2"/>
            <w:vAlign w:val="center"/>
          </w:tcPr>
          <w:p>
            <w:pPr>
              <w:adjustRightInd w:val="0"/>
              <w:snapToGrid w:val="0"/>
              <w:rPr>
                <w:color w:val="auto"/>
                <w:sz w:val="24"/>
              </w:rPr>
            </w:pPr>
            <w:r>
              <w:rPr>
                <w:color w:val="auto"/>
                <w:spacing w:val="12"/>
                <w:sz w:val="36"/>
                <w:szCs w:val="36"/>
              </w:rPr>
              <w:fldChar w:fldCharType="begin"/>
            </w:r>
            <w:r>
              <w:rPr>
                <w:color w:val="auto"/>
                <w:spacing w:val="12"/>
                <w:sz w:val="36"/>
                <w:szCs w:val="36"/>
              </w:rPr>
              <w:instrText xml:space="preserve"> eq \o\ac(□,</w:instrText>
            </w:r>
            <w:r>
              <w:rPr>
                <w:color w:val="auto"/>
                <w:spacing w:val="12"/>
                <w:position w:val="2"/>
                <w:sz w:val="36"/>
                <w:szCs w:val="36"/>
              </w:rPr>
              <w:instrText xml:space="preserve">√</w:instrText>
            </w:r>
            <w:r>
              <w:rPr>
                <w:color w:val="auto"/>
                <w:spacing w:val="12"/>
                <w:sz w:val="36"/>
                <w:szCs w:val="36"/>
              </w:rPr>
              <w:instrText xml:space="preserve">)</w:instrText>
            </w:r>
            <w:r>
              <w:rPr>
                <w:color w:val="auto"/>
                <w:spacing w:val="12"/>
                <w:sz w:val="36"/>
                <w:szCs w:val="36"/>
              </w:rPr>
              <w:fldChar w:fldCharType="end"/>
            </w:r>
            <w:r>
              <w:rPr>
                <w:color w:val="auto"/>
                <w:sz w:val="24"/>
              </w:rPr>
              <w:t>否</w:t>
            </w:r>
          </w:p>
          <w:p>
            <w:pPr>
              <w:adjustRightInd w:val="0"/>
              <w:snapToGrid w:val="0"/>
              <w:rPr>
                <w:color w:val="auto"/>
                <w:sz w:val="24"/>
              </w:rPr>
            </w:pPr>
            <w:r>
              <w:rPr>
                <w:color w:val="auto"/>
                <w:sz w:val="24"/>
              </w:rPr>
              <w:sym w:font="Wingdings 2" w:char="00A3"/>
            </w:r>
            <w:r>
              <w:rPr>
                <w:color w:val="auto"/>
                <w:sz w:val="24"/>
              </w:rPr>
              <w:t>是：</w:t>
            </w:r>
            <w:r>
              <w:rPr>
                <w:color w:val="auto"/>
                <w:sz w:val="24"/>
                <w:u w:val="single"/>
              </w:rPr>
              <w:t xml:space="preserve">             </w:t>
            </w:r>
          </w:p>
        </w:tc>
        <w:tc>
          <w:tcPr>
            <w:tcW w:w="1843" w:type="dxa"/>
            <w:tcMar>
              <w:top w:w="16" w:type="dxa"/>
              <w:left w:w="16" w:type="dxa"/>
              <w:right w:w="16" w:type="dxa"/>
            </w:tcMar>
            <w:vAlign w:val="center"/>
          </w:tcPr>
          <w:p>
            <w:pPr>
              <w:adjustRightInd w:val="0"/>
              <w:snapToGrid w:val="0"/>
              <w:jc w:val="center"/>
              <w:rPr>
                <w:color w:val="auto"/>
                <w:spacing w:val="-6"/>
                <w:sz w:val="24"/>
              </w:rPr>
            </w:pPr>
            <w:r>
              <w:rPr>
                <w:color w:val="auto"/>
                <w:spacing w:val="-6"/>
                <w:sz w:val="24"/>
              </w:rPr>
              <w:t>用地（用海）</w:t>
            </w:r>
          </w:p>
          <w:p>
            <w:pPr>
              <w:adjustRightInd w:val="0"/>
              <w:snapToGrid w:val="0"/>
              <w:jc w:val="center"/>
              <w:rPr>
                <w:color w:val="auto"/>
                <w:sz w:val="24"/>
              </w:rPr>
            </w:pPr>
            <w:r>
              <w:rPr>
                <w:color w:val="auto"/>
                <w:spacing w:val="-6"/>
                <w:sz w:val="24"/>
              </w:rPr>
              <w:t>面积（m</w:t>
            </w:r>
            <w:r>
              <w:rPr>
                <w:color w:val="auto"/>
                <w:spacing w:val="-6"/>
                <w:sz w:val="24"/>
                <w:vertAlign w:val="superscript"/>
              </w:rPr>
              <w:t>2</w:t>
            </w:r>
            <w:r>
              <w:rPr>
                <w:color w:val="auto"/>
                <w:spacing w:val="-6"/>
                <w:sz w:val="24"/>
              </w:rPr>
              <w:t>）</w:t>
            </w:r>
          </w:p>
        </w:tc>
        <w:tc>
          <w:tcPr>
            <w:tcW w:w="2903" w:type="dxa"/>
            <w:gridSpan w:val="2"/>
            <w:vAlign w:val="center"/>
          </w:tcPr>
          <w:p>
            <w:pPr>
              <w:adjustRightInd w:val="0"/>
              <w:snapToGrid w:val="0"/>
              <w:jc w:val="center"/>
              <w:rPr>
                <w:color w:val="auto"/>
                <w:sz w:val="24"/>
              </w:rPr>
            </w:pPr>
            <w:r>
              <w:rPr>
                <w:color w:val="auto"/>
                <w:sz w:val="24"/>
              </w:rPr>
              <w:t>5085.91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6" w:type="dxa"/>
            <w:vAlign w:val="center"/>
          </w:tcPr>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kern w:val="0"/>
                <w:sz w:val="24"/>
              </w:rPr>
              <w:t>专项评价设置情况</w:t>
            </w:r>
          </w:p>
        </w:tc>
        <w:tc>
          <w:tcPr>
            <w:tcW w:w="7014" w:type="dxa"/>
            <w:gridSpan w:val="5"/>
            <w:vAlign w:val="center"/>
          </w:tcPr>
          <w:p>
            <w:pPr>
              <w:autoSpaceDE w:val="0"/>
              <w:autoSpaceDN w:val="0"/>
              <w:adjustRightInd w:val="0"/>
              <w:snapToGrid w:val="0"/>
              <w:spacing w:line="360" w:lineRule="auto"/>
              <w:ind w:firstLine="480" w:firstLineChars="200"/>
              <w:jc w:val="center"/>
              <w:rPr>
                <w:rFonts w:ascii="宋体" w:hAnsi="宋体" w:cs="宋体"/>
                <w:color w:val="auto"/>
                <w:kern w:val="0"/>
                <w:sz w:val="24"/>
              </w:rPr>
            </w:pPr>
            <w:r>
              <w:rPr>
                <w:rFonts w:hint="eastAsia" w:ascii="宋体" w:hAnsi="宋体" w:cs="宋体"/>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56" w:type="dxa"/>
            <w:vAlign w:val="center"/>
          </w:tcPr>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sz w:val="24"/>
              </w:rPr>
              <w:t>规划情况</w:t>
            </w:r>
          </w:p>
        </w:tc>
        <w:tc>
          <w:tcPr>
            <w:tcW w:w="7014" w:type="dxa"/>
            <w:gridSpan w:val="5"/>
            <w:vAlign w:val="center"/>
          </w:tcPr>
          <w:p>
            <w:pPr>
              <w:snapToGrid w:val="0"/>
              <w:ind w:firstLine="480" w:firstLineChars="200"/>
              <w:jc w:val="left"/>
              <w:rPr>
                <w:color w:val="auto"/>
                <w:kern w:val="0"/>
                <w:sz w:val="24"/>
              </w:rPr>
            </w:pPr>
            <w:r>
              <w:rPr>
                <w:rFonts w:hint="eastAsia"/>
                <w:color w:val="auto"/>
                <w:kern w:val="0"/>
                <w:sz w:val="24"/>
              </w:rPr>
              <w:t>项目拟建地位于渭南国家高新技术产业开发区，前身是陕西省人民政府1988年批准设立的渭南经济开发区，于1988年取得《渭南市人民政府关于渭南市渭南经济开发区分区规划的批复》（渭政函[1998]20号）；1992年经省政府批准为渭南高新技术产业开发试验区，规划于2006年取得《渭南市人民政府关于渭南高新技术产业开发试验区中西部控制性详细规划的批复》（渭政函[2006]49号）；2010年9月26日经国务院批准，国务院批复同意升级为国家级高新技术产业开发区，实行现行的国家高新技术产业开发区政策，渭南国家高新技术产业开发区被正式授牌，命名沿用至今（简称渭南高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6"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规划环境影响</w:t>
            </w:r>
          </w:p>
          <w:p>
            <w:pPr>
              <w:adjustRightInd w:val="0"/>
              <w:snapToGrid w:val="0"/>
              <w:jc w:val="center"/>
              <w:rPr>
                <w:rFonts w:ascii="宋体" w:hAnsi="宋体" w:cs="宋体"/>
                <w:color w:val="auto"/>
                <w:kern w:val="0"/>
                <w:sz w:val="24"/>
              </w:rPr>
            </w:pPr>
            <w:r>
              <w:rPr>
                <w:rFonts w:hint="eastAsia" w:ascii="宋体" w:hAnsi="宋体" w:cs="宋体"/>
                <w:color w:val="auto"/>
                <w:sz w:val="24"/>
              </w:rPr>
              <w:t>评价情况</w:t>
            </w:r>
          </w:p>
        </w:tc>
        <w:tc>
          <w:tcPr>
            <w:tcW w:w="7014" w:type="dxa"/>
            <w:gridSpan w:val="5"/>
            <w:vAlign w:val="center"/>
          </w:tcPr>
          <w:p>
            <w:pPr>
              <w:adjustRightInd w:val="0"/>
              <w:snapToGrid w:val="0"/>
              <w:ind w:firstLine="480" w:firstLineChars="200"/>
              <w:rPr>
                <w:color w:val="auto"/>
                <w:sz w:val="24"/>
              </w:rPr>
            </w:pPr>
            <w:r>
              <w:rPr>
                <w:rFonts w:hint="eastAsia"/>
                <w:color w:val="auto"/>
                <w:sz w:val="24"/>
              </w:rPr>
              <w:t>渭南高新技术产业开发试验区已于2009年完成环境影响评价，编制完成《渭南高新技术产业开发试验区规划环境影响报告书》；并取得《渭南市环境保护局关于渭南高新技术产业开发试验区规划环境影响报告书的审查意见》（渭环审发[2009]25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856" w:type="dxa"/>
            <w:vAlign w:val="center"/>
          </w:tcPr>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kern w:val="0"/>
                <w:sz w:val="24"/>
              </w:rPr>
              <w:t>规划及规划环境</w:t>
            </w:r>
          </w:p>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kern w:val="0"/>
                <w:sz w:val="24"/>
              </w:rPr>
              <w:t>影响评价符合性分析</w:t>
            </w:r>
          </w:p>
        </w:tc>
        <w:tc>
          <w:tcPr>
            <w:tcW w:w="7014" w:type="dxa"/>
            <w:gridSpan w:val="5"/>
            <w:vAlign w:val="center"/>
          </w:tcPr>
          <w:p>
            <w:pPr>
              <w:autoSpaceDE w:val="0"/>
              <w:autoSpaceDN w:val="0"/>
              <w:adjustRightInd w:val="0"/>
              <w:snapToGrid w:val="0"/>
              <w:spacing w:line="360" w:lineRule="auto"/>
              <w:ind w:firstLine="480" w:firstLineChars="200"/>
              <w:rPr>
                <w:color w:val="auto"/>
                <w:kern w:val="0"/>
                <w:sz w:val="24"/>
              </w:rPr>
            </w:pPr>
            <w:r>
              <w:rPr>
                <w:rFonts w:hint="eastAsia"/>
                <w:color w:val="auto"/>
                <w:kern w:val="0"/>
                <w:sz w:val="24"/>
              </w:rPr>
              <w:t>1、本项目与规划的符合性分析</w:t>
            </w:r>
          </w:p>
          <w:p>
            <w:pPr>
              <w:autoSpaceDE w:val="0"/>
              <w:autoSpaceDN w:val="0"/>
              <w:adjustRightInd w:val="0"/>
              <w:snapToGrid w:val="0"/>
              <w:spacing w:line="360" w:lineRule="auto"/>
              <w:ind w:firstLine="480" w:firstLineChars="200"/>
              <w:rPr>
                <w:color w:val="auto"/>
                <w:kern w:val="0"/>
                <w:sz w:val="24"/>
              </w:rPr>
            </w:pPr>
            <w:r>
              <w:rPr>
                <w:rFonts w:hint="eastAsia"/>
                <w:color w:val="auto"/>
                <w:kern w:val="0"/>
                <w:sz w:val="24"/>
              </w:rPr>
              <w:t>项目与《渭南高新技术产业开发试验区中西部控制性详细规划》符合性分析情况见表1-1</w:t>
            </w:r>
            <w:r>
              <w:rPr>
                <w:color w:val="auto"/>
                <w:kern w:val="0"/>
                <w:sz w:val="24"/>
              </w:rPr>
              <w:t>。</w:t>
            </w:r>
          </w:p>
          <w:p>
            <w:pPr>
              <w:snapToGrid w:val="0"/>
              <w:jc w:val="center"/>
              <w:rPr>
                <w:b/>
                <w:color w:val="auto"/>
                <w:sz w:val="24"/>
                <w:szCs w:val="20"/>
              </w:rPr>
            </w:pPr>
            <w:r>
              <w:rPr>
                <w:rFonts w:hint="eastAsia"/>
                <w:b/>
                <w:color w:val="auto"/>
                <w:sz w:val="24"/>
                <w:szCs w:val="20"/>
              </w:rPr>
              <w:t>表1-1   与相关规划相符性分析</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28" w:type="dxa"/>
                <w:bottom w:w="0" w:type="dxa"/>
                <w:right w:w="28" w:type="dxa"/>
              </w:tblCellMar>
            </w:tblPr>
            <w:tblGrid>
              <w:gridCol w:w="1034"/>
              <w:gridCol w:w="2671"/>
              <w:gridCol w:w="2202"/>
              <w:gridCol w:w="86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369" w:hRule="atLeast"/>
                <w:jc w:val="center"/>
              </w:trPr>
              <w:tc>
                <w:tcPr>
                  <w:tcW w:w="764" w:type="pct"/>
                  <w:tcBorders>
                    <w:top w:val="single" w:color="auto" w:sz="12" w:space="0"/>
                    <w:left w:val="single" w:color="auto" w:sz="12" w:space="0"/>
                  </w:tcBorders>
                  <w:tcMar>
                    <w:left w:w="28" w:type="dxa"/>
                    <w:right w:w="28" w:type="dxa"/>
                  </w:tcMar>
                  <w:vAlign w:val="center"/>
                </w:tcPr>
                <w:p>
                  <w:pPr>
                    <w:spacing w:line="240" w:lineRule="exact"/>
                    <w:jc w:val="center"/>
                    <w:rPr>
                      <w:color w:val="auto"/>
                      <w:szCs w:val="21"/>
                    </w:rPr>
                  </w:pPr>
                  <w:r>
                    <w:rPr>
                      <w:rFonts w:hint="eastAsia" w:hAnsi="宋体"/>
                      <w:color w:val="auto"/>
                      <w:szCs w:val="21"/>
                    </w:rPr>
                    <w:t>类别</w:t>
                  </w:r>
                </w:p>
              </w:tc>
              <w:tc>
                <w:tcPr>
                  <w:tcW w:w="1973" w:type="pct"/>
                  <w:tcBorders>
                    <w:top w:val="single" w:color="auto" w:sz="12" w:space="0"/>
                  </w:tcBorders>
                  <w:tcMar>
                    <w:left w:w="28" w:type="dxa"/>
                    <w:right w:w="28" w:type="dxa"/>
                  </w:tcMar>
                  <w:vAlign w:val="center"/>
                </w:tcPr>
                <w:p>
                  <w:pPr>
                    <w:spacing w:line="240" w:lineRule="exact"/>
                    <w:jc w:val="center"/>
                    <w:rPr>
                      <w:color w:val="auto"/>
                      <w:szCs w:val="21"/>
                    </w:rPr>
                  </w:pPr>
                  <w:r>
                    <w:rPr>
                      <w:rFonts w:hAnsi="宋体"/>
                      <w:color w:val="auto"/>
                      <w:szCs w:val="21"/>
                    </w:rPr>
                    <w:t>规划内容</w:t>
                  </w:r>
                </w:p>
              </w:tc>
              <w:tc>
                <w:tcPr>
                  <w:tcW w:w="1627" w:type="pct"/>
                  <w:tcBorders>
                    <w:top w:val="single" w:color="auto" w:sz="12" w:space="0"/>
                  </w:tcBorders>
                  <w:tcMar>
                    <w:left w:w="28" w:type="dxa"/>
                    <w:right w:w="28" w:type="dxa"/>
                  </w:tcMar>
                  <w:vAlign w:val="center"/>
                </w:tcPr>
                <w:p>
                  <w:pPr>
                    <w:spacing w:line="240" w:lineRule="exact"/>
                    <w:jc w:val="center"/>
                    <w:rPr>
                      <w:color w:val="auto"/>
                      <w:szCs w:val="21"/>
                    </w:rPr>
                  </w:pPr>
                  <w:r>
                    <w:rPr>
                      <w:rFonts w:hAnsi="宋体"/>
                      <w:color w:val="auto"/>
                      <w:szCs w:val="21"/>
                    </w:rPr>
                    <w:t>本项目情况</w:t>
                  </w:r>
                </w:p>
              </w:tc>
              <w:tc>
                <w:tcPr>
                  <w:tcW w:w="637" w:type="pct"/>
                  <w:tcBorders>
                    <w:top w:val="single" w:color="auto" w:sz="12" w:space="0"/>
                    <w:right w:val="single" w:color="auto" w:sz="12" w:space="0"/>
                  </w:tcBorders>
                  <w:tcMar>
                    <w:left w:w="28" w:type="dxa"/>
                    <w:right w:w="28" w:type="dxa"/>
                  </w:tcMar>
                  <w:vAlign w:val="center"/>
                </w:tcPr>
                <w:p>
                  <w:pPr>
                    <w:spacing w:line="240" w:lineRule="exact"/>
                    <w:jc w:val="center"/>
                    <w:rPr>
                      <w:color w:val="auto"/>
                      <w:szCs w:val="21"/>
                    </w:rPr>
                  </w:pPr>
                  <w:r>
                    <w:rPr>
                      <w:rFonts w:hAnsi="宋体"/>
                      <w:color w:val="auto"/>
                      <w:szCs w:val="21"/>
                    </w:rPr>
                    <w:t>符合性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827" w:hRule="atLeast"/>
                <w:jc w:val="center"/>
              </w:trPr>
              <w:tc>
                <w:tcPr>
                  <w:tcW w:w="764" w:type="pct"/>
                  <w:tcBorders>
                    <w:left w:val="single" w:color="auto" w:sz="12" w:space="0"/>
                  </w:tcBorders>
                  <w:tcMar>
                    <w:left w:w="28" w:type="dxa"/>
                    <w:right w:w="28" w:type="dxa"/>
                  </w:tcMar>
                  <w:vAlign w:val="center"/>
                </w:tcPr>
                <w:p>
                  <w:pPr>
                    <w:jc w:val="center"/>
                    <w:rPr>
                      <w:color w:val="auto"/>
                      <w:szCs w:val="21"/>
                    </w:rPr>
                  </w:pPr>
                  <w:r>
                    <w:rPr>
                      <w:rFonts w:hint="eastAsia"/>
                      <w:color w:val="auto"/>
                      <w:szCs w:val="21"/>
                    </w:rPr>
                    <w:t>用地范围</w:t>
                  </w:r>
                </w:p>
              </w:tc>
              <w:tc>
                <w:tcPr>
                  <w:tcW w:w="1973" w:type="pct"/>
                  <w:tcMar>
                    <w:left w:w="28" w:type="dxa"/>
                    <w:right w:w="28" w:type="dxa"/>
                  </w:tcMar>
                  <w:vAlign w:val="center"/>
                </w:tcPr>
                <w:p>
                  <w:pPr>
                    <w:jc w:val="left"/>
                    <w:rPr>
                      <w:bCs/>
                      <w:color w:val="auto"/>
                      <w:szCs w:val="21"/>
                    </w:rPr>
                  </w:pPr>
                  <w:r>
                    <w:rPr>
                      <w:rFonts w:hint="eastAsia"/>
                      <w:bCs/>
                      <w:color w:val="auto"/>
                      <w:szCs w:val="21"/>
                    </w:rPr>
                    <w:t>渭南高新区规划范围，东起</w:t>
                  </w:r>
                </w:p>
                <w:p>
                  <w:pPr>
                    <w:jc w:val="left"/>
                    <w:rPr>
                      <w:bCs/>
                      <w:color w:val="auto"/>
                      <w:szCs w:val="21"/>
                    </w:rPr>
                  </w:pPr>
                  <w:r>
                    <w:rPr>
                      <w:rFonts w:hint="eastAsia"/>
                      <w:bCs/>
                      <w:color w:val="auto"/>
                      <w:szCs w:val="21"/>
                    </w:rPr>
                    <w:t>渭清路，西到渭南市西环路，</w:t>
                  </w:r>
                </w:p>
                <w:p>
                  <w:pPr>
                    <w:jc w:val="left"/>
                    <w:rPr>
                      <w:bCs/>
                      <w:color w:val="auto"/>
                      <w:szCs w:val="21"/>
                    </w:rPr>
                  </w:pPr>
                  <w:r>
                    <w:rPr>
                      <w:rFonts w:hint="eastAsia"/>
                      <w:bCs/>
                      <w:color w:val="auto"/>
                      <w:szCs w:val="21"/>
                    </w:rPr>
                    <w:t>南起华山大街，北到乐天大</w:t>
                  </w:r>
                </w:p>
                <w:p>
                  <w:pPr>
                    <w:jc w:val="left"/>
                    <w:rPr>
                      <w:bCs/>
                      <w:color w:val="auto"/>
                      <w:szCs w:val="21"/>
                    </w:rPr>
                  </w:pPr>
                  <w:r>
                    <w:rPr>
                      <w:rFonts w:hint="eastAsia"/>
                      <w:bCs/>
                      <w:color w:val="auto"/>
                      <w:szCs w:val="21"/>
                    </w:rPr>
                    <w:t>街。</w:t>
                  </w:r>
                </w:p>
              </w:tc>
              <w:tc>
                <w:tcPr>
                  <w:tcW w:w="1627" w:type="pct"/>
                  <w:tcMar>
                    <w:left w:w="28" w:type="dxa"/>
                    <w:right w:w="28" w:type="dxa"/>
                  </w:tcMar>
                  <w:vAlign w:val="center"/>
                </w:tcPr>
                <w:p>
                  <w:pPr>
                    <w:rPr>
                      <w:color w:val="auto"/>
                      <w:szCs w:val="21"/>
                    </w:rPr>
                  </w:pPr>
                  <w:r>
                    <w:rPr>
                      <w:rFonts w:hint="eastAsia"/>
                      <w:color w:val="auto"/>
                      <w:szCs w:val="21"/>
                    </w:rPr>
                    <w:t>本项目位于渭南市高新技术产业开发区光华路以西，位于高新区范围内。</w:t>
                  </w:r>
                </w:p>
              </w:tc>
              <w:tc>
                <w:tcPr>
                  <w:tcW w:w="637" w:type="pct"/>
                  <w:tcBorders>
                    <w:right w:val="single" w:color="auto" w:sz="12" w:space="0"/>
                  </w:tcBorders>
                  <w:tcMar>
                    <w:left w:w="28" w:type="dxa"/>
                    <w:right w:w="28" w:type="dxa"/>
                  </w:tcMar>
                  <w:vAlign w:val="center"/>
                </w:tcPr>
                <w:p>
                  <w:pPr>
                    <w:spacing w:line="240" w:lineRule="exact"/>
                    <w:jc w:val="center"/>
                    <w:rPr>
                      <w:rFonts w:hAnsi="宋体"/>
                      <w:color w:val="auto"/>
                      <w:szCs w:val="21"/>
                    </w:rPr>
                  </w:pPr>
                  <w:r>
                    <w:rPr>
                      <w:rFonts w:hint="eastAsia" w:hAnsi="宋体"/>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827" w:hRule="atLeast"/>
                <w:jc w:val="center"/>
              </w:trPr>
              <w:tc>
                <w:tcPr>
                  <w:tcW w:w="764" w:type="pct"/>
                  <w:tcBorders>
                    <w:left w:val="single" w:color="auto" w:sz="12" w:space="0"/>
                  </w:tcBorders>
                  <w:tcMar>
                    <w:left w:w="28" w:type="dxa"/>
                    <w:right w:w="28" w:type="dxa"/>
                  </w:tcMar>
                  <w:vAlign w:val="center"/>
                </w:tcPr>
                <w:p>
                  <w:pPr>
                    <w:jc w:val="center"/>
                    <w:rPr>
                      <w:color w:val="auto"/>
                      <w:szCs w:val="21"/>
                    </w:rPr>
                  </w:pPr>
                  <w:r>
                    <w:rPr>
                      <w:rFonts w:hint="eastAsia"/>
                      <w:color w:val="auto"/>
                      <w:szCs w:val="21"/>
                    </w:rPr>
                    <w:t>用地性质</w:t>
                  </w:r>
                </w:p>
              </w:tc>
              <w:tc>
                <w:tcPr>
                  <w:tcW w:w="1973" w:type="pct"/>
                  <w:tcMar>
                    <w:left w:w="28" w:type="dxa"/>
                    <w:right w:w="28" w:type="dxa"/>
                  </w:tcMar>
                  <w:vAlign w:val="center"/>
                </w:tcPr>
                <w:p>
                  <w:pPr>
                    <w:jc w:val="left"/>
                    <w:rPr>
                      <w:bCs/>
                      <w:color w:val="auto"/>
                      <w:szCs w:val="21"/>
                      <w:shd w:val="clear" w:color="auto" w:fill="FFFFFF"/>
                    </w:rPr>
                  </w:pPr>
                  <w:r>
                    <w:rPr>
                      <w:rFonts w:hint="eastAsia"/>
                      <w:bCs/>
                      <w:color w:val="auto"/>
                      <w:szCs w:val="21"/>
                    </w:rPr>
                    <w:t>东风大街以南，新盛路以西为工业区。沿东风大街主要为高新工业园区及一类工业用地，由东风大街向南依次布置为二类工业、三类工业用地。</w:t>
                  </w:r>
                </w:p>
              </w:tc>
              <w:tc>
                <w:tcPr>
                  <w:tcW w:w="1627" w:type="pct"/>
                  <w:tcMar>
                    <w:left w:w="28" w:type="dxa"/>
                    <w:right w:w="28" w:type="dxa"/>
                  </w:tcMar>
                  <w:vAlign w:val="center"/>
                </w:tcPr>
                <w:p>
                  <w:pPr>
                    <w:rPr>
                      <w:color w:val="auto"/>
                      <w:kern w:val="0"/>
                      <w:szCs w:val="21"/>
                    </w:rPr>
                  </w:pPr>
                  <w:r>
                    <w:rPr>
                      <w:rFonts w:hint="eastAsia"/>
                      <w:color w:val="auto"/>
                      <w:kern w:val="0"/>
                      <w:szCs w:val="21"/>
                    </w:rPr>
                    <w:t>本项目位于渭南市高新技术产业开发区渭南陕煤启辰科技有限公司现有厂区预留工业用地，不新增占地。</w:t>
                  </w:r>
                </w:p>
              </w:tc>
              <w:tc>
                <w:tcPr>
                  <w:tcW w:w="637" w:type="pct"/>
                  <w:tcBorders>
                    <w:right w:val="single" w:color="auto" w:sz="12" w:space="0"/>
                  </w:tcBorders>
                  <w:tcMar>
                    <w:left w:w="28" w:type="dxa"/>
                    <w:right w:w="28" w:type="dxa"/>
                  </w:tcMar>
                  <w:vAlign w:val="center"/>
                </w:tcPr>
                <w:p>
                  <w:pPr>
                    <w:spacing w:line="240" w:lineRule="exact"/>
                    <w:jc w:val="center"/>
                    <w:rPr>
                      <w:color w:val="auto"/>
                      <w:szCs w:val="21"/>
                    </w:rPr>
                  </w:pPr>
                  <w:r>
                    <w:rPr>
                      <w:rFonts w:hint="eastAsia"/>
                      <w:color w:val="auto"/>
                      <w:szCs w:val="21"/>
                    </w:rPr>
                    <w:t>符合</w:t>
                  </w:r>
                </w:p>
              </w:tc>
            </w:tr>
          </w:tbl>
          <w:p>
            <w:pPr>
              <w:autoSpaceDE w:val="0"/>
              <w:autoSpaceDN w:val="0"/>
              <w:adjustRightInd w:val="0"/>
              <w:snapToGrid w:val="0"/>
              <w:spacing w:before="120" w:beforeLines="50" w:line="360" w:lineRule="auto"/>
              <w:ind w:firstLine="480" w:firstLineChars="200"/>
              <w:rPr>
                <w:color w:val="auto"/>
                <w:kern w:val="0"/>
                <w:sz w:val="24"/>
              </w:rPr>
            </w:pPr>
            <w:r>
              <w:rPr>
                <w:rFonts w:hint="eastAsia"/>
                <w:color w:val="auto"/>
                <w:kern w:val="0"/>
                <w:sz w:val="24"/>
              </w:rPr>
              <w:t>综上所述，项目符合《渭南高新技术产业开发试验区中西部控制性详细规划》相关要求。</w:t>
            </w:r>
          </w:p>
          <w:p>
            <w:pPr>
              <w:autoSpaceDE w:val="0"/>
              <w:autoSpaceDN w:val="0"/>
              <w:adjustRightInd w:val="0"/>
              <w:snapToGrid w:val="0"/>
              <w:spacing w:line="360" w:lineRule="auto"/>
              <w:ind w:firstLine="480" w:firstLineChars="200"/>
              <w:rPr>
                <w:color w:val="auto"/>
                <w:kern w:val="0"/>
                <w:sz w:val="24"/>
              </w:rPr>
            </w:pPr>
            <w:r>
              <w:rPr>
                <w:rFonts w:hint="eastAsia"/>
                <w:color w:val="auto"/>
                <w:kern w:val="0"/>
                <w:sz w:val="24"/>
              </w:rPr>
              <w:t>2、本项目与</w:t>
            </w:r>
            <w:r>
              <w:rPr>
                <w:color w:val="auto"/>
                <w:kern w:val="0"/>
                <w:sz w:val="24"/>
              </w:rPr>
              <w:t>规划环境影响评价符合性分析</w:t>
            </w:r>
          </w:p>
          <w:p>
            <w:pPr>
              <w:autoSpaceDE w:val="0"/>
              <w:autoSpaceDN w:val="0"/>
              <w:adjustRightInd w:val="0"/>
              <w:snapToGrid w:val="0"/>
              <w:spacing w:line="360" w:lineRule="auto"/>
              <w:ind w:firstLine="480" w:firstLineChars="200"/>
              <w:rPr>
                <w:color w:val="auto"/>
                <w:kern w:val="0"/>
                <w:sz w:val="24"/>
              </w:rPr>
            </w:pPr>
            <w:r>
              <w:rPr>
                <w:rFonts w:hint="eastAsia"/>
                <w:color w:val="auto"/>
                <w:kern w:val="0"/>
                <w:sz w:val="24"/>
              </w:rPr>
              <w:t>具体分析情况见表1-2</w:t>
            </w:r>
            <w:r>
              <w:rPr>
                <w:color w:val="auto"/>
                <w:kern w:val="0"/>
                <w:sz w:val="24"/>
              </w:rPr>
              <w:t>。</w:t>
            </w:r>
          </w:p>
          <w:p>
            <w:pPr>
              <w:snapToGrid w:val="0"/>
              <w:jc w:val="center"/>
              <w:rPr>
                <w:b/>
                <w:color w:val="auto"/>
                <w:sz w:val="24"/>
                <w:szCs w:val="20"/>
              </w:rPr>
            </w:pPr>
            <w:r>
              <w:rPr>
                <w:b/>
                <w:color w:val="auto"/>
                <w:sz w:val="24"/>
                <w:szCs w:val="20"/>
              </w:rPr>
              <w:t>表1-</w:t>
            </w:r>
            <w:r>
              <w:rPr>
                <w:rFonts w:hint="eastAsia"/>
                <w:b/>
                <w:color w:val="auto"/>
                <w:sz w:val="24"/>
                <w:szCs w:val="20"/>
              </w:rPr>
              <w:t xml:space="preserve">2 </w:t>
            </w:r>
            <w:r>
              <w:rPr>
                <w:b/>
                <w:color w:val="auto"/>
                <w:sz w:val="24"/>
                <w:szCs w:val="20"/>
              </w:rPr>
              <w:t xml:space="preserve">  </w:t>
            </w:r>
            <w:r>
              <w:rPr>
                <w:rFonts w:hint="eastAsia"/>
                <w:b/>
                <w:color w:val="auto"/>
                <w:sz w:val="24"/>
                <w:szCs w:val="20"/>
              </w:rPr>
              <w:t>与相关规划环评相符性分析</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28" w:type="dxa"/>
                <w:bottom w:w="0" w:type="dxa"/>
                <w:right w:w="28" w:type="dxa"/>
              </w:tblCellMar>
            </w:tblPr>
            <w:tblGrid>
              <w:gridCol w:w="1142"/>
              <w:gridCol w:w="2703"/>
              <w:gridCol w:w="2060"/>
              <w:gridCol w:w="86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369" w:hRule="atLeast"/>
                <w:jc w:val="center"/>
              </w:trPr>
              <w:tc>
                <w:tcPr>
                  <w:tcW w:w="844" w:type="pct"/>
                  <w:tcBorders>
                    <w:top w:val="single" w:color="auto" w:sz="12" w:space="0"/>
                    <w:left w:val="single" w:color="auto" w:sz="12" w:space="0"/>
                  </w:tcBorders>
                  <w:tcMar>
                    <w:left w:w="28" w:type="dxa"/>
                    <w:right w:w="28" w:type="dxa"/>
                  </w:tcMar>
                  <w:vAlign w:val="center"/>
                </w:tcPr>
                <w:p>
                  <w:pPr>
                    <w:spacing w:line="360" w:lineRule="exact"/>
                    <w:jc w:val="center"/>
                    <w:rPr>
                      <w:color w:val="auto"/>
                      <w:szCs w:val="21"/>
                    </w:rPr>
                  </w:pPr>
                  <w:r>
                    <w:rPr>
                      <w:rFonts w:hint="eastAsia"/>
                      <w:color w:val="auto"/>
                      <w:szCs w:val="21"/>
                    </w:rPr>
                    <w:t>类别</w:t>
                  </w:r>
                </w:p>
              </w:tc>
              <w:tc>
                <w:tcPr>
                  <w:tcW w:w="1997" w:type="pct"/>
                  <w:tcBorders>
                    <w:top w:val="single" w:color="auto" w:sz="12" w:space="0"/>
                  </w:tcBorders>
                  <w:tcMar>
                    <w:left w:w="28" w:type="dxa"/>
                    <w:right w:w="28" w:type="dxa"/>
                  </w:tcMar>
                  <w:vAlign w:val="center"/>
                </w:tcPr>
                <w:p>
                  <w:pPr>
                    <w:spacing w:line="360" w:lineRule="exact"/>
                    <w:jc w:val="center"/>
                    <w:rPr>
                      <w:color w:val="auto"/>
                      <w:szCs w:val="21"/>
                    </w:rPr>
                  </w:pPr>
                  <w:r>
                    <w:rPr>
                      <w:rFonts w:hint="eastAsia"/>
                      <w:color w:val="auto"/>
                      <w:szCs w:val="21"/>
                    </w:rPr>
                    <w:t>规划环评结论内容</w:t>
                  </w:r>
                </w:p>
              </w:tc>
              <w:tc>
                <w:tcPr>
                  <w:tcW w:w="1522" w:type="pct"/>
                  <w:tcBorders>
                    <w:top w:val="single" w:color="auto" w:sz="12" w:space="0"/>
                  </w:tcBorders>
                  <w:tcMar>
                    <w:left w:w="28" w:type="dxa"/>
                    <w:right w:w="28" w:type="dxa"/>
                  </w:tcMar>
                  <w:vAlign w:val="center"/>
                </w:tcPr>
                <w:p>
                  <w:pPr>
                    <w:spacing w:line="240" w:lineRule="exact"/>
                    <w:jc w:val="center"/>
                    <w:rPr>
                      <w:color w:val="auto"/>
                      <w:szCs w:val="21"/>
                    </w:rPr>
                  </w:pPr>
                  <w:r>
                    <w:rPr>
                      <w:rFonts w:hAnsi="宋体"/>
                      <w:color w:val="auto"/>
                      <w:szCs w:val="21"/>
                    </w:rPr>
                    <w:t>本项目情况</w:t>
                  </w:r>
                </w:p>
              </w:tc>
              <w:tc>
                <w:tcPr>
                  <w:tcW w:w="637" w:type="pct"/>
                  <w:tcBorders>
                    <w:top w:val="single" w:color="auto" w:sz="12" w:space="0"/>
                    <w:right w:val="single" w:color="auto" w:sz="12" w:space="0"/>
                  </w:tcBorders>
                  <w:tcMar>
                    <w:left w:w="28" w:type="dxa"/>
                    <w:right w:w="28" w:type="dxa"/>
                  </w:tcMar>
                  <w:vAlign w:val="center"/>
                </w:tcPr>
                <w:p>
                  <w:pPr>
                    <w:spacing w:line="240" w:lineRule="exact"/>
                    <w:jc w:val="center"/>
                    <w:rPr>
                      <w:color w:val="auto"/>
                      <w:szCs w:val="21"/>
                    </w:rPr>
                  </w:pPr>
                  <w:r>
                    <w:rPr>
                      <w:rFonts w:hAnsi="宋体"/>
                      <w:color w:val="auto"/>
                      <w:szCs w:val="21"/>
                    </w:rPr>
                    <w:t>符合性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827" w:hRule="atLeast"/>
                <w:jc w:val="center"/>
              </w:trPr>
              <w:tc>
                <w:tcPr>
                  <w:tcW w:w="844" w:type="pct"/>
                  <w:tcBorders>
                    <w:left w:val="single" w:color="auto" w:sz="12" w:space="0"/>
                  </w:tcBorders>
                  <w:tcMar>
                    <w:left w:w="28" w:type="dxa"/>
                    <w:right w:w="28" w:type="dxa"/>
                  </w:tcMar>
                  <w:vAlign w:val="center"/>
                </w:tcPr>
                <w:p>
                  <w:pPr>
                    <w:jc w:val="center"/>
                    <w:rPr>
                      <w:color w:val="auto"/>
                      <w:szCs w:val="21"/>
                    </w:rPr>
                  </w:pPr>
                  <w:r>
                    <w:rPr>
                      <w:rFonts w:hint="eastAsia"/>
                      <w:color w:val="auto"/>
                      <w:szCs w:val="21"/>
                    </w:rPr>
                    <w:t>大气环境</w:t>
                  </w:r>
                </w:p>
              </w:tc>
              <w:tc>
                <w:tcPr>
                  <w:tcW w:w="1997" w:type="pct"/>
                  <w:tcMar>
                    <w:left w:w="28" w:type="dxa"/>
                    <w:right w:w="28" w:type="dxa"/>
                  </w:tcMar>
                  <w:vAlign w:val="center"/>
                </w:tcPr>
                <w:p>
                  <w:pPr>
                    <w:jc w:val="left"/>
                    <w:rPr>
                      <w:bCs/>
                      <w:color w:val="auto"/>
                      <w:szCs w:val="21"/>
                    </w:rPr>
                  </w:pPr>
                  <w:r>
                    <w:rPr>
                      <w:rFonts w:hint="eastAsia"/>
                      <w:bCs/>
                      <w:color w:val="auto"/>
                      <w:szCs w:val="21"/>
                    </w:rPr>
                    <w:t>①对没有达标排放的现有企业、限期治理，达标排放。对新入区企业严格执行“环境影响评价制度”和“三同时”及建设项目竣工环境保护验收，使大气污染源达标排放，做到不欠新帐。</w:t>
                  </w:r>
                </w:p>
                <w:p>
                  <w:pPr>
                    <w:jc w:val="left"/>
                    <w:rPr>
                      <w:bCs/>
                      <w:color w:val="auto"/>
                      <w:szCs w:val="21"/>
                    </w:rPr>
                  </w:pPr>
                  <w:r>
                    <w:rPr>
                      <w:rFonts w:hint="eastAsia"/>
                      <w:bCs/>
                      <w:color w:val="auto"/>
                      <w:szCs w:val="21"/>
                    </w:rPr>
                    <w:t>②推广采用清洁能源，减少燃煤量，减少烟尘和二氧化硫排放量。</w:t>
                  </w:r>
                </w:p>
              </w:tc>
              <w:tc>
                <w:tcPr>
                  <w:tcW w:w="1522" w:type="pct"/>
                  <w:tcMar>
                    <w:left w:w="28" w:type="dxa"/>
                    <w:right w:w="28" w:type="dxa"/>
                  </w:tcMar>
                  <w:vAlign w:val="center"/>
                </w:tcPr>
                <w:p>
                  <w:pPr>
                    <w:rPr>
                      <w:color w:val="auto"/>
                      <w:szCs w:val="21"/>
                    </w:rPr>
                  </w:pPr>
                  <w:r>
                    <w:rPr>
                      <w:rFonts w:hint="eastAsia"/>
                      <w:color w:val="auto"/>
                      <w:szCs w:val="21"/>
                    </w:rPr>
                    <w:t>本项目生产过程产生的废气均采取环保措施，可稳定达标排放；项目生产不使用热源，不涉及燃煤。</w:t>
                  </w:r>
                </w:p>
              </w:tc>
              <w:tc>
                <w:tcPr>
                  <w:tcW w:w="637" w:type="pct"/>
                  <w:tcBorders>
                    <w:right w:val="single" w:color="auto" w:sz="12" w:space="0"/>
                  </w:tcBorders>
                  <w:tcMar>
                    <w:left w:w="28" w:type="dxa"/>
                    <w:right w:w="28" w:type="dxa"/>
                  </w:tcMar>
                  <w:vAlign w:val="center"/>
                </w:tcPr>
                <w:p>
                  <w:pPr>
                    <w:spacing w:line="240" w:lineRule="exact"/>
                    <w:jc w:val="center"/>
                    <w:rPr>
                      <w:rFonts w:hAnsi="宋体"/>
                      <w:color w:val="auto"/>
                      <w:szCs w:val="21"/>
                    </w:rPr>
                  </w:pPr>
                  <w:r>
                    <w:rPr>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827" w:hRule="atLeast"/>
                <w:jc w:val="center"/>
              </w:trPr>
              <w:tc>
                <w:tcPr>
                  <w:tcW w:w="844" w:type="pct"/>
                  <w:tcBorders>
                    <w:left w:val="single" w:color="auto" w:sz="12" w:space="0"/>
                  </w:tcBorders>
                  <w:tcMar>
                    <w:left w:w="28" w:type="dxa"/>
                    <w:right w:w="28" w:type="dxa"/>
                  </w:tcMar>
                  <w:vAlign w:val="center"/>
                </w:tcPr>
                <w:p>
                  <w:pPr>
                    <w:jc w:val="center"/>
                    <w:rPr>
                      <w:color w:val="auto"/>
                      <w:szCs w:val="21"/>
                    </w:rPr>
                  </w:pPr>
                  <w:r>
                    <w:rPr>
                      <w:rFonts w:hint="eastAsia"/>
                      <w:color w:val="auto"/>
                      <w:szCs w:val="21"/>
                    </w:rPr>
                    <w:t>水环境</w:t>
                  </w:r>
                </w:p>
              </w:tc>
              <w:tc>
                <w:tcPr>
                  <w:tcW w:w="1997" w:type="pct"/>
                  <w:tcMar>
                    <w:left w:w="28" w:type="dxa"/>
                    <w:right w:w="28" w:type="dxa"/>
                  </w:tcMar>
                  <w:vAlign w:val="center"/>
                </w:tcPr>
                <w:p>
                  <w:pPr>
                    <w:jc w:val="left"/>
                    <w:rPr>
                      <w:bCs/>
                      <w:color w:val="auto"/>
                      <w:szCs w:val="21"/>
                    </w:rPr>
                  </w:pPr>
                  <w:r>
                    <w:rPr>
                      <w:rFonts w:hint="eastAsia"/>
                      <w:bCs/>
                      <w:color w:val="auto"/>
                      <w:szCs w:val="21"/>
                    </w:rPr>
                    <w:t>工业节水是重点，提高水的重复利用率，鼓励采用各种节水技术。</w:t>
                  </w:r>
                </w:p>
              </w:tc>
              <w:tc>
                <w:tcPr>
                  <w:tcW w:w="1522" w:type="pct"/>
                  <w:tcMar>
                    <w:left w:w="28" w:type="dxa"/>
                    <w:right w:w="28" w:type="dxa"/>
                  </w:tcMar>
                  <w:vAlign w:val="center"/>
                </w:tcPr>
                <w:p>
                  <w:pPr>
                    <w:rPr>
                      <w:color w:val="auto"/>
                      <w:kern w:val="0"/>
                      <w:szCs w:val="21"/>
                    </w:rPr>
                  </w:pPr>
                  <w:r>
                    <w:rPr>
                      <w:rFonts w:hint="eastAsia"/>
                      <w:color w:val="auto"/>
                      <w:kern w:val="0"/>
                      <w:szCs w:val="21"/>
                    </w:rPr>
                    <w:t>项目采取节水措施：①限制用水设备的流出压头；②将初期雨水进行收集，沉淀过滤后作为绿化、浇洒道路和冲洗地面水使用。</w:t>
                  </w:r>
                </w:p>
              </w:tc>
              <w:tc>
                <w:tcPr>
                  <w:tcW w:w="637" w:type="pct"/>
                  <w:tcBorders>
                    <w:right w:val="single" w:color="auto" w:sz="12" w:space="0"/>
                  </w:tcBorders>
                  <w:tcMar>
                    <w:left w:w="28" w:type="dxa"/>
                    <w:right w:w="28" w:type="dxa"/>
                  </w:tcMar>
                  <w:vAlign w:val="center"/>
                </w:tcPr>
                <w:p>
                  <w:pPr>
                    <w:spacing w:line="240" w:lineRule="exact"/>
                    <w:jc w:val="center"/>
                    <w:rPr>
                      <w:color w:val="auto"/>
                      <w:szCs w:val="21"/>
                    </w:rPr>
                  </w:pPr>
                  <w:r>
                    <w:rPr>
                      <w:color w:val="auto"/>
                      <w:szCs w:val="21"/>
                      <w:u w:color="000000"/>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827" w:hRule="atLeast"/>
                <w:jc w:val="center"/>
              </w:trPr>
              <w:tc>
                <w:tcPr>
                  <w:tcW w:w="844" w:type="pct"/>
                  <w:tcBorders>
                    <w:left w:val="single" w:color="auto" w:sz="12" w:space="0"/>
                  </w:tcBorders>
                  <w:tcMar>
                    <w:left w:w="28" w:type="dxa"/>
                    <w:right w:w="28" w:type="dxa"/>
                  </w:tcMar>
                  <w:vAlign w:val="center"/>
                </w:tcPr>
                <w:p>
                  <w:pPr>
                    <w:jc w:val="center"/>
                    <w:rPr>
                      <w:color w:val="auto"/>
                      <w:szCs w:val="21"/>
                    </w:rPr>
                  </w:pPr>
                  <w:r>
                    <w:rPr>
                      <w:rFonts w:hint="eastAsia"/>
                      <w:color w:val="auto"/>
                      <w:szCs w:val="21"/>
                    </w:rPr>
                    <w:t>声环境</w:t>
                  </w:r>
                </w:p>
              </w:tc>
              <w:tc>
                <w:tcPr>
                  <w:tcW w:w="1997" w:type="pct"/>
                  <w:tcMar>
                    <w:left w:w="28" w:type="dxa"/>
                    <w:right w:w="28" w:type="dxa"/>
                  </w:tcMar>
                  <w:vAlign w:val="center"/>
                </w:tcPr>
                <w:p>
                  <w:pPr>
                    <w:jc w:val="left"/>
                    <w:rPr>
                      <w:bCs/>
                      <w:color w:val="auto"/>
                      <w:szCs w:val="21"/>
                    </w:rPr>
                  </w:pPr>
                  <w:r>
                    <w:rPr>
                      <w:rFonts w:hint="eastAsia"/>
                      <w:bCs/>
                      <w:color w:val="auto"/>
                      <w:szCs w:val="21"/>
                    </w:rPr>
                    <w:t>①工业企业的噪声综合防治主要从四个方面着手，一是厂址的选择；二是厂区平面布置；三是工艺及设备的选择；四是强噪声源的治理。</w:t>
                  </w:r>
                </w:p>
                <w:p>
                  <w:pPr>
                    <w:jc w:val="left"/>
                    <w:rPr>
                      <w:bCs/>
                      <w:color w:val="auto"/>
                      <w:szCs w:val="21"/>
                      <w:shd w:val="clear" w:color="auto" w:fill="FFFFFF"/>
                    </w:rPr>
                  </w:pPr>
                  <w:r>
                    <w:rPr>
                      <w:rFonts w:hint="eastAsia"/>
                      <w:bCs/>
                      <w:color w:val="auto"/>
                      <w:szCs w:val="21"/>
                    </w:rPr>
                    <w:t>②交通噪声防治可从两个方面进行，一是降低车辆辐射噪声，如提高车辆性能等，另一方面是隔绝传播途径，如声屏障、绿化等。</w:t>
                  </w:r>
                </w:p>
              </w:tc>
              <w:tc>
                <w:tcPr>
                  <w:tcW w:w="1522" w:type="pct"/>
                  <w:tcMar>
                    <w:left w:w="28" w:type="dxa"/>
                    <w:right w:w="28" w:type="dxa"/>
                  </w:tcMar>
                  <w:vAlign w:val="center"/>
                </w:tcPr>
                <w:p>
                  <w:pPr>
                    <w:rPr>
                      <w:color w:val="auto"/>
                      <w:kern w:val="0"/>
                      <w:szCs w:val="21"/>
                    </w:rPr>
                  </w:pPr>
                  <w:r>
                    <w:rPr>
                      <w:color w:val="auto"/>
                      <w:kern w:val="0"/>
                      <w:szCs w:val="21"/>
                    </w:rPr>
                    <w:t>项目位于工业园区内，项目平面布置合理，产噪设备尽量远离周围敏感点；项目选用低噪声设备；项目采取基础减震、隔声罩等噪声污染防治措施；厂区内对运输车辆进行限速。</w:t>
                  </w:r>
                </w:p>
              </w:tc>
              <w:tc>
                <w:tcPr>
                  <w:tcW w:w="637" w:type="pct"/>
                  <w:tcBorders>
                    <w:right w:val="single" w:color="auto" w:sz="12" w:space="0"/>
                  </w:tcBorders>
                  <w:tcMar>
                    <w:left w:w="28" w:type="dxa"/>
                    <w:right w:w="28" w:type="dxa"/>
                  </w:tcMar>
                  <w:vAlign w:val="center"/>
                </w:tcPr>
                <w:p>
                  <w:pPr>
                    <w:spacing w:line="240" w:lineRule="exact"/>
                    <w:jc w:val="center"/>
                    <w:rPr>
                      <w:color w:val="auto"/>
                      <w:szCs w:val="21"/>
                      <w:u w:color="000000"/>
                    </w:rPr>
                  </w:pPr>
                  <w:r>
                    <w:rPr>
                      <w:color w:val="auto"/>
                      <w:szCs w:val="21"/>
                      <w:u w:color="000000"/>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27" w:hRule="atLeast"/>
                <w:jc w:val="center"/>
              </w:trPr>
              <w:tc>
                <w:tcPr>
                  <w:tcW w:w="844" w:type="pct"/>
                  <w:vMerge w:val="restart"/>
                  <w:tcBorders>
                    <w:left w:val="single" w:color="auto" w:sz="12" w:space="0"/>
                  </w:tcBorders>
                  <w:tcMar>
                    <w:left w:w="28" w:type="dxa"/>
                    <w:right w:w="28" w:type="dxa"/>
                  </w:tcMar>
                  <w:vAlign w:val="center"/>
                </w:tcPr>
                <w:p>
                  <w:pPr>
                    <w:jc w:val="center"/>
                    <w:rPr>
                      <w:color w:val="auto"/>
                      <w:szCs w:val="21"/>
                    </w:rPr>
                  </w:pPr>
                  <w:r>
                    <w:rPr>
                      <w:rFonts w:hint="eastAsia"/>
                      <w:color w:val="auto"/>
                      <w:szCs w:val="21"/>
                    </w:rPr>
                    <w:t>固体废物</w:t>
                  </w:r>
                </w:p>
              </w:tc>
              <w:tc>
                <w:tcPr>
                  <w:tcW w:w="1997" w:type="pct"/>
                  <w:tcMar>
                    <w:left w:w="28" w:type="dxa"/>
                    <w:right w:w="28" w:type="dxa"/>
                  </w:tcMar>
                  <w:vAlign w:val="center"/>
                </w:tcPr>
                <w:p>
                  <w:pPr>
                    <w:jc w:val="left"/>
                    <w:rPr>
                      <w:bCs/>
                      <w:color w:val="auto"/>
                      <w:szCs w:val="21"/>
                    </w:rPr>
                  </w:pPr>
                  <w:r>
                    <w:rPr>
                      <w:rFonts w:hint="eastAsia"/>
                      <w:bCs/>
                      <w:color w:val="auto"/>
                      <w:szCs w:val="21"/>
                    </w:rPr>
                    <w:t>①生产中有回收价值的固体废弃物应回收利用，如金属屑、废包装材料等。对医药制药行业的植物（中药）渣，需脱水后与周围苗圃、果园联系，作发酵堆肥。</w:t>
                  </w:r>
                </w:p>
                <w:p>
                  <w:pPr>
                    <w:jc w:val="left"/>
                    <w:rPr>
                      <w:bCs/>
                      <w:color w:val="auto"/>
                      <w:szCs w:val="21"/>
                    </w:rPr>
                  </w:pPr>
                  <w:r>
                    <w:rPr>
                      <w:rFonts w:hint="eastAsia"/>
                      <w:bCs/>
                      <w:color w:val="auto"/>
                      <w:szCs w:val="21"/>
                    </w:rPr>
                    <w:t>②不能回收利用的工业垃圾送渭南市垃圾填埋场处理。</w:t>
                  </w:r>
                </w:p>
              </w:tc>
              <w:tc>
                <w:tcPr>
                  <w:tcW w:w="1522" w:type="pct"/>
                  <w:tcMar>
                    <w:left w:w="28" w:type="dxa"/>
                    <w:right w:w="28" w:type="dxa"/>
                  </w:tcMar>
                  <w:vAlign w:val="center"/>
                </w:tcPr>
                <w:p>
                  <w:pPr>
                    <w:rPr>
                      <w:color w:val="auto"/>
                      <w:kern w:val="0"/>
                      <w:szCs w:val="21"/>
                    </w:rPr>
                  </w:pPr>
                  <w:r>
                    <w:rPr>
                      <w:color w:val="auto"/>
                      <w:kern w:val="0"/>
                      <w:szCs w:val="21"/>
                    </w:rPr>
                    <w:t>本项目产生的一般固体废物分类进行收集，可回收利用的部分经收集后返回生产工序回用；有利用价值的部分外售。</w:t>
                  </w:r>
                </w:p>
              </w:tc>
              <w:tc>
                <w:tcPr>
                  <w:tcW w:w="637" w:type="pct"/>
                  <w:tcBorders>
                    <w:right w:val="single" w:color="auto" w:sz="12" w:space="0"/>
                  </w:tcBorders>
                  <w:tcMar>
                    <w:left w:w="28" w:type="dxa"/>
                    <w:right w:w="28" w:type="dxa"/>
                  </w:tcMar>
                  <w:vAlign w:val="center"/>
                </w:tcPr>
                <w:p>
                  <w:pPr>
                    <w:spacing w:line="240" w:lineRule="exact"/>
                    <w:jc w:val="center"/>
                    <w:rPr>
                      <w:color w:val="auto"/>
                      <w:szCs w:val="21"/>
                      <w:u w:color="000000"/>
                    </w:rPr>
                  </w:pPr>
                  <w:r>
                    <w:rPr>
                      <w:color w:val="auto"/>
                      <w:szCs w:val="21"/>
                      <w:u w:color="000000"/>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827" w:hRule="atLeast"/>
                <w:jc w:val="center"/>
              </w:trPr>
              <w:tc>
                <w:tcPr>
                  <w:tcW w:w="844" w:type="pct"/>
                  <w:vMerge w:val="continue"/>
                  <w:tcBorders>
                    <w:left w:val="single" w:color="auto" w:sz="12" w:space="0"/>
                  </w:tcBorders>
                  <w:tcMar>
                    <w:left w:w="28" w:type="dxa"/>
                    <w:right w:w="28" w:type="dxa"/>
                  </w:tcMar>
                  <w:vAlign w:val="center"/>
                </w:tcPr>
                <w:p>
                  <w:pPr>
                    <w:jc w:val="center"/>
                    <w:rPr>
                      <w:color w:val="auto"/>
                      <w:szCs w:val="21"/>
                    </w:rPr>
                  </w:pPr>
                </w:p>
              </w:tc>
              <w:tc>
                <w:tcPr>
                  <w:tcW w:w="1997" w:type="pct"/>
                  <w:tcMar>
                    <w:left w:w="28" w:type="dxa"/>
                    <w:right w:w="28" w:type="dxa"/>
                  </w:tcMar>
                  <w:vAlign w:val="center"/>
                </w:tcPr>
                <w:p>
                  <w:pPr>
                    <w:jc w:val="left"/>
                    <w:rPr>
                      <w:bCs/>
                      <w:color w:val="auto"/>
                      <w:szCs w:val="21"/>
                    </w:rPr>
                  </w:pPr>
                  <w:r>
                    <w:rPr>
                      <w:rFonts w:hint="eastAsia"/>
                      <w:bCs/>
                      <w:color w:val="auto"/>
                      <w:szCs w:val="21"/>
                    </w:rPr>
                    <w:t>对生活垃圾进行分类收集，回收其中可综合利用的成分，不能利用的垃圾送往渭南市垃圾填埋场处理。做到日产垃圾日清运。</w:t>
                  </w:r>
                </w:p>
              </w:tc>
              <w:tc>
                <w:tcPr>
                  <w:tcW w:w="1522" w:type="pct"/>
                  <w:tcMar>
                    <w:left w:w="28" w:type="dxa"/>
                    <w:right w:w="28" w:type="dxa"/>
                  </w:tcMar>
                  <w:vAlign w:val="center"/>
                </w:tcPr>
                <w:p>
                  <w:pPr>
                    <w:rPr>
                      <w:color w:val="auto"/>
                      <w:kern w:val="0"/>
                      <w:szCs w:val="21"/>
                    </w:rPr>
                  </w:pPr>
                  <w:r>
                    <w:rPr>
                      <w:color w:val="auto"/>
                      <w:kern w:val="0"/>
                      <w:szCs w:val="21"/>
                    </w:rPr>
                    <w:t>项目产生的生活垃圾，分类收集后定期交由环卫部门清运。</w:t>
                  </w:r>
                </w:p>
              </w:tc>
              <w:tc>
                <w:tcPr>
                  <w:tcW w:w="637" w:type="pct"/>
                  <w:tcBorders>
                    <w:right w:val="single" w:color="auto" w:sz="12" w:space="0"/>
                  </w:tcBorders>
                  <w:tcMar>
                    <w:left w:w="28" w:type="dxa"/>
                    <w:right w:w="28" w:type="dxa"/>
                  </w:tcMar>
                  <w:vAlign w:val="center"/>
                </w:tcPr>
                <w:p>
                  <w:pPr>
                    <w:spacing w:line="240" w:lineRule="exact"/>
                    <w:jc w:val="center"/>
                    <w:rPr>
                      <w:color w:val="auto"/>
                      <w:szCs w:val="21"/>
                      <w:u w:color="000000"/>
                    </w:rPr>
                  </w:pPr>
                  <w:r>
                    <w:rPr>
                      <w:color w:val="auto"/>
                      <w:szCs w:val="21"/>
                      <w:u w:color="000000"/>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827" w:hRule="atLeast"/>
                <w:jc w:val="center"/>
              </w:trPr>
              <w:tc>
                <w:tcPr>
                  <w:tcW w:w="844" w:type="pct"/>
                  <w:vMerge w:val="continue"/>
                  <w:tcBorders>
                    <w:left w:val="single" w:color="auto" w:sz="12" w:space="0"/>
                  </w:tcBorders>
                  <w:tcMar>
                    <w:left w:w="28" w:type="dxa"/>
                    <w:right w:w="28" w:type="dxa"/>
                  </w:tcMar>
                  <w:vAlign w:val="center"/>
                </w:tcPr>
                <w:p>
                  <w:pPr>
                    <w:jc w:val="center"/>
                    <w:rPr>
                      <w:color w:val="auto"/>
                      <w:szCs w:val="21"/>
                    </w:rPr>
                  </w:pPr>
                </w:p>
              </w:tc>
              <w:tc>
                <w:tcPr>
                  <w:tcW w:w="1997" w:type="pct"/>
                  <w:tcMar>
                    <w:left w:w="28" w:type="dxa"/>
                    <w:right w:w="28" w:type="dxa"/>
                  </w:tcMar>
                  <w:vAlign w:val="center"/>
                </w:tcPr>
                <w:p>
                  <w:pPr>
                    <w:jc w:val="left"/>
                    <w:rPr>
                      <w:bCs/>
                      <w:color w:val="auto"/>
                      <w:szCs w:val="21"/>
                    </w:rPr>
                  </w:pPr>
                  <w:r>
                    <w:rPr>
                      <w:rFonts w:hint="eastAsia"/>
                      <w:bCs/>
                      <w:color w:val="auto"/>
                      <w:szCs w:val="21"/>
                    </w:rPr>
                    <w:t>渭南高新区的医疗危险废物由渭南市医疗废物集中处理站到各医疗点收集，按质分装，密闭运输。采用A、B炉焚烧工艺，处理医疗废物。其他危险废物送有资质的单位处理。</w:t>
                  </w:r>
                </w:p>
              </w:tc>
              <w:tc>
                <w:tcPr>
                  <w:tcW w:w="1522" w:type="pct"/>
                  <w:tcMar>
                    <w:left w:w="28" w:type="dxa"/>
                    <w:right w:w="28" w:type="dxa"/>
                  </w:tcMar>
                  <w:vAlign w:val="center"/>
                </w:tcPr>
                <w:p>
                  <w:pPr>
                    <w:rPr>
                      <w:color w:val="auto"/>
                      <w:kern w:val="0"/>
                      <w:szCs w:val="21"/>
                    </w:rPr>
                  </w:pPr>
                  <w:r>
                    <w:rPr>
                      <w:color w:val="auto"/>
                      <w:kern w:val="0"/>
                      <w:szCs w:val="21"/>
                    </w:rPr>
                    <w:t>项目产生的危险废物暂存厂内危废间，定期交由有资质单位处置。</w:t>
                  </w:r>
                </w:p>
              </w:tc>
              <w:tc>
                <w:tcPr>
                  <w:tcW w:w="637" w:type="pct"/>
                  <w:tcBorders>
                    <w:right w:val="single" w:color="auto" w:sz="12" w:space="0"/>
                  </w:tcBorders>
                  <w:tcMar>
                    <w:left w:w="28" w:type="dxa"/>
                    <w:right w:w="28" w:type="dxa"/>
                  </w:tcMar>
                  <w:vAlign w:val="center"/>
                </w:tcPr>
                <w:p>
                  <w:pPr>
                    <w:spacing w:line="240" w:lineRule="exact"/>
                    <w:jc w:val="center"/>
                    <w:rPr>
                      <w:color w:val="auto"/>
                      <w:szCs w:val="21"/>
                      <w:u w:color="000000"/>
                    </w:rPr>
                  </w:pPr>
                  <w:r>
                    <w:rPr>
                      <w:color w:val="auto"/>
                      <w:szCs w:val="21"/>
                      <w:u w:color="000000"/>
                    </w:rPr>
                    <w:t>符合</w:t>
                  </w:r>
                </w:p>
              </w:tc>
            </w:tr>
          </w:tbl>
          <w:p>
            <w:pPr>
              <w:autoSpaceDE w:val="0"/>
              <w:autoSpaceDN w:val="0"/>
              <w:adjustRightInd w:val="0"/>
              <w:snapToGrid w:val="0"/>
              <w:spacing w:before="120" w:beforeLines="50" w:line="360" w:lineRule="auto"/>
              <w:ind w:firstLine="480" w:firstLineChars="200"/>
              <w:rPr>
                <w:color w:val="auto"/>
                <w:sz w:val="24"/>
              </w:rPr>
            </w:pPr>
            <w:r>
              <w:rPr>
                <w:color w:val="auto"/>
                <w:sz w:val="24"/>
              </w:rPr>
              <w:t>综上所述，本项目</w:t>
            </w:r>
            <w:r>
              <w:rPr>
                <w:rFonts w:hint="eastAsia"/>
                <w:color w:val="auto"/>
                <w:sz w:val="24"/>
              </w:rPr>
              <w:t>符合《渭南高新技术产业开发试验区规划环境影响报告书》相关要求</w:t>
            </w:r>
            <w:r>
              <w:rPr>
                <w:color w:val="auto"/>
                <w:sz w:val="24"/>
              </w:rPr>
              <w:t>。</w:t>
            </w:r>
          </w:p>
          <w:p>
            <w:pPr>
              <w:autoSpaceDE w:val="0"/>
              <w:autoSpaceDN w:val="0"/>
              <w:adjustRightInd w:val="0"/>
              <w:snapToGrid w:val="0"/>
              <w:spacing w:before="120" w:beforeLines="50" w:line="360" w:lineRule="auto"/>
              <w:ind w:firstLine="480" w:firstLineChars="200"/>
              <w:rPr>
                <w:color w:val="auto"/>
                <w:sz w:val="24"/>
              </w:rPr>
            </w:pPr>
            <w:r>
              <w:rPr>
                <w:rFonts w:hint="eastAsia"/>
                <w:color w:val="auto"/>
                <w:sz w:val="24"/>
              </w:rPr>
              <w:t>3、本项目与规划环评审查意见的符合性分析</w:t>
            </w:r>
          </w:p>
          <w:p>
            <w:pPr>
              <w:autoSpaceDE w:val="0"/>
              <w:autoSpaceDN w:val="0"/>
              <w:adjustRightInd w:val="0"/>
              <w:snapToGrid w:val="0"/>
              <w:spacing w:line="360" w:lineRule="auto"/>
              <w:ind w:firstLine="480" w:firstLineChars="200"/>
              <w:rPr>
                <w:color w:val="auto"/>
                <w:kern w:val="0"/>
                <w:sz w:val="24"/>
              </w:rPr>
            </w:pPr>
            <w:r>
              <w:rPr>
                <w:rFonts w:hint="eastAsia"/>
                <w:color w:val="auto"/>
                <w:kern w:val="0"/>
                <w:sz w:val="24"/>
              </w:rPr>
              <w:t>具体分析情况见表1-3</w:t>
            </w:r>
            <w:r>
              <w:rPr>
                <w:color w:val="auto"/>
                <w:kern w:val="0"/>
                <w:sz w:val="24"/>
              </w:rPr>
              <w:t>。</w:t>
            </w:r>
          </w:p>
          <w:p>
            <w:pPr>
              <w:snapToGrid w:val="0"/>
              <w:jc w:val="center"/>
              <w:rPr>
                <w:b/>
                <w:color w:val="auto"/>
                <w:sz w:val="24"/>
                <w:szCs w:val="20"/>
              </w:rPr>
            </w:pPr>
            <w:r>
              <w:rPr>
                <w:rFonts w:hint="eastAsia"/>
                <w:b/>
                <w:color w:val="auto"/>
                <w:sz w:val="24"/>
                <w:szCs w:val="20"/>
              </w:rPr>
              <w:t>表1-3   与相关规划环评审查意见相符性分析</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28" w:type="dxa"/>
                <w:bottom w:w="0" w:type="dxa"/>
                <w:right w:w="28" w:type="dxa"/>
              </w:tblCellMar>
            </w:tblPr>
            <w:tblGrid>
              <w:gridCol w:w="2769"/>
              <w:gridCol w:w="2982"/>
              <w:gridCol w:w="10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369" w:hRule="atLeast"/>
                <w:jc w:val="center"/>
              </w:trPr>
              <w:tc>
                <w:tcPr>
                  <w:tcW w:w="2046" w:type="pct"/>
                  <w:tcBorders>
                    <w:top w:val="single" w:color="auto" w:sz="12" w:space="0"/>
                    <w:left w:val="single" w:color="auto" w:sz="12" w:space="0"/>
                  </w:tcBorders>
                  <w:tcMar>
                    <w:left w:w="28" w:type="dxa"/>
                    <w:right w:w="28" w:type="dxa"/>
                  </w:tcMar>
                  <w:vAlign w:val="center"/>
                </w:tcPr>
                <w:p>
                  <w:pPr>
                    <w:spacing w:line="240" w:lineRule="exact"/>
                    <w:jc w:val="center"/>
                    <w:rPr>
                      <w:color w:val="auto"/>
                      <w:szCs w:val="21"/>
                    </w:rPr>
                  </w:pPr>
                  <w:r>
                    <w:rPr>
                      <w:rFonts w:hint="eastAsia"/>
                      <w:color w:val="auto"/>
                      <w:szCs w:val="21"/>
                    </w:rPr>
                    <w:t>规划环评审查意见内容</w:t>
                  </w:r>
                </w:p>
              </w:tc>
              <w:tc>
                <w:tcPr>
                  <w:tcW w:w="2203" w:type="pct"/>
                  <w:tcBorders>
                    <w:top w:val="single" w:color="auto" w:sz="12" w:space="0"/>
                  </w:tcBorders>
                  <w:tcMar>
                    <w:left w:w="28" w:type="dxa"/>
                    <w:right w:w="28" w:type="dxa"/>
                  </w:tcMar>
                  <w:vAlign w:val="center"/>
                </w:tcPr>
                <w:p>
                  <w:pPr>
                    <w:spacing w:line="240" w:lineRule="exact"/>
                    <w:jc w:val="center"/>
                    <w:rPr>
                      <w:color w:val="auto"/>
                      <w:szCs w:val="21"/>
                    </w:rPr>
                  </w:pPr>
                  <w:r>
                    <w:rPr>
                      <w:rFonts w:hAnsi="宋体"/>
                      <w:color w:val="auto"/>
                      <w:szCs w:val="21"/>
                    </w:rPr>
                    <w:t>本项目情况</w:t>
                  </w:r>
                </w:p>
              </w:tc>
              <w:tc>
                <w:tcPr>
                  <w:tcW w:w="751" w:type="pct"/>
                  <w:tcBorders>
                    <w:top w:val="single" w:color="auto" w:sz="12" w:space="0"/>
                    <w:right w:val="single" w:color="auto" w:sz="12" w:space="0"/>
                  </w:tcBorders>
                  <w:tcMar>
                    <w:left w:w="28" w:type="dxa"/>
                    <w:right w:w="28" w:type="dxa"/>
                  </w:tcMar>
                  <w:vAlign w:val="center"/>
                </w:tcPr>
                <w:p>
                  <w:pPr>
                    <w:spacing w:line="240" w:lineRule="exact"/>
                    <w:jc w:val="center"/>
                    <w:rPr>
                      <w:color w:val="auto"/>
                      <w:szCs w:val="21"/>
                    </w:rPr>
                  </w:pPr>
                  <w:r>
                    <w:rPr>
                      <w:rFonts w:hAnsi="宋体"/>
                      <w:color w:val="auto"/>
                      <w:szCs w:val="21"/>
                    </w:rPr>
                    <w:t>符合性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827" w:hRule="atLeast"/>
                <w:jc w:val="center"/>
              </w:trPr>
              <w:tc>
                <w:tcPr>
                  <w:tcW w:w="2046" w:type="pct"/>
                  <w:tcBorders>
                    <w:left w:val="single" w:color="auto" w:sz="12" w:space="0"/>
                  </w:tcBorders>
                  <w:tcMar>
                    <w:left w:w="28" w:type="dxa"/>
                    <w:right w:w="28" w:type="dxa"/>
                  </w:tcMar>
                  <w:vAlign w:val="center"/>
                </w:tcPr>
                <w:p>
                  <w:pPr>
                    <w:jc w:val="center"/>
                    <w:rPr>
                      <w:color w:val="auto"/>
                      <w:szCs w:val="21"/>
                    </w:rPr>
                  </w:pPr>
                  <w:r>
                    <w:rPr>
                      <w:color w:val="auto"/>
                      <w:szCs w:val="21"/>
                    </w:rPr>
                    <w:t>必须执行环境影响评价制度。</w:t>
                  </w:r>
                </w:p>
              </w:tc>
              <w:tc>
                <w:tcPr>
                  <w:tcW w:w="2203" w:type="pct"/>
                  <w:tcMar>
                    <w:left w:w="28" w:type="dxa"/>
                    <w:right w:w="28" w:type="dxa"/>
                  </w:tcMar>
                  <w:vAlign w:val="center"/>
                </w:tcPr>
                <w:p>
                  <w:pPr>
                    <w:rPr>
                      <w:color w:val="auto"/>
                      <w:szCs w:val="21"/>
                    </w:rPr>
                  </w:pPr>
                  <w:r>
                    <w:rPr>
                      <w:rFonts w:hint="eastAsia"/>
                      <w:color w:val="auto"/>
                      <w:szCs w:val="21"/>
                    </w:rPr>
                    <w:t>本项目正在进行环评程序。</w:t>
                  </w:r>
                </w:p>
              </w:tc>
              <w:tc>
                <w:tcPr>
                  <w:tcW w:w="751" w:type="pct"/>
                  <w:tcBorders>
                    <w:right w:val="single" w:color="auto" w:sz="12" w:space="0"/>
                  </w:tcBorders>
                  <w:tcMar>
                    <w:left w:w="28" w:type="dxa"/>
                    <w:right w:w="28" w:type="dxa"/>
                  </w:tcMar>
                  <w:vAlign w:val="center"/>
                </w:tcPr>
                <w:p>
                  <w:pPr>
                    <w:spacing w:line="240" w:lineRule="exact"/>
                    <w:jc w:val="center"/>
                    <w:rPr>
                      <w:rFonts w:hAnsi="宋体"/>
                      <w:color w:val="auto"/>
                      <w:szCs w:val="21"/>
                    </w:rPr>
                  </w:pPr>
                  <w:r>
                    <w:rPr>
                      <w:rFonts w:hint="eastAsia" w:hAnsi="宋体"/>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827" w:hRule="atLeast"/>
                <w:jc w:val="center"/>
              </w:trPr>
              <w:tc>
                <w:tcPr>
                  <w:tcW w:w="2046" w:type="pct"/>
                  <w:tcBorders>
                    <w:left w:val="single" w:color="auto" w:sz="12" w:space="0"/>
                  </w:tcBorders>
                  <w:tcMar>
                    <w:left w:w="28" w:type="dxa"/>
                    <w:right w:w="28" w:type="dxa"/>
                  </w:tcMar>
                  <w:vAlign w:val="center"/>
                </w:tcPr>
                <w:p>
                  <w:pPr>
                    <w:jc w:val="left"/>
                    <w:rPr>
                      <w:color w:val="auto"/>
                      <w:szCs w:val="21"/>
                    </w:rPr>
                  </w:pPr>
                  <w:r>
                    <w:rPr>
                      <w:rFonts w:hint="eastAsia"/>
                      <w:color w:val="auto"/>
                      <w:szCs w:val="21"/>
                    </w:rPr>
                    <w:t>废气、废水排放必须做到达标排放，厂界噪声必须达标，固体废弃物做到妥善处理。</w:t>
                  </w:r>
                </w:p>
              </w:tc>
              <w:tc>
                <w:tcPr>
                  <w:tcW w:w="2203" w:type="pct"/>
                  <w:tcMar>
                    <w:left w:w="28" w:type="dxa"/>
                    <w:right w:w="28" w:type="dxa"/>
                  </w:tcMar>
                  <w:vAlign w:val="center"/>
                </w:tcPr>
                <w:p>
                  <w:pPr>
                    <w:rPr>
                      <w:color w:val="auto"/>
                      <w:kern w:val="0"/>
                      <w:szCs w:val="21"/>
                    </w:rPr>
                  </w:pPr>
                  <w:r>
                    <w:rPr>
                      <w:color w:val="auto"/>
                      <w:kern w:val="0"/>
                      <w:szCs w:val="21"/>
                    </w:rPr>
                    <w:t>本项目废气、废水可稳定达标排放，厂界噪声可达标，固体废物处置率</w:t>
                  </w:r>
                  <w:r>
                    <w:rPr>
                      <w:rFonts w:hint="eastAsia"/>
                      <w:color w:val="auto"/>
                      <w:kern w:val="0"/>
                      <w:szCs w:val="21"/>
                    </w:rPr>
                    <w:t>100%。</w:t>
                  </w:r>
                </w:p>
              </w:tc>
              <w:tc>
                <w:tcPr>
                  <w:tcW w:w="751" w:type="pct"/>
                  <w:tcBorders>
                    <w:right w:val="single" w:color="auto" w:sz="12" w:space="0"/>
                  </w:tcBorders>
                  <w:tcMar>
                    <w:left w:w="28" w:type="dxa"/>
                    <w:right w:w="28" w:type="dxa"/>
                  </w:tcMar>
                  <w:vAlign w:val="center"/>
                </w:tcPr>
                <w:p>
                  <w:pPr>
                    <w:spacing w:line="240" w:lineRule="exact"/>
                    <w:jc w:val="center"/>
                    <w:rPr>
                      <w:color w:val="auto"/>
                      <w:szCs w:val="21"/>
                    </w:rPr>
                  </w:pPr>
                  <w:r>
                    <w:rPr>
                      <w:rFonts w:hint="eastAsia"/>
                      <w:color w:val="auto"/>
                      <w:szCs w:val="21"/>
                    </w:rPr>
                    <w:t>符合</w:t>
                  </w:r>
                </w:p>
              </w:tc>
            </w:tr>
          </w:tbl>
          <w:p>
            <w:pPr>
              <w:autoSpaceDE w:val="0"/>
              <w:autoSpaceDN w:val="0"/>
              <w:adjustRightInd w:val="0"/>
              <w:snapToGrid w:val="0"/>
              <w:spacing w:before="120" w:beforeLines="50" w:line="360" w:lineRule="auto"/>
              <w:ind w:firstLine="480" w:firstLineChars="200"/>
              <w:rPr>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56" w:type="dxa"/>
            <w:vAlign w:val="center"/>
          </w:tcPr>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kern w:val="0"/>
                <w:sz w:val="24"/>
              </w:rPr>
              <w:t>其他符合性分析</w:t>
            </w:r>
          </w:p>
        </w:tc>
        <w:tc>
          <w:tcPr>
            <w:tcW w:w="7014" w:type="dxa"/>
            <w:gridSpan w:val="5"/>
            <w:vAlign w:val="center"/>
          </w:tcPr>
          <w:p>
            <w:pPr>
              <w:autoSpaceDE w:val="0"/>
              <w:autoSpaceDN w:val="0"/>
              <w:adjustRightInd w:val="0"/>
              <w:snapToGrid w:val="0"/>
              <w:spacing w:before="120" w:beforeLines="50" w:line="360" w:lineRule="auto"/>
              <w:ind w:firstLine="480" w:firstLineChars="200"/>
              <w:rPr>
                <w:color w:val="auto"/>
                <w:kern w:val="0"/>
                <w:sz w:val="24"/>
              </w:rPr>
            </w:pPr>
            <w:r>
              <w:rPr>
                <w:rFonts w:hint="eastAsia"/>
                <w:color w:val="auto"/>
                <w:kern w:val="0"/>
                <w:sz w:val="24"/>
              </w:rPr>
              <w:t>综上所述，项目符合《渭南高新技术产业开发试验区规划环境影响报告书》审查意见相关要求。</w:t>
            </w:r>
          </w:p>
          <w:p>
            <w:pPr>
              <w:spacing w:line="360" w:lineRule="auto"/>
              <w:ind w:firstLine="482" w:firstLineChars="200"/>
              <w:jc w:val="left"/>
              <w:rPr>
                <w:b/>
                <w:bCs/>
                <w:color w:val="auto"/>
                <w:sz w:val="24"/>
              </w:rPr>
            </w:pPr>
            <w:r>
              <w:rPr>
                <w:rFonts w:hint="eastAsia"/>
                <w:b/>
                <w:bCs/>
                <w:color w:val="auto"/>
                <w:sz w:val="24"/>
              </w:rPr>
              <w:t>1、</w:t>
            </w:r>
            <w:r>
              <w:rPr>
                <w:b/>
                <w:bCs/>
                <w:color w:val="auto"/>
                <w:sz w:val="24"/>
              </w:rPr>
              <w:t>产业政策符合性</w:t>
            </w:r>
          </w:p>
          <w:p>
            <w:pPr>
              <w:adjustRightInd w:val="0"/>
              <w:snapToGrid w:val="0"/>
              <w:spacing w:line="372" w:lineRule="auto"/>
              <w:ind w:firstLine="480" w:firstLineChars="200"/>
              <w:rPr>
                <w:color w:val="auto"/>
                <w:sz w:val="24"/>
              </w:rPr>
            </w:pPr>
            <w:r>
              <w:rPr>
                <w:color w:val="auto"/>
                <w:sz w:val="24"/>
              </w:rPr>
              <w:t>根据《产业结构调整指导目录》（201</w:t>
            </w:r>
            <w:r>
              <w:rPr>
                <w:rFonts w:hint="eastAsia"/>
                <w:color w:val="auto"/>
                <w:sz w:val="24"/>
              </w:rPr>
              <w:t>9</w:t>
            </w:r>
            <w:r>
              <w:rPr>
                <w:color w:val="auto"/>
                <w:sz w:val="24"/>
              </w:rPr>
              <w:t>年本），本项目不</w:t>
            </w:r>
            <w:r>
              <w:rPr>
                <w:rFonts w:hint="eastAsia"/>
                <w:color w:val="auto"/>
                <w:sz w:val="24"/>
              </w:rPr>
              <w:t>属于其中的鼓励类、限制类和淘汰类，可视为允许类；</w:t>
            </w:r>
            <w:r>
              <w:rPr>
                <w:color w:val="auto"/>
                <w:sz w:val="24"/>
                <w:szCs w:val="20"/>
              </w:rPr>
              <w:t>同时，根据《陕西省限制投资类产业指导目录》（陕改发产业</w:t>
            </w:r>
            <w:r>
              <w:rPr>
                <w:rFonts w:hint="eastAsia" w:ascii="宋体" w:hAnsi="宋体"/>
                <w:color w:val="auto"/>
                <w:sz w:val="24"/>
                <w:szCs w:val="20"/>
              </w:rPr>
              <w:t>﹝</w:t>
            </w:r>
            <w:r>
              <w:rPr>
                <w:color w:val="auto"/>
                <w:sz w:val="24"/>
                <w:szCs w:val="20"/>
              </w:rPr>
              <w:t>2007</w:t>
            </w:r>
            <w:r>
              <w:rPr>
                <w:rFonts w:hint="eastAsia" w:ascii="宋体" w:hAnsi="宋体"/>
                <w:color w:val="auto"/>
                <w:sz w:val="24"/>
                <w:szCs w:val="20"/>
              </w:rPr>
              <w:t>﹞</w:t>
            </w:r>
            <w:r>
              <w:rPr>
                <w:color w:val="auto"/>
                <w:sz w:val="24"/>
                <w:szCs w:val="20"/>
              </w:rPr>
              <w:t>97号），该项目不属于限制投资类</w:t>
            </w:r>
            <w:r>
              <w:rPr>
                <w:rFonts w:hint="eastAsia"/>
                <w:color w:val="auto"/>
                <w:kern w:val="0"/>
                <w:sz w:val="24"/>
                <w:szCs w:val="20"/>
              </w:rPr>
              <w:t>。</w:t>
            </w:r>
            <w:r>
              <w:rPr>
                <w:color w:val="auto"/>
                <w:sz w:val="24"/>
                <w:szCs w:val="20"/>
              </w:rPr>
              <w:t>同时，项目已经由渭南高新区行政审批服务局备案确认</w:t>
            </w:r>
            <w:r>
              <w:rPr>
                <w:rFonts w:hint="eastAsia"/>
                <w:color w:val="auto"/>
                <w:kern w:val="0"/>
                <w:sz w:val="24"/>
                <w:szCs w:val="20"/>
              </w:rPr>
              <w:t>（项目备案确认书详见附件2）。</w:t>
            </w:r>
          </w:p>
          <w:p>
            <w:pPr>
              <w:adjustRightInd w:val="0"/>
              <w:snapToGrid w:val="0"/>
              <w:spacing w:line="372" w:lineRule="auto"/>
              <w:ind w:firstLine="480" w:firstLineChars="200"/>
              <w:rPr>
                <w:color w:val="auto"/>
                <w:sz w:val="24"/>
                <w:szCs w:val="20"/>
              </w:rPr>
            </w:pPr>
            <w:r>
              <w:rPr>
                <w:color w:val="auto"/>
                <w:sz w:val="24"/>
              </w:rPr>
              <w:t>因此，本项目的建设符合国家</w:t>
            </w:r>
            <w:r>
              <w:rPr>
                <w:rFonts w:hint="eastAsia"/>
                <w:color w:val="auto"/>
                <w:sz w:val="24"/>
              </w:rPr>
              <w:t>地方</w:t>
            </w:r>
            <w:r>
              <w:rPr>
                <w:color w:val="auto"/>
                <w:sz w:val="24"/>
              </w:rPr>
              <w:t>产业政策</w:t>
            </w:r>
            <w:r>
              <w:rPr>
                <w:rFonts w:hint="eastAsia"/>
                <w:color w:val="auto"/>
                <w:sz w:val="24"/>
              </w:rPr>
              <w:t>要求</w:t>
            </w:r>
            <w:r>
              <w:rPr>
                <w:color w:val="auto"/>
                <w:sz w:val="24"/>
              </w:rPr>
              <w:t>。</w:t>
            </w:r>
          </w:p>
          <w:p>
            <w:pPr>
              <w:autoSpaceDE w:val="0"/>
              <w:autoSpaceDN w:val="0"/>
              <w:spacing w:line="360" w:lineRule="auto"/>
              <w:ind w:firstLine="482" w:firstLineChars="200"/>
              <w:jc w:val="left"/>
              <w:rPr>
                <w:b/>
                <w:color w:val="auto"/>
                <w:kern w:val="0"/>
                <w:sz w:val="24"/>
              </w:rPr>
            </w:pPr>
            <w:r>
              <w:rPr>
                <w:rFonts w:hint="eastAsia"/>
                <w:b/>
                <w:color w:val="auto"/>
                <w:kern w:val="0"/>
                <w:sz w:val="24"/>
              </w:rPr>
              <w:t>2</w:t>
            </w:r>
            <w:r>
              <w:rPr>
                <w:b/>
                <w:color w:val="auto"/>
                <w:kern w:val="0"/>
                <w:sz w:val="24"/>
              </w:rPr>
              <w:t>、与</w:t>
            </w:r>
            <w:r>
              <w:rPr>
                <w:rFonts w:hint="eastAsia"/>
                <w:b/>
                <w:color w:val="auto"/>
                <w:kern w:val="0"/>
                <w:sz w:val="24"/>
              </w:rPr>
              <w:t>环保政策</w:t>
            </w:r>
            <w:r>
              <w:rPr>
                <w:b/>
                <w:color w:val="auto"/>
                <w:kern w:val="0"/>
                <w:sz w:val="24"/>
              </w:rPr>
              <w:t>符合性分析</w:t>
            </w:r>
          </w:p>
          <w:p>
            <w:pPr>
              <w:spacing w:line="360" w:lineRule="auto"/>
              <w:ind w:firstLine="480" w:firstLineChars="200"/>
              <w:jc w:val="left"/>
              <w:rPr>
                <w:color w:val="auto"/>
                <w:sz w:val="24"/>
              </w:rPr>
            </w:pPr>
            <w:r>
              <w:rPr>
                <w:color w:val="auto"/>
                <w:sz w:val="24"/>
              </w:rPr>
              <w:t>本项目与环保政策相符性分析见表</w:t>
            </w:r>
            <w:r>
              <w:rPr>
                <w:rFonts w:hint="eastAsia"/>
                <w:color w:val="auto"/>
                <w:sz w:val="24"/>
              </w:rPr>
              <w:t>1-4</w:t>
            </w:r>
            <w:r>
              <w:rPr>
                <w:color w:val="auto"/>
                <w:sz w:val="24"/>
              </w:rPr>
              <w:t>。</w:t>
            </w:r>
          </w:p>
          <w:p>
            <w:pPr>
              <w:snapToGrid w:val="0"/>
              <w:jc w:val="center"/>
              <w:rPr>
                <w:b/>
                <w:color w:val="auto"/>
                <w:sz w:val="24"/>
                <w:szCs w:val="20"/>
              </w:rPr>
            </w:pPr>
            <w:r>
              <w:rPr>
                <w:b/>
                <w:color w:val="auto"/>
                <w:sz w:val="24"/>
                <w:szCs w:val="20"/>
              </w:rPr>
              <w:t>表</w:t>
            </w:r>
            <w:r>
              <w:rPr>
                <w:rFonts w:hint="eastAsia"/>
                <w:b/>
                <w:color w:val="auto"/>
                <w:sz w:val="24"/>
                <w:szCs w:val="20"/>
              </w:rPr>
              <w:t xml:space="preserve">1-4 </w:t>
            </w:r>
            <w:r>
              <w:rPr>
                <w:b/>
                <w:color w:val="auto"/>
                <w:sz w:val="24"/>
                <w:szCs w:val="20"/>
              </w:rPr>
              <w:t xml:space="preserve"> </w:t>
            </w:r>
            <w:r>
              <w:rPr>
                <w:rFonts w:hint="eastAsia"/>
                <w:b/>
                <w:color w:val="auto"/>
                <w:sz w:val="24"/>
                <w:szCs w:val="20"/>
              </w:rPr>
              <w:t xml:space="preserve"> </w:t>
            </w:r>
            <w:r>
              <w:rPr>
                <w:b/>
                <w:color w:val="auto"/>
                <w:sz w:val="24"/>
                <w:szCs w:val="20"/>
              </w:rPr>
              <w:t>相关</w:t>
            </w:r>
            <w:r>
              <w:rPr>
                <w:rFonts w:hint="eastAsia"/>
                <w:b/>
                <w:color w:val="auto"/>
                <w:sz w:val="24"/>
                <w:szCs w:val="20"/>
              </w:rPr>
              <w:t>环保政策</w:t>
            </w:r>
            <w:r>
              <w:rPr>
                <w:b/>
                <w:color w:val="auto"/>
                <w:sz w:val="24"/>
                <w:szCs w:val="20"/>
              </w:rPr>
              <w:t>相符性分析一览表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28" w:type="dxa"/>
                <w:bottom w:w="0" w:type="dxa"/>
                <w:right w:w="28" w:type="dxa"/>
              </w:tblCellMar>
            </w:tblPr>
            <w:tblGrid>
              <w:gridCol w:w="1294"/>
              <w:gridCol w:w="2694"/>
              <w:gridCol w:w="1918"/>
              <w:gridCol w:w="86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69" w:hRule="atLeast"/>
                <w:jc w:val="center"/>
              </w:trPr>
              <w:tc>
                <w:tcPr>
                  <w:tcW w:w="956" w:type="pct"/>
                  <w:tcBorders>
                    <w:top w:val="single" w:color="auto" w:sz="12" w:space="0"/>
                    <w:left w:val="single" w:color="auto" w:sz="12" w:space="0"/>
                  </w:tcBorders>
                  <w:tcMar>
                    <w:left w:w="28" w:type="dxa"/>
                    <w:right w:w="28" w:type="dxa"/>
                  </w:tcMar>
                  <w:vAlign w:val="center"/>
                </w:tcPr>
                <w:p>
                  <w:pPr>
                    <w:spacing w:line="240" w:lineRule="exact"/>
                    <w:jc w:val="center"/>
                    <w:rPr>
                      <w:color w:val="auto"/>
                      <w:szCs w:val="21"/>
                    </w:rPr>
                  </w:pPr>
                  <w:r>
                    <w:rPr>
                      <w:rFonts w:hAnsi="宋体"/>
                      <w:color w:val="auto"/>
                      <w:szCs w:val="21"/>
                    </w:rPr>
                    <w:t>政策名称</w:t>
                  </w:r>
                </w:p>
              </w:tc>
              <w:tc>
                <w:tcPr>
                  <w:tcW w:w="1990" w:type="pct"/>
                  <w:tcBorders>
                    <w:top w:val="single" w:color="auto" w:sz="12" w:space="0"/>
                  </w:tcBorders>
                  <w:tcMar>
                    <w:left w:w="28" w:type="dxa"/>
                    <w:right w:w="28" w:type="dxa"/>
                  </w:tcMar>
                  <w:vAlign w:val="center"/>
                </w:tcPr>
                <w:p>
                  <w:pPr>
                    <w:spacing w:line="240" w:lineRule="exact"/>
                    <w:jc w:val="center"/>
                    <w:rPr>
                      <w:color w:val="auto"/>
                      <w:szCs w:val="21"/>
                    </w:rPr>
                  </w:pPr>
                  <w:r>
                    <w:rPr>
                      <w:rFonts w:hAnsi="宋体"/>
                      <w:color w:val="auto"/>
                      <w:szCs w:val="21"/>
                    </w:rPr>
                    <w:t>政策相关内容</w:t>
                  </w:r>
                </w:p>
              </w:tc>
              <w:tc>
                <w:tcPr>
                  <w:tcW w:w="1417" w:type="pct"/>
                  <w:tcBorders>
                    <w:top w:val="single" w:color="auto" w:sz="12" w:space="0"/>
                  </w:tcBorders>
                  <w:tcMar>
                    <w:left w:w="28" w:type="dxa"/>
                    <w:right w:w="28" w:type="dxa"/>
                  </w:tcMar>
                  <w:vAlign w:val="center"/>
                </w:tcPr>
                <w:p>
                  <w:pPr>
                    <w:spacing w:line="240" w:lineRule="exact"/>
                    <w:jc w:val="center"/>
                    <w:rPr>
                      <w:color w:val="auto"/>
                      <w:szCs w:val="21"/>
                    </w:rPr>
                  </w:pPr>
                  <w:r>
                    <w:rPr>
                      <w:rFonts w:hAnsi="宋体"/>
                      <w:color w:val="auto"/>
                      <w:szCs w:val="21"/>
                    </w:rPr>
                    <w:t>本项目情况</w:t>
                  </w:r>
                </w:p>
              </w:tc>
              <w:tc>
                <w:tcPr>
                  <w:tcW w:w="637" w:type="pct"/>
                  <w:tcBorders>
                    <w:top w:val="single" w:color="auto" w:sz="12" w:space="0"/>
                    <w:right w:val="single" w:color="auto" w:sz="12" w:space="0"/>
                  </w:tcBorders>
                  <w:tcMar>
                    <w:left w:w="28" w:type="dxa"/>
                    <w:right w:w="28" w:type="dxa"/>
                  </w:tcMar>
                  <w:vAlign w:val="center"/>
                </w:tcPr>
                <w:p>
                  <w:pPr>
                    <w:spacing w:line="240" w:lineRule="exact"/>
                    <w:jc w:val="center"/>
                    <w:rPr>
                      <w:color w:val="auto"/>
                      <w:szCs w:val="21"/>
                    </w:rPr>
                  </w:pPr>
                  <w:r>
                    <w:rPr>
                      <w:rFonts w:hAnsi="宋体"/>
                      <w:color w:val="auto"/>
                      <w:szCs w:val="21"/>
                    </w:rPr>
                    <w:t>符合性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827" w:hRule="atLeast"/>
                <w:jc w:val="center"/>
              </w:trPr>
              <w:tc>
                <w:tcPr>
                  <w:tcW w:w="956" w:type="pct"/>
                  <w:tcBorders>
                    <w:left w:val="single" w:color="auto" w:sz="12" w:space="0"/>
                  </w:tcBorders>
                  <w:tcMar>
                    <w:left w:w="28" w:type="dxa"/>
                    <w:right w:w="28" w:type="dxa"/>
                  </w:tcMar>
                  <w:vAlign w:val="center"/>
                </w:tcPr>
                <w:p>
                  <w:pPr>
                    <w:jc w:val="center"/>
                    <w:rPr>
                      <w:color w:val="auto"/>
                      <w:szCs w:val="21"/>
                    </w:rPr>
                  </w:pPr>
                  <w:r>
                    <w:rPr>
                      <w:color w:val="auto"/>
                      <w:szCs w:val="21"/>
                    </w:rPr>
                    <w:t>《</w:t>
                  </w:r>
                  <w:r>
                    <w:rPr>
                      <w:rFonts w:hint="eastAsia"/>
                      <w:color w:val="auto"/>
                      <w:szCs w:val="21"/>
                    </w:rPr>
                    <w:t>陕西省人民政府办公厅关于印发蓝天碧水净土保卫战2021年工作方案的通知》</w:t>
                  </w:r>
                  <w:r>
                    <w:rPr>
                      <w:color w:val="auto"/>
                      <w:szCs w:val="21"/>
                    </w:rPr>
                    <w:t>（</w:t>
                  </w:r>
                  <w:r>
                    <w:rPr>
                      <w:rFonts w:hint="eastAsia"/>
                      <w:color w:val="auto"/>
                      <w:szCs w:val="21"/>
                    </w:rPr>
                    <w:t>陕政办函〔2021〕100号</w:t>
                  </w:r>
                  <w:r>
                    <w:rPr>
                      <w:color w:val="auto"/>
                      <w:szCs w:val="21"/>
                    </w:rPr>
                    <w:t>）</w:t>
                  </w:r>
                </w:p>
              </w:tc>
              <w:tc>
                <w:tcPr>
                  <w:tcW w:w="1990" w:type="pct"/>
                  <w:tcMar>
                    <w:left w:w="28" w:type="dxa"/>
                    <w:right w:w="28" w:type="dxa"/>
                  </w:tcMar>
                  <w:vAlign w:val="center"/>
                </w:tcPr>
                <w:p>
                  <w:pPr>
                    <w:rPr>
                      <w:color w:val="auto"/>
                      <w:szCs w:val="21"/>
                    </w:rPr>
                  </w:pPr>
                  <w:r>
                    <w:rPr>
                      <w:rFonts w:hint="eastAsia"/>
                      <w:color w:val="auto"/>
                      <w:szCs w:val="21"/>
                    </w:rPr>
                    <w:t>28.加强物料堆场扬尘管控。加强煤炭、商品混凝土、粉煤</w:t>
                  </w:r>
                </w:p>
                <w:p>
                  <w:pPr>
                    <w:rPr>
                      <w:color w:val="auto"/>
                      <w:szCs w:val="21"/>
                    </w:rPr>
                  </w:pPr>
                  <w:r>
                    <w:rPr>
                      <w:rFonts w:hint="eastAsia"/>
                      <w:color w:val="auto"/>
                      <w:szCs w:val="21"/>
                    </w:rPr>
                    <w:t>灰、矿石等工业企业物料堆场的围墙、喷淋、覆盖和围挡等防风抑尘措施，配套建设收尘和密封物料仓库建设。采用密闭输送设备作业的，必须在装卸时采用吸尘、喷淋防尘措施。严禁露天装卸作业和物料干法作业。</w:t>
                  </w:r>
                </w:p>
              </w:tc>
              <w:tc>
                <w:tcPr>
                  <w:tcW w:w="1417" w:type="pct"/>
                  <w:tcMar>
                    <w:left w:w="28" w:type="dxa"/>
                    <w:right w:w="28" w:type="dxa"/>
                  </w:tcMar>
                  <w:vAlign w:val="center"/>
                </w:tcPr>
                <w:p>
                  <w:pPr>
                    <w:rPr>
                      <w:color w:val="auto"/>
                      <w:szCs w:val="21"/>
                    </w:rPr>
                  </w:pPr>
                  <w:r>
                    <w:rPr>
                      <w:color w:val="auto"/>
                      <w:szCs w:val="21"/>
                    </w:rPr>
                    <w:t>项目粉料装卸均在室内进行，并在各产尘点采取除尘措施。</w:t>
                  </w:r>
                </w:p>
              </w:tc>
              <w:tc>
                <w:tcPr>
                  <w:tcW w:w="637" w:type="pct"/>
                  <w:tcBorders>
                    <w:right w:val="single" w:color="auto" w:sz="12" w:space="0"/>
                  </w:tcBorders>
                  <w:tcMar>
                    <w:left w:w="28" w:type="dxa"/>
                    <w:right w:w="28" w:type="dxa"/>
                  </w:tcMar>
                  <w:vAlign w:val="center"/>
                </w:tcPr>
                <w:p>
                  <w:pPr>
                    <w:spacing w:line="240" w:lineRule="exact"/>
                    <w:jc w:val="center"/>
                    <w:rPr>
                      <w:color w:val="auto"/>
                      <w:szCs w:val="21"/>
                    </w:rPr>
                  </w:pPr>
                  <w:r>
                    <w:rPr>
                      <w:color w:val="auto"/>
                      <w:szCs w:val="21"/>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27" w:hRule="atLeast"/>
                <w:jc w:val="center"/>
              </w:trPr>
              <w:tc>
                <w:tcPr>
                  <w:tcW w:w="956" w:type="pct"/>
                  <w:vMerge w:val="restart"/>
                  <w:tcBorders>
                    <w:left w:val="single" w:color="auto" w:sz="12" w:space="0"/>
                  </w:tcBorders>
                  <w:tcMar>
                    <w:left w:w="28" w:type="dxa"/>
                    <w:right w:w="28" w:type="dxa"/>
                  </w:tcMar>
                  <w:vAlign w:val="center"/>
                </w:tcPr>
                <w:p>
                  <w:pPr>
                    <w:jc w:val="center"/>
                    <w:rPr>
                      <w:color w:val="auto"/>
                      <w:szCs w:val="21"/>
                      <w:u w:color="000000"/>
                    </w:rPr>
                  </w:pPr>
                  <w:r>
                    <w:rPr>
                      <w:rFonts w:hint="eastAsia"/>
                      <w:color w:val="auto"/>
                      <w:szCs w:val="21"/>
                      <w:u w:color="000000"/>
                    </w:rPr>
                    <w:t>《陕西省固体废物污染环境防治条例（2019年修正）》</w:t>
                  </w:r>
                </w:p>
              </w:tc>
              <w:tc>
                <w:tcPr>
                  <w:tcW w:w="1990" w:type="pct"/>
                  <w:tcMar>
                    <w:left w:w="28" w:type="dxa"/>
                    <w:right w:w="28" w:type="dxa"/>
                  </w:tcMar>
                  <w:vAlign w:val="center"/>
                </w:tcPr>
                <w:p>
                  <w:pPr>
                    <w:rPr>
                      <w:color w:val="auto"/>
                      <w:szCs w:val="21"/>
                    </w:rPr>
                  </w:pPr>
                  <w:r>
                    <w:rPr>
                      <w:rFonts w:hint="eastAsia"/>
                      <w:color w:val="auto"/>
                      <w:szCs w:val="21"/>
                    </w:rPr>
                    <w:t>第十二条 产生、收集、贮存、运输、利用、处置固体废物的单位，应当采取符合技术规范、合格有效的防扬散、防流失、防渗漏或者其他防止污染环境的措施。任何单位和个人不得随意倾倒、堆放、丢弃、遗撒固体废物。</w:t>
                  </w:r>
                </w:p>
              </w:tc>
              <w:tc>
                <w:tcPr>
                  <w:tcW w:w="1417" w:type="pct"/>
                  <w:tcMar>
                    <w:left w:w="28" w:type="dxa"/>
                    <w:right w:w="28" w:type="dxa"/>
                  </w:tcMar>
                  <w:vAlign w:val="center"/>
                </w:tcPr>
                <w:p>
                  <w:pPr>
                    <w:rPr>
                      <w:color w:val="auto"/>
                      <w:kern w:val="0"/>
                      <w:szCs w:val="21"/>
                    </w:rPr>
                  </w:pPr>
                  <w:r>
                    <w:rPr>
                      <w:color w:val="auto"/>
                      <w:kern w:val="0"/>
                      <w:szCs w:val="21"/>
                    </w:rPr>
                    <w:t>项目涉及固体废物的产生、收集、贮存环节，均采取合理措施防扬散、防流失、防渗漏，不会对周围环境造成不利影响。</w:t>
                  </w:r>
                </w:p>
              </w:tc>
              <w:tc>
                <w:tcPr>
                  <w:tcW w:w="637" w:type="pct"/>
                  <w:tcBorders>
                    <w:right w:val="single" w:color="auto" w:sz="12" w:space="0"/>
                  </w:tcBorders>
                  <w:tcMar>
                    <w:left w:w="28" w:type="dxa"/>
                    <w:right w:w="28" w:type="dxa"/>
                  </w:tcMar>
                  <w:vAlign w:val="center"/>
                </w:tcPr>
                <w:p>
                  <w:pPr>
                    <w:spacing w:line="240" w:lineRule="exact"/>
                    <w:jc w:val="center"/>
                    <w:rPr>
                      <w:color w:val="auto"/>
                      <w:szCs w:val="21"/>
                      <w:u w:color="000000"/>
                    </w:rPr>
                  </w:pPr>
                  <w:r>
                    <w:rPr>
                      <w:rFonts w:hint="eastAsia"/>
                      <w:color w:val="auto"/>
                      <w:szCs w:val="21"/>
                      <w:u w:color="000000"/>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27" w:hRule="atLeast"/>
                <w:jc w:val="center"/>
              </w:trPr>
              <w:tc>
                <w:tcPr>
                  <w:tcW w:w="956" w:type="pct"/>
                  <w:vMerge w:val="continue"/>
                  <w:tcBorders>
                    <w:left w:val="single" w:color="auto" w:sz="12" w:space="0"/>
                  </w:tcBorders>
                  <w:tcMar>
                    <w:left w:w="28" w:type="dxa"/>
                    <w:right w:w="28" w:type="dxa"/>
                  </w:tcMar>
                  <w:vAlign w:val="center"/>
                </w:tcPr>
                <w:p>
                  <w:pPr>
                    <w:jc w:val="center"/>
                    <w:rPr>
                      <w:color w:val="auto"/>
                      <w:szCs w:val="21"/>
                      <w:u w:color="000000"/>
                    </w:rPr>
                  </w:pPr>
                </w:p>
              </w:tc>
              <w:tc>
                <w:tcPr>
                  <w:tcW w:w="1990" w:type="pct"/>
                  <w:tcMar>
                    <w:left w:w="28" w:type="dxa"/>
                    <w:right w:w="28" w:type="dxa"/>
                  </w:tcMar>
                  <w:vAlign w:val="center"/>
                </w:tcPr>
                <w:p>
                  <w:pPr>
                    <w:rPr>
                      <w:color w:val="auto"/>
                      <w:szCs w:val="21"/>
                    </w:rPr>
                  </w:pPr>
                  <w:r>
                    <w:rPr>
                      <w:rFonts w:hint="eastAsia"/>
                      <w:color w:val="auto"/>
                      <w:szCs w:val="21"/>
                    </w:rPr>
                    <w:t>第十六条 产生工业固体废物的建设项目，应当按照环境影响评价文件和项目设计要求配备建设相应的固体废物贮存设施。企业自行利用或者处置固体废物的，其利用或者处置设施和技术工艺应当符合环境保护要求。</w:t>
                  </w:r>
                </w:p>
              </w:tc>
              <w:tc>
                <w:tcPr>
                  <w:tcW w:w="1417" w:type="pct"/>
                  <w:tcMar>
                    <w:left w:w="28" w:type="dxa"/>
                    <w:right w:w="28" w:type="dxa"/>
                  </w:tcMar>
                  <w:vAlign w:val="center"/>
                </w:tcPr>
                <w:p>
                  <w:pPr>
                    <w:rPr>
                      <w:color w:val="auto"/>
                      <w:kern w:val="0"/>
                      <w:szCs w:val="21"/>
                    </w:rPr>
                  </w:pPr>
                  <w:r>
                    <w:rPr>
                      <w:color w:val="auto"/>
                      <w:kern w:val="0"/>
                      <w:szCs w:val="21"/>
                    </w:rPr>
                    <w:t>项目产生一般固废由一般固废暂存间分类暂存后定期外售或</w:t>
                  </w:r>
                  <w:r>
                    <w:rPr>
                      <w:rFonts w:hint="eastAsia"/>
                      <w:color w:val="auto"/>
                      <w:kern w:val="0"/>
                      <w:szCs w:val="21"/>
                    </w:rPr>
                    <w:t>回用至生产工序</w:t>
                  </w:r>
                  <w:r>
                    <w:rPr>
                      <w:color w:val="auto"/>
                      <w:kern w:val="0"/>
                      <w:szCs w:val="21"/>
                    </w:rPr>
                    <w:t>；项目产生的危险废物暂存危废间，定期交由有资质的单位处置。</w:t>
                  </w:r>
                </w:p>
              </w:tc>
              <w:tc>
                <w:tcPr>
                  <w:tcW w:w="637" w:type="pct"/>
                  <w:tcBorders>
                    <w:right w:val="single" w:color="auto" w:sz="12" w:space="0"/>
                  </w:tcBorders>
                  <w:tcMar>
                    <w:left w:w="28" w:type="dxa"/>
                    <w:right w:w="28" w:type="dxa"/>
                  </w:tcMar>
                  <w:vAlign w:val="center"/>
                </w:tcPr>
                <w:p>
                  <w:pPr>
                    <w:spacing w:line="240" w:lineRule="exact"/>
                    <w:jc w:val="center"/>
                    <w:rPr>
                      <w:color w:val="auto"/>
                      <w:szCs w:val="21"/>
                      <w:u w:color="000000"/>
                    </w:rPr>
                  </w:pPr>
                  <w:r>
                    <w:rPr>
                      <w:rFonts w:hint="eastAsia"/>
                      <w:color w:val="auto"/>
                      <w:szCs w:val="21"/>
                      <w:u w:color="000000"/>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trHeight w:val="827" w:hRule="atLeast"/>
                <w:jc w:val="center"/>
              </w:trPr>
              <w:tc>
                <w:tcPr>
                  <w:tcW w:w="956" w:type="pct"/>
                  <w:tcBorders>
                    <w:left w:val="single" w:color="auto" w:sz="12" w:space="0"/>
                  </w:tcBorders>
                  <w:tcMar>
                    <w:left w:w="28" w:type="dxa"/>
                    <w:right w:w="28" w:type="dxa"/>
                  </w:tcMar>
                  <w:vAlign w:val="center"/>
                </w:tcPr>
                <w:p>
                  <w:pPr>
                    <w:jc w:val="center"/>
                    <w:rPr>
                      <w:color w:val="auto"/>
                      <w:szCs w:val="21"/>
                    </w:rPr>
                  </w:pPr>
                  <w:r>
                    <w:rPr>
                      <w:color w:val="auto"/>
                      <w:szCs w:val="21"/>
                    </w:rPr>
                    <w:t>《渭南市人民政府关于印发渭南市“三线一单”生态环境分区管控方案的通知》（渭</w:t>
                  </w:r>
                  <w:r>
                    <w:rPr>
                      <w:rFonts w:hint="eastAsia"/>
                      <w:color w:val="auto"/>
                      <w:szCs w:val="21"/>
                    </w:rPr>
                    <w:t>政发〔2021〕35号</w:t>
                  </w:r>
                  <w:r>
                    <w:rPr>
                      <w:color w:val="auto"/>
                      <w:szCs w:val="21"/>
                    </w:rPr>
                    <w:t>）</w:t>
                  </w:r>
                </w:p>
              </w:tc>
              <w:tc>
                <w:tcPr>
                  <w:tcW w:w="1990" w:type="pct"/>
                  <w:tcMar>
                    <w:left w:w="28" w:type="dxa"/>
                    <w:right w:w="28" w:type="dxa"/>
                  </w:tcMar>
                  <w:vAlign w:val="center"/>
                </w:tcPr>
                <w:p>
                  <w:pPr>
                    <w:rPr>
                      <w:color w:val="auto"/>
                    </w:rPr>
                  </w:pPr>
                  <w:r>
                    <w:rPr>
                      <w:color w:val="auto"/>
                    </w:rPr>
                    <w:t>重点管控单元与本项目有关的管控要求摘抄：</w:t>
                  </w:r>
                </w:p>
                <w:p>
                  <w:pPr>
                    <w:rPr>
                      <w:color w:val="auto"/>
                    </w:rPr>
                  </w:pPr>
                  <w:r>
                    <w:rPr>
                      <w:rFonts w:hint="eastAsia"/>
                      <w:color w:val="auto"/>
                    </w:rPr>
                    <w:t>（1）大气环境受体敏感区</w:t>
                  </w:r>
                </w:p>
                <w:p>
                  <w:pPr>
                    <w:rPr>
                      <w:color w:val="auto"/>
                    </w:rPr>
                  </w:pPr>
                  <w:r>
                    <w:rPr>
                      <w:rFonts w:hint="eastAsia"/>
                      <w:color w:val="auto"/>
                    </w:rPr>
                    <w:t>空间约束：严格控制新增煤电、石化、化工、钢铁、有色金属冶炼、建材等“两高”行业项目；加快城市建成区重污染企业搬迁改造或关闭退出。</w:t>
                  </w:r>
                </w:p>
                <w:p>
                  <w:pPr>
                    <w:rPr>
                      <w:color w:val="auto"/>
                    </w:rPr>
                  </w:pPr>
                  <w:r>
                    <w:rPr>
                      <w:rFonts w:hint="eastAsia"/>
                      <w:color w:val="auto"/>
                    </w:rPr>
                    <w:t>污染排放管控：区域内保留企业采用先进生产工艺、严格落实污染治理设施，污染物执行超低排放或特别排放限值；控制机动车增速，推动汽车全面实现新能源化；加大餐饮油烟治理力度，排放油烟的饮食业单位全部安装油烟净化装置并实现达标排放。</w:t>
                  </w:r>
                </w:p>
                <w:p>
                  <w:pPr>
                    <w:rPr>
                      <w:color w:val="auto"/>
                    </w:rPr>
                  </w:pPr>
                  <w:r>
                    <w:rPr>
                      <w:color w:val="auto"/>
                    </w:rPr>
                    <w:t>（</w:t>
                  </w:r>
                  <w:r>
                    <w:rPr>
                      <w:rFonts w:hint="eastAsia"/>
                      <w:color w:val="auto"/>
                    </w:rPr>
                    <w:t>2</w:t>
                  </w:r>
                  <w:r>
                    <w:rPr>
                      <w:color w:val="auto"/>
                    </w:rPr>
                    <w:t>）大气环境弱扩散区</w:t>
                  </w:r>
                </w:p>
                <w:p>
                  <w:pPr>
                    <w:rPr>
                      <w:color w:val="auto"/>
                    </w:rPr>
                  </w:pPr>
                  <w:r>
                    <w:rPr>
                      <w:rFonts w:hint="eastAsia"/>
                      <w:color w:val="auto"/>
                    </w:rPr>
                    <w:t>空间约束：严格控制新增煤电、石化、化工、钢铁、有色金属冶炼、建材等“两高”行业项目。</w:t>
                  </w:r>
                </w:p>
                <w:p>
                  <w:pPr>
                    <w:rPr>
                      <w:color w:val="auto"/>
                    </w:rPr>
                  </w:pPr>
                  <w:r>
                    <w:rPr>
                      <w:rFonts w:hint="eastAsia"/>
                      <w:color w:val="auto"/>
                    </w:rPr>
                    <w:t>污染排放管控：加强大气污染物减排力度，推进散煤替代和清洁利用，推进“煤改电”、“煤改气”工程；严禁秸秆燃烧，强化扬尘管控。</w:t>
                  </w:r>
                </w:p>
              </w:tc>
              <w:tc>
                <w:tcPr>
                  <w:tcW w:w="1417" w:type="pct"/>
                  <w:tcMar>
                    <w:left w:w="28" w:type="dxa"/>
                    <w:right w:w="28" w:type="dxa"/>
                  </w:tcMar>
                  <w:vAlign w:val="center"/>
                </w:tcPr>
                <w:p>
                  <w:pPr>
                    <w:rPr>
                      <w:color w:val="auto"/>
                      <w:szCs w:val="21"/>
                    </w:rPr>
                  </w:pPr>
                  <w:r>
                    <w:rPr>
                      <w:color w:val="auto"/>
                      <w:szCs w:val="21"/>
                    </w:rPr>
                    <w:t>本项目</w:t>
                  </w:r>
                  <w:r>
                    <w:rPr>
                      <w:rFonts w:hint="eastAsia"/>
                      <w:color w:val="auto"/>
                      <w:szCs w:val="21"/>
                    </w:rPr>
                    <w:t>属于重点管控单元，</w:t>
                  </w:r>
                  <w:r>
                    <w:rPr>
                      <w:color w:val="auto"/>
                      <w:szCs w:val="21"/>
                    </w:rPr>
                    <w:t>不属于两高行业，项目产生的颗粒物采取处理措施之后稳定达标排放，排放量较小，对周围环境影响较小。</w:t>
                  </w:r>
                </w:p>
              </w:tc>
              <w:tc>
                <w:tcPr>
                  <w:tcW w:w="637" w:type="pct"/>
                  <w:tcBorders>
                    <w:right w:val="single" w:color="auto" w:sz="12" w:space="0"/>
                  </w:tcBorders>
                  <w:tcMar>
                    <w:left w:w="28" w:type="dxa"/>
                    <w:right w:w="28" w:type="dxa"/>
                  </w:tcMar>
                  <w:vAlign w:val="center"/>
                </w:tcPr>
                <w:p>
                  <w:pPr>
                    <w:spacing w:line="240" w:lineRule="exact"/>
                    <w:jc w:val="center"/>
                    <w:rPr>
                      <w:color w:val="auto"/>
                      <w:szCs w:val="21"/>
                    </w:rPr>
                  </w:pPr>
                  <w:r>
                    <w:rPr>
                      <w:color w:val="auto"/>
                      <w:szCs w:val="21"/>
                      <w:u w:color="000000"/>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27" w:hRule="atLeast"/>
                <w:jc w:val="center"/>
              </w:trPr>
              <w:tc>
                <w:tcPr>
                  <w:tcW w:w="956" w:type="pct"/>
                  <w:tcBorders>
                    <w:left w:val="single" w:color="auto" w:sz="12" w:space="0"/>
                  </w:tcBorders>
                  <w:tcMar>
                    <w:left w:w="28" w:type="dxa"/>
                    <w:right w:w="28" w:type="dxa"/>
                  </w:tcMar>
                  <w:vAlign w:val="center"/>
                </w:tcPr>
                <w:p>
                  <w:pPr>
                    <w:jc w:val="center"/>
                    <w:rPr>
                      <w:color w:val="auto"/>
                      <w:szCs w:val="21"/>
                    </w:rPr>
                  </w:pPr>
                  <w:r>
                    <w:rPr>
                      <w:color w:val="auto"/>
                      <w:szCs w:val="21"/>
                    </w:rPr>
                    <w:t>《</w:t>
                  </w:r>
                  <w:r>
                    <w:rPr>
                      <w:rFonts w:hint="eastAsia"/>
                      <w:color w:val="auto"/>
                      <w:szCs w:val="21"/>
                    </w:rPr>
                    <w:t>渭南市国民经济和社会发展第十四个五年规划和二〇三五年远景目标纲要</w:t>
                  </w:r>
                  <w:r>
                    <w:rPr>
                      <w:color w:val="auto"/>
                      <w:szCs w:val="21"/>
                    </w:rPr>
                    <w:t>》渭</w:t>
                  </w:r>
                  <w:r>
                    <w:rPr>
                      <w:rFonts w:hint="eastAsia"/>
                      <w:color w:val="auto"/>
                      <w:szCs w:val="21"/>
                    </w:rPr>
                    <w:t>政发〔2021〕11号</w:t>
                  </w:r>
                  <w:r>
                    <w:rPr>
                      <w:color w:val="auto"/>
                      <w:szCs w:val="21"/>
                    </w:rPr>
                    <w:t>）</w:t>
                  </w:r>
                </w:p>
              </w:tc>
              <w:tc>
                <w:tcPr>
                  <w:tcW w:w="1990" w:type="pct"/>
                  <w:tcBorders>
                    <w:bottom w:val="single" w:color="auto" w:sz="12" w:space="0"/>
                  </w:tcBorders>
                  <w:tcMar>
                    <w:left w:w="28" w:type="dxa"/>
                    <w:right w:w="28" w:type="dxa"/>
                  </w:tcMar>
                  <w:vAlign w:val="center"/>
                </w:tcPr>
                <w:p>
                  <w:pPr>
                    <w:rPr>
                      <w:color w:val="auto"/>
                    </w:rPr>
                  </w:pPr>
                  <w:r>
                    <w:rPr>
                      <w:rFonts w:hint="eastAsia"/>
                      <w:color w:val="auto"/>
                    </w:rPr>
                    <w:t>全面推进大气污染防治。积极应对气候变化，调整优化产业、能源、运输和用地结构，做好碳达峰、碳中和工作，有效控制温室气体排放。以持续改善大气环境质量为核心，深入开展汾渭平原及关中地区大气污染联防联控行动，加强重点行业污染治理和超低排放改造，减少污染物排放。狠抓工业污染源减排，重点开展钢铁、焦化、建材等行业超低排放改造，加强工业炉窑综合整治和煤炭清洁利用，推进挥发性有机物污染防治。</w:t>
                  </w:r>
                </w:p>
              </w:tc>
              <w:tc>
                <w:tcPr>
                  <w:tcW w:w="1417" w:type="pct"/>
                  <w:tcBorders>
                    <w:bottom w:val="single" w:color="auto" w:sz="12" w:space="0"/>
                  </w:tcBorders>
                  <w:tcMar>
                    <w:left w:w="28" w:type="dxa"/>
                    <w:right w:w="28" w:type="dxa"/>
                  </w:tcMar>
                  <w:vAlign w:val="center"/>
                </w:tcPr>
                <w:p>
                  <w:pPr>
                    <w:rPr>
                      <w:color w:val="auto"/>
                      <w:szCs w:val="21"/>
                    </w:rPr>
                  </w:pPr>
                  <w:r>
                    <w:rPr>
                      <w:rFonts w:hint="eastAsia"/>
                      <w:color w:val="auto"/>
                      <w:szCs w:val="21"/>
                    </w:rPr>
                    <w:t>本项目废气满足《大气污染物综合排放标准》限值要求，经处理后对外界周围环境影响较小。</w:t>
                  </w:r>
                </w:p>
              </w:tc>
              <w:tc>
                <w:tcPr>
                  <w:tcW w:w="637" w:type="pct"/>
                  <w:tcBorders>
                    <w:bottom w:val="single" w:color="auto" w:sz="12" w:space="0"/>
                    <w:right w:val="single" w:color="auto" w:sz="12" w:space="0"/>
                  </w:tcBorders>
                  <w:tcMar>
                    <w:left w:w="28" w:type="dxa"/>
                    <w:right w:w="28" w:type="dxa"/>
                  </w:tcMar>
                  <w:vAlign w:val="center"/>
                </w:tcPr>
                <w:p>
                  <w:pPr>
                    <w:spacing w:line="240" w:lineRule="exact"/>
                    <w:jc w:val="center"/>
                    <w:rPr>
                      <w:color w:val="auto"/>
                      <w:szCs w:val="21"/>
                      <w:u w:color="000000"/>
                    </w:rPr>
                  </w:pPr>
                  <w:r>
                    <w:rPr>
                      <w:color w:val="auto"/>
                      <w:szCs w:val="21"/>
                      <w:u w:color="000000"/>
                    </w:rPr>
                    <w:t>符合</w:t>
                  </w:r>
                </w:p>
              </w:tc>
            </w:tr>
          </w:tbl>
          <w:p>
            <w:pPr>
              <w:spacing w:before="120" w:beforeLines="50" w:line="360" w:lineRule="auto"/>
              <w:ind w:firstLine="480" w:firstLineChars="200"/>
              <w:jc w:val="left"/>
              <w:rPr>
                <w:color w:val="auto"/>
                <w:sz w:val="24"/>
              </w:rPr>
            </w:pPr>
            <w:r>
              <w:rPr>
                <w:rFonts w:hint="eastAsia"/>
                <w:color w:val="auto"/>
                <w:sz w:val="24"/>
              </w:rPr>
              <w:t>因此</w:t>
            </w:r>
            <w:r>
              <w:rPr>
                <w:color w:val="auto"/>
                <w:sz w:val="24"/>
              </w:rPr>
              <w:t>，本项目符合</w:t>
            </w:r>
            <w:r>
              <w:rPr>
                <w:rFonts w:hint="eastAsia"/>
                <w:color w:val="auto"/>
                <w:sz w:val="24"/>
              </w:rPr>
              <w:t>相关环保政策</w:t>
            </w:r>
            <w:r>
              <w:rPr>
                <w:color w:val="auto"/>
                <w:sz w:val="24"/>
              </w:rPr>
              <w:t>要求。</w:t>
            </w:r>
          </w:p>
          <w:p>
            <w:pPr>
              <w:spacing w:line="360" w:lineRule="auto"/>
              <w:ind w:firstLine="482" w:firstLineChars="200"/>
              <w:jc w:val="left"/>
              <w:rPr>
                <w:b/>
                <w:bCs/>
                <w:color w:val="auto"/>
                <w:sz w:val="24"/>
              </w:rPr>
            </w:pPr>
            <w:r>
              <w:rPr>
                <w:rFonts w:hint="eastAsia"/>
                <w:b/>
                <w:color w:val="auto"/>
                <w:sz w:val="24"/>
              </w:rPr>
              <w:t>4、</w:t>
            </w:r>
            <w:r>
              <w:rPr>
                <w:b/>
                <w:bCs/>
                <w:color w:val="auto"/>
                <w:sz w:val="24"/>
              </w:rPr>
              <w:t>选址合理性分析</w:t>
            </w:r>
          </w:p>
          <w:p>
            <w:pPr>
              <w:adjustRightInd w:val="0"/>
              <w:snapToGrid w:val="0"/>
              <w:spacing w:line="372" w:lineRule="auto"/>
              <w:ind w:firstLine="480" w:firstLineChars="200"/>
              <w:rPr>
                <w:bCs/>
                <w:color w:val="auto"/>
                <w:sz w:val="24"/>
                <w:szCs w:val="20"/>
              </w:rPr>
            </w:pPr>
            <w:r>
              <w:rPr>
                <w:rFonts w:hint="eastAsia"/>
                <w:bCs/>
                <w:color w:val="auto"/>
                <w:sz w:val="24"/>
                <w:szCs w:val="20"/>
              </w:rPr>
              <w:t>项目位于渭南陕煤启辰科技有限公司现有厂区内，不新增占地，用地性质属于工业用地（附件3、附图3）。</w:t>
            </w:r>
          </w:p>
          <w:p>
            <w:pPr>
              <w:spacing w:line="360" w:lineRule="auto"/>
              <w:ind w:firstLine="480" w:firstLineChars="200"/>
              <w:rPr>
                <w:bCs/>
                <w:color w:val="auto"/>
                <w:sz w:val="24"/>
                <w:szCs w:val="20"/>
              </w:rPr>
            </w:pPr>
            <w:r>
              <w:rPr>
                <w:rFonts w:hint="eastAsia"/>
                <w:bCs/>
                <w:color w:val="auto"/>
                <w:sz w:val="24"/>
                <w:szCs w:val="20"/>
              </w:rPr>
              <w:t>本项目位于厂区东北角。厂区</w:t>
            </w:r>
            <w:r>
              <w:rPr>
                <w:rFonts w:hint="eastAsia"/>
                <w:bCs/>
                <w:color w:val="auto"/>
                <w:sz w:val="24"/>
                <w:szCs w:val="20"/>
                <w:lang w:eastAsia="zh-CN"/>
              </w:rPr>
              <w:t>北临</w:t>
            </w:r>
            <w:r>
              <w:rPr>
                <w:rFonts w:hint="eastAsia" w:ascii="宋体" w:hAnsi="宋体"/>
                <w:bCs/>
                <w:color w:val="auto"/>
                <w:sz w:val="24"/>
              </w:rPr>
              <w:t>渭南市天然气有限公司和方圆机械厂</w:t>
            </w:r>
            <w:r>
              <w:rPr>
                <w:rFonts w:hint="eastAsia"/>
                <w:bCs/>
                <w:color w:val="auto"/>
                <w:sz w:val="24"/>
                <w:szCs w:val="20"/>
              </w:rPr>
              <w:t>，南侧为规划中的新区南街，东侧为光华路、西侧为规划中的新站路。项目所在地交通便利、配套设施较为完善。建设地不在国家法律法规规划的饮用水水源地保护区、自然保护区、风景名胜区、生态功能保护区等需要特殊保护的地区范围内。</w:t>
            </w:r>
          </w:p>
          <w:p>
            <w:pPr>
              <w:spacing w:line="360" w:lineRule="auto"/>
              <w:ind w:firstLine="480" w:firstLineChars="200"/>
              <w:rPr>
                <w:bCs/>
                <w:color w:val="auto"/>
                <w:sz w:val="24"/>
                <w:szCs w:val="20"/>
              </w:rPr>
            </w:pPr>
            <w:r>
              <w:rPr>
                <w:rFonts w:hint="eastAsia"/>
                <w:bCs/>
                <w:color w:val="auto"/>
                <w:sz w:val="24"/>
                <w:szCs w:val="20"/>
              </w:rPr>
              <w:t>项目北厂界</w:t>
            </w:r>
            <w:r>
              <w:rPr>
                <w:rFonts w:hint="eastAsia"/>
                <w:bCs/>
                <w:color w:val="auto"/>
                <w:sz w:val="24"/>
                <w:szCs w:val="20"/>
                <w:lang w:eastAsia="zh-CN"/>
              </w:rPr>
              <w:t>临</w:t>
            </w:r>
            <w:r>
              <w:rPr>
                <w:rFonts w:hint="eastAsia"/>
                <w:bCs/>
                <w:color w:val="auto"/>
                <w:sz w:val="24"/>
                <w:szCs w:val="20"/>
              </w:rPr>
              <w:t>渭南市天然气公司</w:t>
            </w:r>
            <w:r>
              <w:rPr>
                <w:rFonts w:hint="eastAsia"/>
                <w:bCs/>
                <w:color w:val="auto"/>
                <w:sz w:val="24"/>
                <w:szCs w:val="20"/>
              </w:rPr>
              <w:t>，其中有2座LNG储罐，储罐距本项目北厂界100m，与本项目生产车间（丁戊类）相距约120m。参照《汽车加油加气站设计与施工规范》（GB50156-2014）中关于LNG设备与站外建（构）筑物的安全间距的规定，项目生产厂房（丁戊类）与LNG储罐的距离满足相关防护距离要求（＞25m）。</w:t>
            </w:r>
          </w:p>
          <w:p>
            <w:pPr>
              <w:snapToGrid w:val="0"/>
              <w:jc w:val="center"/>
              <w:rPr>
                <w:b/>
                <w:color w:val="auto"/>
                <w:sz w:val="24"/>
                <w:szCs w:val="20"/>
              </w:rPr>
            </w:pPr>
            <w:r>
              <w:rPr>
                <w:rFonts w:hint="eastAsia"/>
                <w:b/>
                <w:color w:val="auto"/>
                <w:sz w:val="24"/>
                <w:szCs w:val="20"/>
              </w:rPr>
              <w:t>表1-6   LNG设备与站外建（构）筑物的安全间距（m）</w:t>
            </w:r>
          </w:p>
          <w:tbl>
            <w:tblPr>
              <w:tblStyle w:val="19"/>
              <w:tblW w:w="497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16"/>
              <w:gridCol w:w="380"/>
              <w:gridCol w:w="1555"/>
              <w:gridCol w:w="798"/>
              <w:gridCol w:w="800"/>
              <w:gridCol w:w="804"/>
              <w:gridCol w:w="794"/>
              <w:gridCol w:w="7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042" w:type="pct"/>
                  <w:gridSpan w:val="3"/>
                  <w:vMerge w:val="restart"/>
                  <w:vAlign w:val="center"/>
                </w:tcPr>
                <w:p>
                  <w:pPr>
                    <w:widowControl/>
                    <w:jc w:val="center"/>
                    <w:rPr>
                      <w:bCs/>
                      <w:color w:val="auto"/>
                      <w:szCs w:val="21"/>
                    </w:rPr>
                  </w:pPr>
                  <w:r>
                    <w:rPr>
                      <w:rFonts w:hint="eastAsia"/>
                      <w:bCs/>
                      <w:color w:val="auto"/>
                      <w:szCs w:val="21"/>
                    </w:rPr>
                    <w:t>站外建（构）筑物</w:t>
                  </w:r>
                </w:p>
              </w:tc>
              <w:tc>
                <w:tcPr>
                  <w:tcW w:w="2958" w:type="pct"/>
                  <w:gridSpan w:val="5"/>
                  <w:vAlign w:val="center"/>
                </w:tcPr>
                <w:p>
                  <w:pPr>
                    <w:widowControl/>
                    <w:jc w:val="center"/>
                    <w:rPr>
                      <w:bCs/>
                      <w:color w:val="auto"/>
                      <w:szCs w:val="21"/>
                    </w:rPr>
                  </w:pPr>
                  <w:r>
                    <w:rPr>
                      <w:bCs/>
                      <w:color w:val="auto"/>
                      <w:szCs w:val="21"/>
                    </w:rPr>
                    <w:t>站内</w:t>
                  </w:r>
                  <w:r>
                    <w:rPr>
                      <w:rFonts w:hint="eastAsia"/>
                      <w:bCs/>
                      <w:color w:val="auto"/>
                      <w:szCs w:val="21"/>
                    </w:rPr>
                    <w:t>LNG</w:t>
                  </w:r>
                  <w:r>
                    <w:rPr>
                      <w:bCs/>
                      <w:color w:val="auto"/>
                      <w:szCs w:val="21"/>
                    </w:rPr>
                    <w:t>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042" w:type="pct"/>
                  <w:gridSpan w:val="3"/>
                  <w:vMerge w:val="continue"/>
                  <w:vAlign w:val="center"/>
                </w:tcPr>
                <w:p>
                  <w:pPr>
                    <w:widowControl/>
                    <w:jc w:val="center"/>
                    <w:rPr>
                      <w:bCs/>
                      <w:color w:val="auto"/>
                      <w:szCs w:val="21"/>
                    </w:rPr>
                  </w:pPr>
                </w:p>
              </w:tc>
              <w:tc>
                <w:tcPr>
                  <w:tcW w:w="1783" w:type="pct"/>
                  <w:gridSpan w:val="3"/>
                  <w:vAlign w:val="center"/>
                </w:tcPr>
                <w:p>
                  <w:pPr>
                    <w:widowControl/>
                    <w:jc w:val="center"/>
                    <w:rPr>
                      <w:bCs/>
                      <w:color w:val="auto"/>
                      <w:szCs w:val="21"/>
                    </w:rPr>
                  </w:pPr>
                  <w:r>
                    <w:rPr>
                      <w:bCs/>
                      <w:color w:val="auto"/>
                      <w:szCs w:val="21"/>
                    </w:rPr>
                    <w:t>地上</w:t>
                  </w:r>
                  <w:r>
                    <w:rPr>
                      <w:rFonts w:hint="eastAsia"/>
                      <w:bCs/>
                      <w:color w:val="auto"/>
                      <w:szCs w:val="21"/>
                    </w:rPr>
                    <w:t>LNG储罐</w:t>
                  </w:r>
                </w:p>
              </w:tc>
              <w:tc>
                <w:tcPr>
                  <w:tcW w:w="589" w:type="pct"/>
                  <w:vMerge w:val="restart"/>
                  <w:vAlign w:val="center"/>
                </w:tcPr>
                <w:p>
                  <w:pPr>
                    <w:widowControl/>
                    <w:jc w:val="center"/>
                    <w:rPr>
                      <w:bCs/>
                      <w:color w:val="auto"/>
                      <w:szCs w:val="21"/>
                    </w:rPr>
                  </w:pPr>
                  <w:r>
                    <w:rPr>
                      <w:bCs/>
                      <w:color w:val="auto"/>
                      <w:szCs w:val="21"/>
                    </w:rPr>
                    <w:t>放散管管口、加气机</w:t>
                  </w:r>
                </w:p>
              </w:tc>
              <w:tc>
                <w:tcPr>
                  <w:tcW w:w="586" w:type="pct"/>
                  <w:vMerge w:val="restart"/>
                  <w:vAlign w:val="center"/>
                </w:tcPr>
                <w:p>
                  <w:pPr>
                    <w:widowControl/>
                    <w:jc w:val="center"/>
                    <w:rPr>
                      <w:bCs/>
                      <w:color w:val="auto"/>
                      <w:szCs w:val="21"/>
                    </w:rPr>
                  </w:pPr>
                  <w:r>
                    <w:rPr>
                      <w:rFonts w:hint="eastAsia"/>
                      <w:bCs/>
                      <w:color w:val="auto"/>
                      <w:szCs w:val="21"/>
                    </w:rPr>
                    <w:t>LNG卸车点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9" w:hRule="atLeast"/>
              </w:trPr>
              <w:tc>
                <w:tcPr>
                  <w:tcW w:w="2042" w:type="pct"/>
                  <w:gridSpan w:val="3"/>
                  <w:vMerge w:val="continue"/>
                  <w:vAlign w:val="center"/>
                </w:tcPr>
                <w:p>
                  <w:pPr>
                    <w:widowControl/>
                    <w:jc w:val="center"/>
                    <w:rPr>
                      <w:bCs/>
                      <w:color w:val="auto"/>
                      <w:szCs w:val="21"/>
                    </w:rPr>
                  </w:pPr>
                </w:p>
              </w:tc>
              <w:tc>
                <w:tcPr>
                  <w:tcW w:w="592" w:type="pct"/>
                  <w:vAlign w:val="center"/>
                </w:tcPr>
                <w:p>
                  <w:pPr>
                    <w:widowControl/>
                    <w:jc w:val="center"/>
                    <w:rPr>
                      <w:bCs/>
                      <w:color w:val="auto"/>
                      <w:szCs w:val="21"/>
                    </w:rPr>
                  </w:pPr>
                  <w:r>
                    <w:rPr>
                      <w:bCs/>
                      <w:color w:val="auto"/>
                      <w:szCs w:val="21"/>
                    </w:rPr>
                    <w:t>一级站</w:t>
                  </w:r>
                </w:p>
              </w:tc>
              <w:tc>
                <w:tcPr>
                  <w:tcW w:w="594" w:type="pct"/>
                  <w:vAlign w:val="center"/>
                </w:tcPr>
                <w:p>
                  <w:pPr>
                    <w:widowControl/>
                    <w:jc w:val="center"/>
                    <w:rPr>
                      <w:bCs/>
                      <w:color w:val="auto"/>
                      <w:szCs w:val="21"/>
                    </w:rPr>
                  </w:pPr>
                  <w:r>
                    <w:rPr>
                      <w:bCs/>
                      <w:color w:val="auto"/>
                      <w:szCs w:val="21"/>
                    </w:rPr>
                    <w:t>二级站</w:t>
                  </w:r>
                </w:p>
              </w:tc>
              <w:tc>
                <w:tcPr>
                  <w:tcW w:w="597" w:type="pct"/>
                  <w:vAlign w:val="center"/>
                </w:tcPr>
                <w:p>
                  <w:pPr>
                    <w:widowControl/>
                    <w:jc w:val="center"/>
                    <w:rPr>
                      <w:bCs/>
                      <w:color w:val="auto"/>
                      <w:szCs w:val="21"/>
                    </w:rPr>
                  </w:pPr>
                  <w:r>
                    <w:rPr>
                      <w:bCs/>
                      <w:color w:val="auto"/>
                      <w:szCs w:val="21"/>
                    </w:rPr>
                    <w:t>三级站</w:t>
                  </w:r>
                </w:p>
              </w:tc>
              <w:tc>
                <w:tcPr>
                  <w:tcW w:w="589" w:type="pct"/>
                  <w:vMerge w:val="continue"/>
                  <w:vAlign w:val="center"/>
                </w:tcPr>
                <w:p>
                  <w:pPr>
                    <w:widowControl/>
                    <w:jc w:val="center"/>
                    <w:rPr>
                      <w:bCs/>
                      <w:color w:val="auto"/>
                      <w:szCs w:val="21"/>
                    </w:rPr>
                  </w:pPr>
                </w:p>
              </w:tc>
              <w:tc>
                <w:tcPr>
                  <w:tcW w:w="586" w:type="pct"/>
                  <w:vMerge w:val="continue"/>
                  <w:vAlign w:val="center"/>
                </w:tcPr>
                <w:p>
                  <w:pPr>
                    <w:widowControl/>
                    <w:jc w:val="center"/>
                    <w:rPr>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042" w:type="pct"/>
                  <w:gridSpan w:val="3"/>
                  <w:vAlign w:val="center"/>
                </w:tcPr>
                <w:p>
                  <w:pPr>
                    <w:widowControl/>
                    <w:jc w:val="center"/>
                    <w:rPr>
                      <w:bCs/>
                      <w:color w:val="auto"/>
                      <w:szCs w:val="21"/>
                    </w:rPr>
                  </w:pPr>
                  <w:r>
                    <w:rPr>
                      <w:bCs/>
                      <w:color w:val="auto"/>
                      <w:szCs w:val="21"/>
                    </w:rPr>
                    <w:t>重要公共建筑物</w:t>
                  </w:r>
                </w:p>
              </w:tc>
              <w:tc>
                <w:tcPr>
                  <w:tcW w:w="592" w:type="pct"/>
                  <w:vAlign w:val="center"/>
                </w:tcPr>
                <w:p>
                  <w:pPr>
                    <w:widowControl/>
                    <w:jc w:val="center"/>
                    <w:rPr>
                      <w:bCs/>
                      <w:color w:val="auto"/>
                      <w:szCs w:val="21"/>
                    </w:rPr>
                  </w:pPr>
                  <w:r>
                    <w:rPr>
                      <w:rFonts w:hint="eastAsia"/>
                      <w:bCs/>
                      <w:color w:val="auto"/>
                      <w:szCs w:val="21"/>
                    </w:rPr>
                    <w:t>80</w:t>
                  </w:r>
                </w:p>
              </w:tc>
              <w:tc>
                <w:tcPr>
                  <w:tcW w:w="594" w:type="pct"/>
                  <w:vAlign w:val="center"/>
                </w:tcPr>
                <w:p>
                  <w:pPr>
                    <w:widowControl/>
                    <w:jc w:val="center"/>
                    <w:rPr>
                      <w:bCs/>
                      <w:color w:val="auto"/>
                      <w:szCs w:val="21"/>
                    </w:rPr>
                  </w:pPr>
                  <w:r>
                    <w:rPr>
                      <w:rFonts w:hint="eastAsia"/>
                      <w:bCs/>
                      <w:color w:val="auto"/>
                      <w:szCs w:val="21"/>
                    </w:rPr>
                    <w:t>80</w:t>
                  </w:r>
                </w:p>
              </w:tc>
              <w:tc>
                <w:tcPr>
                  <w:tcW w:w="597" w:type="pct"/>
                  <w:vAlign w:val="center"/>
                </w:tcPr>
                <w:p>
                  <w:pPr>
                    <w:widowControl/>
                    <w:jc w:val="center"/>
                    <w:rPr>
                      <w:bCs/>
                      <w:color w:val="auto"/>
                      <w:szCs w:val="21"/>
                    </w:rPr>
                  </w:pPr>
                  <w:r>
                    <w:rPr>
                      <w:rFonts w:hint="eastAsia"/>
                      <w:bCs/>
                      <w:color w:val="auto"/>
                      <w:szCs w:val="21"/>
                    </w:rPr>
                    <w:t>80</w:t>
                  </w:r>
                </w:p>
              </w:tc>
              <w:tc>
                <w:tcPr>
                  <w:tcW w:w="589" w:type="pct"/>
                  <w:vAlign w:val="center"/>
                </w:tcPr>
                <w:p>
                  <w:pPr>
                    <w:widowControl/>
                    <w:jc w:val="center"/>
                    <w:rPr>
                      <w:bCs/>
                      <w:color w:val="auto"/>
                      <w:szCs w:val="21"/>
                    </w:rPr>
                  </w:pPr>
                  <w:r>
                    <w:rPr>
                      <w:rFonts w:hint="eastAsia"/>
                      <w:bCs/>
                      <w:color w:val="auto"/>
                      <w:szCs w:val="21"/>
                    </w:rPr>
                    <w:t>50</w:t>
                  </w:r>
                </w:p>
              </w:tc>
              <w:tc>
                <w:tcPr>
                  <w:tcW w:w="586" w:type="pct"/>
                  <w:vAlign w:val="center"/>
                </w:tcPr>
                <w:p>
                  <w:pPr>
                    <w:widowControl/>
                    <w:jc w:val="center"/>
                    <w:rPr>
                      <w:bCs/>
                      <w:color w:val="auto"/>
                      <w:szCs w:val="21"/>
                    </w:rPr>
                  </w:pPr>
                  <w:r>
                    <w:rPr>
                      <w:rFonts w:hint="eastAsia"/>
                      <w:bCs/>
                      <w:color w:val="auto"/>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042" w:type="pct"/>
                  <w:gridSpan w:val="3"/>
                  <w:vAlign w:val="center"/>
                </w:tcPr>
                <w:p>
                  <w:pPr>
                    <w:widowControl/>
                    <w:jc w:val="center"/>
                    <w:rPr>
                      <w:bCs/>
                      <w:color w:val="auto"/>
                      <w:szCs w:val="21"/>
                    </w:rPr>
                  </w:pPr>
                  <w:r>
                    <w:rPr>
                      <w:bCs/>
                      <w:color w:val="auto"/>
                      <w:szCs w:val="21"/>
                    </w:rPr>
                    <w:t>明火地点或散发火花地点</w:t>
                  </w:r>
                </w:p>
              </w:tc>
              <w:tc>
                <w:tcPr>
                  <w:tcW w:w="592" w:type="pct"/>
                  <w:vMerge w:val="restart"/>
                  <w:vAlign w:val="center"/>
                </w:tcPr>
                <w:p>
                  <w:pPr>
                    <w:widowControl/>
                    <w:jc w:val="center"/>
                    <w:rPr>
                      <w:bCs/>
                      <w:color w:val="auto"/>
                      <w:szCs w:val="21"/>
                    </w:rPr>
                  </w:pPr>
                  <w:r>
                    <w:rPr>
                      <w:rFonts w:hint="eastAsia"/>
                      <w:bCs/>
                      <w:color w:val="auto"/>
                      <w:szCs w:val="21"/>
                    </w:rPr>
                    <w:t>35</w:t>
                  </w:r>
                </w:p>
              </w:tc>
              <w:tc>
                <w:tcPr>
                  <w:tcW w:w="594" w:type="pct"/>
                  <w:vMerge w:val="restart"/>
                  <w:vAlign w:val="center"/>
                </w:tcPr>
                <w:p>
                  <w:pPr>
                    <w:widowControl/>
                    <w:jc w:val="center"/>
                    <w:rPr>
                      <w:bCs/>
                      <w:color w:val="auto"/>
                      <w:szCs w:val="21"/>
                    </w:rPr>
                  </w:pPr>
                  <w:r>
                    <w:rPr>
                      <w:rFonts w:hint="eastAsia"/>
                      <w:bCs/>
                      <w:color w:val="auto"/>
                      <w:szCs w:val="21"/>
                    </w:rPr>
                    <w:t>30</w:t>
                  </w:r>
                </w:p>
              </w:tc>
              <w:tc>
                <w:tcPr>
                  <w:tcW w:w="597" w:type="pct"/>
                  <w:vMerge w:val="restart"/>
                  <w:vAlign w:val="center"/>
                </w:tcPr>
                <w:p>
                  <w:pPr>
                    <w:widowControl/>
                    <w:jc w:val="center"/>
                    <w:rPr>
                      <w:bCs/>
                      <w:color w:val="auto"/>
                      <w:szCs w:val="21"/>
                    </w:rPr>
                  </w:pPr>
                  <w:r>
                    <w:rPr>
                      <w:rFonts w:hint="eastAsia"/>
                      <w:bCs/>
                      <w:color w:val="auto"/>
                      <w:szCs w:val="21"/>
                    </w:rPr>
                    <w:t>25</w:t>
                  </w:r>
                </w:p>
              </w:tc>
              <w:tc>
                <w:tcPr>
                  <w:tcW w:w="589" w:type="pct"/>
                  <w:vMerge w:val="restart"/>
                  <w:vAlign w:val="center"/>
                </w:tcPr>
                <w:p>
                  <w:pPr>
                    <w:widowControl/>
                    <w:jc w:val="center"/>
                    <w:rPr>
                      <w:bCs/>
                      <w:color w:val="auto"/>
                      <w:szCs w:val="21"/>
                    </w:rPr>
                  </w:pPr>
                  <w:r>
                    <w:rPr>
                      <w:rFonts w:hint="eastAsia"/>
                      <w:bCs/>
                      <w:color w:val="auto"/>
                      <w:szCs w:val="21"/>
                    </w:rPr>
                    <w:t>25</w:t>
                  </w:r>
                </w:p>
              </w:tc>
              <w:tc>
                <w:tcPr>
                  <w:tcW w:w="586" w:type="pct"/>
                  <w:vMerge w:val="restart"/>
                  <w:vAlign w:val="center"/>
                </w:tcPr>
                <w:p>
                  <w:pPr>
                    <w:widowControl/>
                    <w:jc w:val="center"/>
                    <w:rPr>
                      <w:bCs/>
                      <w:color w:val="auto"/>
                      <w:szCs w:val="21"/>
                    </w:rPr>
                  </w:pPr>
                  <w:r>
                    <w:rPr>
                      <w:rFonts w:hint="eastAsia"/>
                      <w:bCs/>
                      <w:color w:val="auto"/>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88" w:type="pct"/>
                  <w:gridSpan w:val="2"/>
                  <w:vMerge w:val="restart"/>
                  <w:vAlign w:val="center"/>
                </w:tcPr>
                <w:p>
                  <w:pPr>
                    <w:widowControl/>
                    <w:jc w:val="center"/>
                    <w:rPr>
                      <w:bCs/>
                      <w:color w:val="auto"/>
                      <w:szCs w:val="21"/>
                    </w:rPr>
                  </w:pPr>
                  <w:r>
                    <w:rPr>
                      <w:bCs/>
                      <w:color w:val="auto"/>
                      <w:szCs w:val="21"/>
                    </w:rPr>
                    <w:t>民用建筑物保护类别</w:t>
                  </w:r>
                </w:p>
              </w:tc>
              <w:tc>
                <w:tcPr>
                  <w:tcW w:w="1154" w:type="pct"/>
                  <w:vAlign w:val="center"/>
                </w:tcPr>
                <w:p>
                  <w:pPr>
                    <w:widowControl/>
                    <w:jc w:val="center"/>
                    <w:rPr>
                      <w:bCs/>
                      <w:color w:val="auto"/>
                      <w:szCs w:val="21"/>
                    </w:rPr>
                  </w:pPr>
                  <w:r>
                    <w:rPr>
                      <w:bCs/>
                      <w:color w:val="auto"/>
                      <w:szCs w:val="21"/>
                    </w:rPr>
                    <w:t>一类保护物</w:t>
                  </w:r>
                </w:p>
              </w:tc>
              <w:tc>
                <w:tcPr>
                  <w:tcW w:w="592" w:type="pct"/>
                  <w:vMerge w:val="continue"/>
                  <w:vAlign w:val="center"/>
                </w:tcPr>
                <w:p>
                  <w:pPr>
                    <w:widowControl/>
                    <w:jc w:val="center"/>
                    <w:rPr>
                      <w:bCs/>
                      <w:color w:val="auto"/>
                      <w:szCs w:val="21"/>
                    </w:rPr>
                  </w:pPr>
                </w:p>
              </w:tc>
              <w:tc>
                <w:tcPr>
                  <w:tcW w:w="594" w:type="pct"/>
                  <w:vMerge w:val="continue"/>
                  <w:vAlign w:val="center"/>
                </w:tcPr>
                <w:p>
                  <w:pPr>
                    <w:widowControl/>
                    <w:jc w:val="center"/>
                    <w:rPr>
                      <w:bCs/>
                      <w:color w:val="auto"/>
                      <w:szCs w:val="21"/>
                    </w:rPr>
                  </w:pPr>
                </w:p>
              </w:tc>
              <w:tc>
                <w:tcPr>
                  <w:tcW w:w="597" w:type="pct"/>
                  <w:vMerge w:val="continue"/>
                  <w:vAlign w:val="center"/>
                </w:tcPr>
                <w:p>
                  <w:pPr>
                    <w:widowControl/>
                    <w:jc w:val="center"/>
                    <w:rPr>
                      <w:bCs/>
                      <w:color w:val="auto"/>
                      <w:szCs w:val="21"/>
                    </w:rPr>
                  </w:pPr>
                </w:p>
              </w:tc>
              <w:tc>
                <w:tcPr>
                  <w:tcW w:w="589" w:type="pct"/>
                  <w:vMerge w:val="continue"/>
                  <w:vAlign w:val="center"/>
                </w:tcPr>
                <w:p>
                  <w:pPr>
                    <w:widowControl/>
                    <w:jc w:val="center"/>
                    <w:rPr>
                      <w:bCs/>
                      <w:color w:val="auto"/>
                      <w:szCs w:val="21"/>
                    </w:rPr>
                  </w:pPr>
                </w:p>
              </w:tc>
              <w:tc>
                <w:tcPr>
                  <w:tcW w:w="586" w:type="pct"/>
                  <w:vMerge w:val="continue"/>
                  <w:vAlign w:val="center"/>
                </w:tcPr>
                <w:p>
                  <w:pPr>
                    <w:widowControl/>
                    <w:jc w:val="center"/>
                    <w:rPr>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88" w:type="pct"/>
                  <w:gridSpan w:val="2"/>
                  <w:vMerge w:val="continue"/>
                  <w:vAlign w:val="center"/>
                </w:tcPr>
                <w:p>
                  <w:pPr>
                    <w:widowControl/>
                    <w:jc w:val="center"/>
                    <w:rPr>
                      <w:bCs/>
                      <w:color w:val="auto"/>
                      <w:szCs w:val="21"/>
                    </w:rPr>
                  </w:pPr>
                </w:p>
              </w:tc>
              <w:tc>
                <w:tcPr>
                  <w:tcW w:w="1154" w:type="pct"/>
                  <w:vAlign w:val="center"/>
                </w:tcPr>
                <w:p>
                  <w:pPr>
                    <w:widowControl/>
                    <w:jc w:val="center"/>
                    <w:rPr>
                      <w:bCs/>
                      <w:color w:val="auto"/>
                      <w:szCs w:val="21"/>
                    </w:rPr>
                  </w:pPr>
                  <w:r>
                    <w:rPr>
                      <w:bCs/>
                      <w:color w:val="auto"/>
                      <w:szCs w:val="21"/>
                    </w:rPr>
                    <w:t>二类保护物</w:t>
                  </w:r>
                </w:p>
              </w:tc>
              <w:tc>
                <w:tcPr>
                  <w:tcW w:w="592" w:type="pct"/>
                  <w:vAlign w:val="center"/>
                </w:tcPr>
                <w:p>
                  <w:pPr>
                    <w:widowControl/>
                    <w:jc w:val="center"/>
                    <w:rPr>
                      <w:bCs/>
                      <w:color w:val="auto"/>
                      <w:szCs w:val="21"/>
                    </w:rPr>
                  </w:pPr>
                  <w:r>
                    <w:rPr>
                      <w:rFonts w:hint="eastAsia"/>
                      <w:bCs/>
                      <w:color w:val="auto"/>
                      <w:szCs w:val="21"/>
                    </w:rPr>
                    <w:t>25</w:t>
                  </w:r>
                </w:p>
              </w:tc>
              <w:tc>
                <w:tcPr>
                  <w:tcW w:w="594" w:type="pct"/>
                  <w:vAlign w:val="center"/>
                </w:tcPr>
                <w:p>
                  <w:pPr>
                    <w:widowControl/>
                    <w:jc w:val="center"/>
                    <w:rPr>
                      <w:bCs/>
                      <w:color w:val="auto"/>
                      <w:szCs w:val="21"/>
                    </w:rPr>
                  </w:pPr>
                  <w:r>
                    <w:rPr>
                      <w:rFonts w:hint="eastAsia"/>
                      <w:bCs/>
                      <w:color w:val="auto"/>
                      <w:szCs w:val="21"/>
                    </w:rPr>
                    <w:t>20</w:t>
                  </w:r>
                </w:p>
              </w:tc>
              <w:tc>
                <w:tcPr>
                  <w:tcW w:w="597" w:type="pct"/>
                  <w:vAlign w:val="center"/>
                </w:tcPr>
                <w:p>
                  <w:pPr>
                    <w:widowControl/>
                    <w:jc w:val="center"/>
                    <w:rPr>
                      <w:bCs/>
                      <w:color w:val="auto"/>
                      <w:szCs w:val="21"/>
                    </w:rPr>
                  </w:pPr>
                  <w:r>
                    <w:rPr>
                      <w:rFonts w:hint="eastAsia"/>
                      <w:bCs/>
                      <w:color w:val="auto"/>
                      <w:szCs w:val="21"/>
                    </w:rPr>
                    <w:t>16</w:t>
                  </w:r>
                </w:p>
              </w:tc>
              <w:tc>
                <w:tcPr>
                  <w:tcW w:w="589" w:type="pct"/>
                  <w:vAlign w:val="center"/>
                </w:tcPr>
                <w:p>
                  <w:pPr>
                    <w:widowControl/>
                    <w:jc w:val="center"/>
                    <w:rPr>
                      <w:bCs/>
                      <w:color w:val="auto"/>
                      <w:szCs w:val="21"/>
                    </w:rPr>
                  </w:pPr>
                  <w:r>
                    <w:rPr>
                      <w:rFonts w:hint="eastAsia"/>
                      <w:bCs/>
                      <w:color w:val="auto"/>
                      <w:szCs w:val="21"/>
                    </w:rPr>
                    <w:t>16</w:t>
                  </w:r>
                </w:p>
              </w:tc>
              <w:tc>
                <w:tcPr>
                  <w:tcW w:w="586" w:type="pct"/>
                  <w:vAlign w:val="center"/>
                </w:tcPr>
                <w:p>
                  <w:pPr>
                    <w:widowControl/>
                    <w:jc w:val="center"/>
                    <w:rPr>
                      <w:bCs/>
                      <w:color w:val="auto"/>
                      <w:szCs w:val="21"/>
                    </w:rPr>
                  </w:pPr>
                  <w:r>
                    <w:rPr>
                      <w:rFonts w:hint="eastAsia"/>
                      <w:bCs/>
                      <w:color w:val="auto"/>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88" w:type="pct"/>
                  <w:gridSpan w:val="2"/>
                  <w:vMerge w:val="continue"/>
                  <w:vAlign w:val="center"/>
                </w:tcPr>
                <w:p>
                  <w:pPr>
                    <w:widowControl/>
                    <w:jc w:val="center"/>
                    <w:rPr>
                      <w:bCs/>
                      <w:color w:val="auto"/>
                      <w:szCs w:val="21"/>
                    </w:rPr>
                  </w:pPr>
                </w:p>
              </w:tc>
              <w:tc>
                <w:tcPr>
                  <w:tcW w:w="1154" w:type="pct"/>
                  <w:vAlign w:val="center"/>
                </w:tcPr>
                <w:p>
                  <w:pPr>
                    <w:widowControl/>
                    <w:jc w:val="center"/>
                    <w:rPr>
                      <w:bCs/>
                      <w:color w:val="auto"/>
                      <w:szCs w:val="21"/>
                    </w:rPr>
                  </w:pPr>
                  <w:r>
                    <w:rPr>
                      <w:bCs/>
                      <w:color w:val="auto"/>
                      <w:szCs w:val="21"/>
                    </w:rPr>
                    <w:t>三类保护物</w:t>
                  </w:r>
                </w:p>
              </w:tc>
              <w:tc>
                <w:tcPr>
                  <w:tcW w:w="592" w:type="pct"/>
                  <w:vAlign w:val="center"/>
                </w:tcPr>
                <w:p>
                  <w:pPr>
                    <w:widowControl/>
                    <w:jc w:val="center"/>
                    <w:rPr>
                      <w:bCs/>
                      <w:color w:val="auto"/>
                      <w:szCs w:val="21"/>
                    </w:rPr>
                  </w:pPr>
                  <w:r>
                    <w:rPr>
                      <w:rFonts w:hint="eastAsia"/>
                      <w:bCs/>
                      <w:color w:val="auto"/>
                      <w:szCs w:val="21"/>
                    </w:rPr>
                    <w:t>18</w:t>
                  </w:r>
                </w:p>
              </w:tc>
              <w:tc>
                <w:tcPr>
                  <w:tcW w:w="594" w:type="pct"/>
                  <w:vAlign w:val="center"/>
                </w:tcPr>
                <w:p>
                  <w:pPr>
                    <w:widowControl/>
                    <w:jc w:val="center"/>
                    <w:rPr>
                      <w:bCs/>
                      <w:color w:val="auto"/>
                      <w:szCs w:val="21"/>
                    </w:rPr>
                  </w:pPr>
                  <w:r>
                    <w:rPr>
                      <w:rFonts w:hint="eastAsia"/>
                      <w:bCs/>
                      <w:color w:val="auto"/>
                      <w:szCs w:val="21"/>
                    </w:rPr>
                    <w:t>16</w:t>
                  </w:r>
                </w:p>
              </w:tc>
              <w:tc>
                <w:tcPr>
                  <w:tcW w:w="597" w:type="pct"/>
                  <w:vAlign w:val="center"/>
                </w:tcPr>
                <w:p>
                  <w:pPr>
                    <w:widowControl/>
                    <w:jc w:val="center"/>
                    <w:rPr>
                      <w:bCs/>
                      <w:color w:val="auto"/>
                      <w:szCs w:val="21"/>
                    </w:rPr>
                  </w:pPr>
                  <w:r>
                    <w:rPr>
                      <w:rFonts w:hint="eastAsia"/>
                      <w:bCs/>
                      <w:color w:val="auto"/>
                      <w:szCs w:val="21"/>
                    </w:rPr>
                    <w:t>14</w:t>
                  </w:r>
                </w:p>
              </w:tc>
              <w:tc>
                <w:tcPr>
                  <w:tcW w:w="589" w:type="pct"/>
                  <w:vAlign w:val="center"/>
                </w:tcPr>
                <w:p>
                  <w:pPr>
                    <w:widowControl/>
                    <w:jc w:val="center"/>
                    <w:rPr>
                      <w:bCs/>
                      <w:color w:val="auto"/>
                      <w:szCs w:val="21"/>
                    </w:rPr>
                  </w:pPr>
                  <w:r>
                    <w:rPr>
                      <w:rFonts w:hint="eastAsia"/>
                      <w:bCs/>
                      <w:color w:val="auto"/>
                      <w:szCs w:val="21"/>
                    </w:rPr>
                    <w:t>14</w:t>
                  </w:r>
                </w:p>
              </w:tc>
              <w:tc>
                <w:tcPr>
                  <w:tcW w:w="586" w:type="pct"/>
                  <w:vAlign w:val="center"/>
                </w:tcPr>
                <w:p>
                  <w:pPr>
                    <w:widowControl/>
                    <w:jc w:val="center"/>
                    <w:rPr>
                      <w:bCs/>
                      <w:color w:val="auto"/>
                      <w:szCs w:val="21"/>
                    </w:rPr>
                  </w:pPr>
                  <w:r>
                    <w:rPr>
                      <w:rFonts w:hint="eastAsia"/>
                      <w:bCs/>
                      <w:color w:val="auto"/>
                      <w:szCs w:val="21"/>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042" w:type="pct"/>
                  <w:gridSpan w:val="3"/>
                  <w:vAlign w:val="center"/>
                </w:tcPr>
                <w:p>
                  <w:pPr>
                    <w:widowControl/>
                    <w:jc w:val="center"/>
                    <w:rPr>
                      <w:bCs/>
                      <w:color w:val="auto"/>
                      <w:szCs w:val="21"/>
                    </w:rPr>
                  </w:pPr>
                  <w:r>
                    <w:rPr>
                      <w:bCs/>
                      <w:color w:val="auto"/>
                      <w:szCs w:val="21"/>
                    </w:rPr>
                    <w:t>甲、乙类物品生产厂房、库房和甲、乙类液体储罐</w:t>
                  </w:r>
                </w:p>
              </w:tc>
              <w:tc>
                <w:tcPr>
                  <w:tcW w:w="592" w:type="pct"/>
                  <w:vAlign w:val="center"/>
                </w:tcPr>
                <w:p>
                  <w:pPr>
                    <w:widowControl/>
                    <w:jc w:val="center"/>
                    <w:rPr>
                      <w:bCs/>
                      <w:color w:val="auto"/>
                      <w:szCs w:val="21"/>
                    </w:rPr>
                  </w:pPr>
                  <w:r>
                    <w:rPr>
                      <w:rFonts w:hint="eastAsia"/>
                      <w:bCs/>
                      <w:color w:val="auto"/>
                      <w:szCs w:val="21"/>
                    </w:rPr>
                    <w:t>35</w:t>
                  </w:r>
                </w:p>
              </w:tc>
              <w:tc>
                <w:tcPr>
                  <w:tcW w:w="594" w:type="pct"/>
                  <w:vAlign w:val="center"/>
                </w:tcPr>
                <w:p>
                  <w:pPr>
                    <w:widowControl/>
                    <w:jc w:val="center"/>
                    <w:rPr>
                      <w:bCs/>
                      <w:color w:val="auto"/>
                      <w:szCs w:val="21"/>
                    </w:rPr>
                  </w:pPr>
                  <w:r>
                    <w:rPr>
                      <w:rFonts w:hint="eastAsia"/>
                      <w:bCs/>
                      <w:color w:val="auto"/>
                      <w:szCs w:val="21"/>
                    </w:rPr>
                    <w:t>30</w:t>
                  </w:r>
                </w:p>
              </w:tc>
              <w:tc>
                <w:tcPr>
                  <w:tcW w:w="597" w:type="pct"/>
                  <w:vAlign w:val="center"/>
                </w:tcPr>
                <w:p>
                  <w:pPr>
                    <w:widowControl/>
                    <w:jc w:val="center"/>
                    <w:rPr>
                      <w:bCs/>
                      <w:color w:val="auto"/>
                      <w:szCs w:val="21"/>
                    </w:rPr>
                  </w:pPr>
                  <w:r>
                    <w:rPr>
                      <w:rFonts w:hint="eastAsia"/>
                      <w:bCs/>
                      <w:color w:val="auto"/>
                      <w:szCs w:val="21"/>
                    </w:rPr>
                    <w:t>25</w:t>
                  </w:r>
                </w:p>
              </w:tc>
              <w:tc>
                <w:tcPr>
                  <w:tcW w:w="589" w:type="pct"/>
                  <w:vAlign w:val="center"/>
                </w:tcPr>
                <w:p>
                  <w:pPr>
                    <w:widowControl/>
                    <w:jc w:val="center"/>
                    <w:rPr>
                      <w:bCs/>
                      <w:color w:val="auto"/>
                      <w:szCs w:val="21"/>
                    </w:rPr>
                  </w:pPr>
                  <w:r>
                    <w:rPr>
                      <w:rFonts w:hint="eastAsia"/>
                      <w:bCs/>
                      <w:color w:val="auto"/>
                      <w:szCs w:val="21"/>
                    </w:rPr>
                    <w:t>25</w:t>
                  </w:r>
                </w:p>
              </w:tc>
              <w:tc>
                <w:tcPr>
                  <w:tcW w:w="586" w:type="pct"/>
                  <w:vAlign w:val="center"/>
                </w:tcPr>
                <w:p>
                  <w:pPr>
                    <w:widowControl/>
                    <w:jc w:val="center"/>
                    <w:rPr>
                      <w:bCs/>
                      <w:color w:val="auto"/>
                      <w:szCs w:val="21"/>
                    </w:rPr>
                  </w:pPr>
                  <w:r>
                    <w:rPr>
                      <w:rFonts w:hint="eastAsia"/>
                      <w:bCs/>
                      <w:color w:val="auto"/>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042" w:type="pct"/>
                  <w:gridSpan w:val="3"/>
                  <w:vAlign w:val="center"/>
                </w:tcPr>
                <w:p>
                  <w:pPr>
                    <w:widowControl/>
                    <w:jc w:val="center"/>
                    <w:rPr>
                      <w:bCs/>
                      <w:color w:val="auto"/>
                      <w:szCs w:val="21"/>
                    </w:rPr>
                  </w:pPr>
                  <w:r>
                    <w:rPr>
                      <w:bCs/>
                      <w:color w:val="auto"/>
                      <w:szCs w:val="21"/>
                    </w:rPr>
                    <w:t>丙、丁、戊类物品成产厂房、库房和丙类液体储罐以及容积不大于</w:t>
                  </w:r>
                  <w:r>
                    <w:rPr>
                      <w:rFonts w:hint="eastAsia"/>
                      <w:bCs/>
                      <w:color w:val="auto"/>
                      <w:szCs w:val="21"/>
                    </w:rPr>
                    <w:t>50m</w:t>
                  </w:r>
                  <w:r>
                    <w:rPr>
                      <w:rFonts w:hint="eastAsia"/>
                      <w:bCs/>
                      <w:color w:val="auto"/>
                      <w:szCs w:val="21"/>
                      <w:vertAlign w:val="superscript"/>
                    </w:rPr>
                    <w:t>3</w:t>
                  </w:r>
                  <w:r>
                    <w:rPr>
                      <w:rFonts w:hint="eastAsia"/>
                      <w:bCs/>
                      <w:color w:val="auto"/>
                      <w:szCs w:val="21"/>
                    </w:rPr>
                    <w:t>的埋地甲、乙类液体储罐</w:t>
                  </w:r>
                </w:p>
              </w:tc>
              <w:tc>
                <w:tcPr>
                  <w:tcW w:w="592" w:type="pct"/>
                  <w:vAlign w:val="center"/>
                </w:tcPr>
                <w:p>
                  <w:pPr>
                    <w:widowControl/>
                    <w:jc w:val="center"/>
                    <w:rPr>
                      <w:bCs/>
                      <w:color w:val="auto"/>
                      <w:szCs w:val="21"/>
                    </w:rPr>
                  </w:pPr>
                  <w:r>
                    <w:rPr>
                      <w:rFonts w:hint="eastAsia"/>
                      <w:bCs/>
                      <w:color w:val="auto"/>
                      <w:szCs w:val="21"/>
                    </w:rPr>
                    <w:t>25</w:t>
                  </w:r>
                </w:p>
              </w:tc>
              <w:tc>
                <w:tcPr>
                  <w:tcW w:w="594" w:type="pct"/>
                  <w:vAlign w:val="center"/>
                </w:tcPr>
                <w:p>
                  <w:pPr>
                    <w:widowControl/>
                    <w:jc w:val="center"/>
                    <w:rPr>
                      <w:bCs/>
                      <w:color w:val="auto"/>
                      <w:szCs w:val="21"/>
                    </w:rPr>
                  </w:pPr>
                  <w:r>
                    <w:rPr>
                      <w:rFonts w:hint="eastAsia"/>
                      <w:bCs/>
                      <w:color w:val="auto"/>
                      <w:szCs w:val="21"/>
                    </w:rPr>
                    <w:t>22</w:t>
                  </w:r>
                </w:p>
              </w:tc>
              <w:tc>
                <w:tcPr>
                  <w:tcW w:w="597" w:type="pct"/>
                  <w:vAlign w:val="center"/>
                </w:tcPr>
                <w:p>
                  <w:pPr>
                    <w:widowControl/>
                    <w:jc w:val="center"/>
                    <w:rPr>
                      <w:bCs/>
                      <w:color w:val="auto"/>
                      <w:szCs w:val="21"/>
                    </w:rPr>
                  </w:pPr>
                  <w:r>
                    <w:rPr>
                      <w:rFonts w:hint="eastAsia"/>
                      <w:bCs/>
                      <w:color w:val="auto"/>
                      <w:szCs w:val="21"/>
                    </w:rPr>
                    <w:t>20</w:t>
                  </w:r>
                </w:p>
              </w:tc>
              <w:tc>
                <w:tcPr>
                  <w:tcW w:w="589" w:type="pct"/>
                  <w:vAlign w:val="center"/>
                </w:tcPr>
                <w:p>
                  <w:pPr>
                    <w:widowControl/>
                    <w:jc w:val="center"/>
                    <w:rPr>
                      <w:bCs/>
                      <w:color w:val="auto"/>
                      <w:szCs w:val="21"/>
                    </w:rPr>
                  </w:pPr>
                  <w:r>
                    <w:rPr>
                      <w:rFonts w:hint="eastAsia"/>
                      <w:bCs/>
                      <w:color w:val="auto"/>
                      <w:szCs w:val="21"/>
                    </w:rPr>
                    <w:t>20</w:t>
                  </w:r>
                </w:p>
              </w:tc>
              <w:tc>
                <w:tcPr>
                  <w:tcW w:w="586" w:type="pct"/>
                  <w:vAlign w:val="center"/>
                </w:tcPr>
                <w:p>
                  <w:pPr>
                    <w:widowControl/>
                    <w:jc w:val="center"/>
                    <w:rPr>
                      <w:bCs/>
                      <w:color w:val="auto"/>
                      <w:szCs w:val="21"/>
                    </w:rPr>
                  </w:pPr>
                  <w:r>
                    <w:rPr>
                      <w:rFonts w:hint="eastAsia"/>
                      <w:bCs/>
                      <w:color w:val="auto"/>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042" w:type="pct"/>
                  <w:gridSpan w:val="3"/>
                  <w:vAlign w:val="center"/>
                </w:tcPr>
                <w:p>
                  <w:pPr>
                    <w:widowControl/>
                    <w:jc w:val="center"/>
                    <w:rPr>
                      <w:bCs/>
                      <w:color w:val="auto"/>
                      <w:szCs w:val="21"/>
                    </w:rPr>
                  </w:pPr>
                  <w:r>
                    <w:rPr>
                      <w:bCs/>
                      <w:color w:val="auto"/>
                      <w:szCs w:val="21"/>
                    </w:rPr>
                    <w:t>室外变配电站</w:t>
                  </w:r>
                </w:p>
              </w:tc>
              <w:tc>
                <w:tcPr>
                  <w:tcW w:w="592" w:type="pct"/>
                  <w:vAlign w:val="center"/>
                </w:tcPr>
                <w:p>
                  <w:pPr>
                    <w:widowControl/>
                    <w:jc w:val="center"/>
                    <w:rPr>
                      <w:bCs/>
                      <w:color w:val="auto"/>
                      <w:szCs w:val="21"/>
                    </w:rPr>
                  </w:pPr>
                  <w:r>
                    <w:rPr>
                      <w:rFonts w:hint="eastAsia"/>
                      <w:bCs/>
                      <w:color w:val="auto"/>
                      <w:szCs w:val="21"/>
                    </w:rPr>
                    <w:t>40</w:t>
                  </w:r>
                </w:p>
              </w:tc>
              <w:tc>
                <w:tcPr>
                  <w:tcW w:w="594" w:type="pct"/>
                  <w:vAlign w:val="center"/>
                </w:tcPr>
                <w:p>
                  <w:pPr>
                    <w:widowControl/>
                    <w:jc w:val="center"/>
                    <w:rPr>
                      <w:bCs/>
                      <w:color w:val="auto"/>
                      <w:szCs w:val="21"/>
                    </w:rPr>
                  </w:pPr>
                  <w:r>
                    <w:rPr>
                      <w:rFonts w:hint="eastAsia"/>
                      <w:bCs/>
                      <w:color w:val="auto"/>
                      <w:szCs w:val="21"/>
                    </w:rPr>
                    <w:t>35</w:t>
                  </w:r>
                </w:p>
              </w:tc>
              <w:tc>
                <w:tcPr>
                  <w:tcW w:w="597" w:type="pct"/>
                  <w:vAlign w:val="center"/>
                </w:tcPr>
                <w:p>
                  <w:pPr>
                    <w:widowControl/>
                    <w:jc w:val="center"/>
                    <w:rPr>
                      <w:bCs/>
                      <w:color w:val="auto"/>
                      <w:szCs w:val="21"/>
                    </w:rPr>
                  </w:pPr>
                  <w:r>
                    <w:rPr>
                      <w:rFonts w:hint="eastAsia"/>
                      <w:bCs/>
                      <w:color w:val="auto"/>
                      <w:szCs w:val="21"/>
                    </w:rPr>
                    <w:t>30</w:t>
                  </w:r>
                </w:p>
              </w:tc>
              <w:tc>
                <w:tcPr>
                  <w:tcW w:w="589" w:type="pct"/>
                  <w:vAlign w:val="center"/>
                </w:tcPr>
                <w:p>
                  <w:pPr>
                    <w:widowControl/>
                    <w:jc w:val="center"/>
                    <w:rPr>
                      <w:bCs/>
                      <w:color w:val="auto"/>
                      <w:szCs w:val="21"/>
                    </w:rPr>
                  </w:pPr>
                  <w:r>
                    <w:rPr>
                      <w:rFonts w:hint="eastAsia"/>
                      <w:bCs/>
                      <w:color w:val="auto"/>
                      <w:szCs w:val="21"/>
                    </w:rPr>
                    <w:t>30</w:t>
                  </w:r>
                </w:p>
              </w:tc>
              <w:tc>
                <w:tcPr>
                  <w:tcW w:w="586" w:type="pct"/>
                  <w:vAlign w:val="center"/>
                </w:tcPr>
                <w:p>
                  <w:pPr>
                    <w:widowControl/>
                    <w:jc w:val="center"/>
                    <w:rPr>
                      <w:bCs/>
                      <w:color w:val="auto"/>
                      <w:szCs w:val="21"/>
                    </w:rPr>
                  </w:pPr>
                  <w:r>
                    <w:rPr>
                      <w:rFonts w:hint="eastAsia"/>
                      <w:bCs/>
                      <w:color w:val="auto"/>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042" w:type="pct"/>
                  <w:gridSpan w:val="3"/>
                  <w:vAlign w:val="center"/>
                </w:tcPr>
                <w:p>
                  <w:pPr>
                    <w:widowControl/>
                    <w:jc w:val="center"/>
                    <w:rPr>
                      <w:bCs/>
                      <w:color w:val="auto"/>
                      <w:szCs w:val="21"/>
                    </w:rPr>
                  </w:pPr>
                  <w:r>
                    <w:rPr>
                      <w:bCs/>
                      <w:color w:val="auto"/>
                      <w:szCs w:val="21"/>
                    </w:rPr>
                    <w:t>铁路</w:t>
                  </w:r>
                </w:p>
              </w:tc>
              <w:tc>
                <w:tcPr>
                  <w:tcW w:w="592" w:type="pct"/>
                  <w:vAlign w:val="center"/>
                </w:tcPr>
                <w:p>
                  <w:pPr>
                    <w:widowControl/>
                    <w:jc w:val="center"/>
                    <w:rPr>
                      <w:bCs/>
                      <w:color w:val="auto"/>
                      <w:szCs w:val="21"/>
                    </w:rPr>
                  </w:pPr>
                  <w:r>
                    <w:rPr>
                      <w:rFonts w:hint="eastAsia"/>
                      <w:bCs/>
                      <w:color w:val="auto"/>
                      <w:szCs w:val="21"/>
                    </w:rPr>
                    <w:t>80</w:t>
                  </w:r>
                </w:p>
              </w:tc>
              <w:tc>
                <w:tcPr>
                  <w:tcW w:w="594" w:type="pct"/>
                  <w:vAlign w:val="center"/>
                </w:tcPr>
                <w:p>
                  <w:pPr>
                    <w:widowControl/>
                    <w:jc w:val="center"/>
                    <w:rPr>
                      <w:bCs/>
                      <w:color w:val="auto"/>
                      <w:szCs w:val="21"/>
                    </w:rPr>
                  </w:pPr>
                  <w:r>
                    <w:rPr>
                      <w:rFonts w:hint="eastAsia"/>
                      <w:bCs/>
                      <w:color w:val="auto"/>
                      <w:szCs w:val="21"/>
                    </w:rPr>
                    <w:t>60</w:t>
                  </w:r>
                </w:p>
              </w:tc>
              <w:tc>
                <w:tcPr>
                  <w:tcW w:w="597" w:type="pct"/>
                  <w:vAlign w:val="center"/>
                </w:tcPr>
                <w:p>
                  <w:pPr>
                    <w:widowControl/>
                    <w:jc w:val="center"/>
                    <w:rPr>
                      <w:bCs/>
                      <w:color w:val="auto"/>
                      <w:szCs w:val="21"/>
                    </w:rPr>
                  </w:pPr>
                  <w:r>
                    <w:rPr>
                      <w:rFonts w:hint="eastAsia"/>
                      <w:bCs/>
                      <w:color w:val="auto"/>
                      <w:szCs w:val="21"/>
                    </w:rPr>
                    <w:t>50</w:t>
                  </w:r>
                </w:p>
              </w:tc>
              <w:tc>
                <w:tcPr>
                  <w:tcW w:w="589" w:type="pct"/>
                  <w:vAlign w:val="center"/>
                </w:tcPr>
                <w:p>
                  <w:pPr>
                    <w:widowControl/>
                    <w:jc w:val="center"/>
                    <w:rPr>
                      <w:bCs/>
                      <w:color w:val="auto"/>
                      <w:szCs w:val="21"/>
                    </w:rPr>
                  </w:pPr>
                  <w:r>
                    <w:rPr>
                      <w:rFonts w:hint="eastAsia"/>
                      <w:bCs/>
                      <w:color w:val="auto"/>
                      <w:szCs w:val="21"/>
                    </w:rPr>
                    <w:t>50</w:t>
                  </w:r>
                </w:p>
              </w:tc>
              <w:tc>
                <w:tcPr>
                  <w:tcW w:w="586" w:type="pct"/>
                  <w:vAlign w:val="center"/>
                </w:tcPr>
                <w:p>
                  <w:pPr>
                    <w:widowControl/>
                    <w:jc w:val="center"/>
                    <w:rPr>
                      <w:bCs/>
                      <w:color w:val="auto"/>
                      <w:szCs w:val="21"/>
                    </w:rPr>
                  </w:pPr>
                  <w:r>
                    <w:rPr>
                      <w:rFonts w:hint="eastAsia"/>
                      <w:bCs/>
                      <w:color w:val="auto"/>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06" w:type="pct"/>
                  <w:vMerge w:val="restart"/>
                  <w:vAlign w:val="center"/>
                </w:tcPr>
                <w:p>
                  <w:pPr>
                    <w:widowControl/>
                    <w:jc w:val="center"/>
                    <w:rPr>
                      <w:bCs/>
                      <w:color w:val="auto"/>
                      <w:szCs w:val="21"/>
                    </w:rPr>
                  </w:pPr>
                  <w:r>
                    <w:rPr>
                      <w:bCs/>
                      <w:color w:val="auto"/>
                      <w:szCs w:val="21"/>
                    </w:rPr>
                    <w:t>城市道路</w:t>
                  </w:r>
                </w:p>
              </w:tc>
              <w:tc>
                <w:tcPr>
                  <w:tcW w:w="1436" w:type="pct"/>
                  <w:gridSpan w:val="2"/>
                  <w:vAlign w:val="center"/>
                </w:tcPr>
                <w:p>
                  <w:pPr>
                    <w:widowControl/>
                    <w:jc w:val="center"/>
                    <w:rPr>
                      <w:bCs/>
                      <w:color w:val="auto"/>
                      <w:szCs w:val="21"/>
                    </w:rPr>
                  </w:pPr>
                  <w:r>
                    <w:rPr>
                      <w:bCs/>
                      <w:color w:val="auto"/>
                      <w:szCs w:val="21"/>
                    </w:rPr>
                    <w:t>快速路、主干路</w:t>
                  </w:r>
                </w:p>
              </w:tc>
              <w:tc>
                <w:tcPr>
                  <w:tcW w:w="592" w:type="pct"/>
                  <w:vAlign w:val="center"/>
                </w:tcPr>
                <w:p>
                  <w:pPr>
                    <w:widowControl/>
                    <w:jc w:val="center"/>
                    <w:rPr>
                      <w:bCs/>
                      <w:color w:val="auto"/>
                      <w:szCs w:val="21"/>
                    </w:rPr>
                  </w:pPr>
                  <w:r>
                    <w:rPr>
                      <w:rFonts w:hint="eastAsia"/>
                      <w:bCs/>
                      <w:color w:val="auto"/>
                      <w:szCs w:val="21"/>
                    </w:rPr>
                    <w:t>12</w:t>
                  </w:r>
                </w:p>
              </w:tc>
              <w:tc>
                <w:tcPr>
                  <w:tcW w:w="594" w:type="pct"/>
                  <w:vAlign w:val="center"/>
                </w:tcPr>
                <w:p>
                  <w:pPr>
                    <w:widowControl/>
                    <w:jc w:val="center"/>
                    <w:rPr>
                      <w:bCs/>
                      <w:color w:val="auto"/>
                      <w:szCs w:val="21"/>
                    </w:rPr>
                  </w:pPr>
                  <w:r>
                    <w:rPr>
                      <w:rFonts w:hint="eastAsia"/>
                      <w:bCs/>
                      <w:color w:val="auto"/>
                      <w:szCs w:val="21"/>
                    </w:rPr>
                    <w:t>10</w:t>
                  </w:r>
                </w:p>
              </w:tc>
              <w:tc>
                <w:tcPr>
                  <w:tcW w:w="597" w:type="pct"/>
                  <w:vAlign w:val="center"/>
                </w:tcPr>
                <w:p>
                  <w:pPr>
                    <w:widowControl/>
                    <w:jc w:val="center"/>
                    <w:rPr>
                      <w:bCs/>
                      <w:color w:val="auto"/>
                      <w:szCs w:val="21"/>
                    </w:rPr>
                  </w:pPr>
                  <w:r>
                    <w:rPr>
                      <w:rFonts w:hint="eastAsia"/>
                      <w:bCs/>
                      <w:color w:val="auto"/>
                      <w:szCs w:val="21"/>
                    </w:rPr>
                    <w:t>8</w:t>
                  </w:r>
                </w:p>
              </w:tc>
              <w:tc>
                <w:tcPr>
                  <w:tcW w:w="589" w:type="pct"/>
                  <w:vAlign w:val="center"/>
                </w:tcPr>
                <w:p>
                  <w:pPr>
                    <w:widowControl/>
                    <w:jc w:val="center"/>
                    <w:rPr>
                      <w:bCs/>
                      <w:color w:val="auto"/>
                      <w:szCs w:val="21"/>
                    </w:rPr>
                  </w:pPr>
                  <w:r>
                    <w:rPr>
                      <w:rFonts w:hint="eastAsia"/>
                      <w:bCs/>
                      <w:color w:val="auto"/>
                      <w:szCs w:val="21"/>
                    </w:rPr>
                    <w:t>8</w:t>
                  </w:r>
                </w:p>
              </w:tc>
              <w:tc>
                <w:tcPr>
                  <w:tcW w:w="586" w:type="pct"/>
                  <w:vAlign w:val="center"/>
                </w:tcPr>
                <w:p>
                  <w:pPr>
                    <w:widowControl/>
                    <w:jc w:val="center"/>
                    <w:rPr>
                      <w:bCs/>
                      <w:color w:val="auto"/>
                      <w:szCs w:val="21"/>
                    </w:rPr>
                  </w:pPr>
                  <w:r>
                    <w:rPr>
                      <w:rFonts w:hint="eastAsia"/>
                      <w:bCs/>
                      <w:color w:val="auto"/>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06" w:type="pct"/>
                  <w:vMerge w:val="continue"/>
                  <w:vAlign w:val="center"/>
                </w:tcPr>
                <w:p>
                  <w:pPr>
                    <w:widowControl/>
                    <w:jc w:val="center"/>
                    <w:rPr>
                      <w:bCs/>
                      <w:color w:val="auto"/>
                      <w:szCs w:val="21"/>
                    </w:rPr>
                  </w:pPr>
                </w:p>
              </w:tc>
              <w:tc>
                <w:tcPr>
                  <w:tcW w:w="1436" w:type="pct"/>
                  <w:gridSpan w:val="2"/>
                  <w:vAlign w:val="center"/>
                </w:tcPr>
                <w:p>
                  <w:pPr>
                    <w:widowControl/>
                    <w:jc w:val="center"/>
                    <w:rPr>
                      <w:bCs/>
                      <w:color w:val="auto"/>
                      <w:szCs w:val="21"/>
                    </w:rPr>
                  </w:pPr>
                  <w:r>
                    <w:rPr>
                      <w:bCs/>
                      <w:color w:val="auto"/>
                      <w:szCs w:val="21"/>
                    </w:rPr>
                    <w:t>次干路、支路</w:t>
                  </w:r>
                </w:p>
              </w:tc>
              <w:tc>
                <w:tcPr>
                  <w:tcW w:w="592" w:type="pct"/>
                  <w:vAlign w:val="center"/>
                </w:tcPr>
                <w:p>
                  <w:pPr>
                    <w:widowControl/>
                    <w:jc w:val="center"/>
                    <w:rPr>
                      <w:bCs/>
                      <w:color w:val="auto"/>
                      <w:szCs w:val="21"/>
                    </w:rPr>
                  </w:pPr>
                  <w:r>
                    <w:rPr>
                      <w:rFonts w:hint="eastAsia"/>
                      <w:bCs/>
                      <w:color w:val="auto"/>
                      <w:szCs w:val="21"/>
                    </w:rPr>
                    <w:t>10</w:t>
                  </w:r>
                </w:p>
              </w:tc>
              <w:tc>
                <w:tcPr>
                  <w:tcW w:w="594" w:type="pct"/>
                  <w:vAlign w:val="center"/>
                </w:tcPr>
                <w:p>
                  <w:pPr>
                    <w:widowControl/>
                    <w:jc w:val="center"/>
                    <w:rPr>
                      <w:bCs/>
                      <w:color w:val="auto"/>
                      <w:szCs w:val="21"/>
                    </w:rPr>
                  </w:pPr>
                  <w:r>
                    <w:rPr>
                      <w:rFonts w:hint="eastAsia"/>
                      <w:bCs/>
                      <w:color w:val="auto"/>
                      <w:szCs w:val="21"/>
                    </w:rPr>
                    <w:t>8</w:t>
                  </w:r>
                </w:p>
              </w:tc>
              <w:tc>
                <w:tcPr>
                  <w:tcW w:w="597" w:type="pct"/>
                  <w:vAlign w:val="center"/>
                </w:tcPr>
                <w:p>
                  <w:pPr>
                    <w:widowControl/>
                    <w:jc w:val="center"/>
                    <w:rPr>
                      <w:bCs/>
                      <w:color w:val="auto"/>
                      <w:szCs w:val="21"/>
                    </w:rPr>
                  </w:pPr>
                  <w:r>
                    <w:rPr>
                      <w:rFonts w:hint="eastAsia"/>
                      <w:bCs/>
                      <w:color w:val="auto"/>
                      <w:szCs w:val="21"/>
                    </w:rPr>
                    <w:t>8</w:t>
                  </w:r>
                </w:p>
              </w:tc>
              <w:tc>
                <w:tcPr>
                  <w:tcW w:w="589" w:type="pct"/>
                  <w:vAlign w:val="center"/>
                </w:tcPr>
                <w:p>
                  <w:pPr>
                    <w:widowControl/>
                    <w:jc w:val="center"/>
                    <w:rPr>
                      <w:bCs/>
                      <w:color w:val="auto"/>
                      <w:szCs w:val="21"/>
                    </w:rPr>
                  </w:pPr>
                  <w:r>
                    <w:rPr>
                      <w:rFonts w:hint="eastAsia"/>
                      <w:bCs/>
                      <w:color w:val="auto"/>
                      <w:szCs w:val="21"/>
                    </w:rPr>
                    <w:t>6</w:t>
                  </w:r>
                </w:p>
              </w:tc>
              <w:tc>
                <w:tcPr>
                  <w:tcW w:w="586" w:type="pct"/>
                  <w:vAlign w:val="center"/>
                </w:tcPr>
                <w:p>
                  <w:pPr>
                    <w:widowControl/>
                    <w:jc w:val="center"/>
                    <w:rPr>
                      <w:bCs/>
                      <w:color w:val="auto"/>
                      <w:szCs w:val="21"/>
                    </w:rPr>
                  </w:pPr>
                  <w:r>
                    <w:rPr>
                      <w:rFonts w:hint="eastAsia"/>
                      <w:bCs/>
                      <w:color w:val="auto"/>
                      <w:szCs w:val="21"/>
                    </w:rPr>
                    <w:t>6</w:t>
                  </w:r>
                </w:p>
              </w:tc>
            </w:tr>
          </w:tbl>
          <w:p>
            <w:pPr>
              <w:spacing w:before="120" w:beforeLines="50" w:line="360" w:lineRule="auto"/>
              <w:ind w:firstLine="480" w:firstLineChars="200"/>
              <w:rPr>
                <w:bCs/>
                <w:color w:val="auto"/>
                <w:sz w:val="24"/>
                <w:szCs w:val="20"/>
              </w:rPr>
            </w:pPr>
            <w:r>
              <w:rPr>
                <w:rFonts w:hint="eastAsia"/>
                <w:bCs/>
                <w:color w:val="auto"/>
                <w:sz w:val="24"/>
                <w:szCs w:val="20"/>
              </w:rPr>
              <w:t>项目营运期产生的污染物在落实环评提出的相关措施后，均能达标排放或得到妥善处置，项目的运营不会对环境产生较大影响。</w:t>
            </w:r>
          </w:p>
          <w:p>
            <w:pPr>
              <w:spacing w:line="360" w:lineRule="auto"/>
              <w:ind w:firstLine="480" w:firstLineChars="200"/>
              <w:rPr>
                <w:bCs/>
                <w:color w:val="auto"/>
                <w:sz w:val="24"/>
                <w:szCs w:val="20"/>
              </w:rPr>
            </w:pPr>
            <w:r>
              <w:rPr>
                <w:rFonts w:hint="eastAsia"/>
                <w:bCs/>
                <w:color w:val="auto"/>
                <w:sz w:val="24"/>
                <w:szCs w:val="20"/>
              </w:rPr>
              <w:t>因此，项目选址较合理。</w:t>
            </w:r>
          </w:p>
        </w:tc>
      </w:tr>
    </w:tbl>
    <w:p>
      <w:pPr>
        <w:spacing w:line="360" w:lineRule="auto"/>
        <w:ind w:firstLine="600"/>
        <w:outlineLvl w:val="0"/>
        <w:rPr>
          <w:rFonts w:eastAsia="黑体"/>
          <w:color w:val="auto"/>
          <w:sz w:val="30"/>
        </w:rPr>
        <w:sectPr>
          <w:footerReference r:id="rId6" w:type="default"/>
          <w:pgSz w:w="11906" w:h="16838"/>
          <w:pgMar w:top="1701" w:right="1531" w:bottom="1701" w:left="1531" w:header="851" w:footer="1077" w:gutter="0"/>
          <w:pgNumType w:start="1"/>
          <w:cols w:space="720" w:num="1"/>
          <w:docGrid w:linePitch="312" w:charSpace="0"/>
        </w:sectPr>
      </w:pPr>
    </w:p>
    <w:p>
      <w:pPr>
        <w:pStyle w:val="15"/>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83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73" w:hRule="atLeast"/>
          <w:jc w:val="center"/>
        </w:trPr>
        <w:tc>
          <w:tcPr>
            <w:tcW w:w="823" w:type="dxa"/>
            <w:vAlign w:val="center"/>
          </w:tcPr>
          <w:p>
            <w:pPr>
              <w:pStyle w:val="15"/>
              <w:adjustRightInd w:val="0"/>
              <w:snapToGrid w:val="0"/>
              <w:spacing w:before="0" w:beforeAutospacing="0" w:after="0" w:afterAutospacing="0"/>
              <w:jc w:val="center"/>
              <w:rPr>
                <w:rFonts w:cs="宋体"/>
                <w:color w:val="auto"/>
                <w:szCs w:val="24"/>
              </w:rPr>
            </w:pPr>
            <w:r>
              <w:rPr>
                <w:rFonts w:hint="eastAsia" w:cs="宋体"/>
                <w:color w:val="auto"/>
                <w:szCs w:val="24"/>
              </w:rPr>
              <w:t>建设内容</w:t>
            </w:r>
          </w:p>
        </w:tc>
        <w:tc>
          <w:tcPr>
            <w:tcW w:w="8161" w:type="dxa"/>
          </w:tcPr>
          <w:p>
            <w:pPr>
              <w:spacing w:line="360" w:lineRule="auto"/>
              <w:ind w:firstLine="482" w:firstLineChars="200"/>
              <w:jc w:val="left"/>
              <w:rPr>
                <w:b/>
                <w:color w:val="auto"/>
                <w:sz w:val="24"/>
              </w:rPr>
            </w:pPr>
            <w:r>
              <w:rPr>
                <w:rFonts w:hint="eastAsia"/>
                <w:b/>
                <w:color w:val="auto"/>
                <w:sz w:val="24"/>
              </w:rPr>
              <w:t>1、项目背景</w:t>
            </w:r>
          </w:p>
          <w:p>
            <w:pPr>
              <w:spacing w:line="360" w:lineRule="auto"/>
              <w:ind w:firstLine="480" w:firstLineChars="200"/>
              <w:rPr>
                <w:color w:val="auto"/>
                <w:sz w:val="24"/>
              </w:rPr>
            </w:pPr>
            <w:r>
              <w:rPr>
                <w:rFonts w:hint="eastAsia"/>
                <w:color w:val="auto"/>
                <w:sz w:val="24"/>
              </w:rPr>
              <w:t>渭南陕煤启辰科技有限公司（以下简称“启辰科技公司”）是陕西煤业化工技术研究院有限责任公司（以下简称“研究院”）于</w:t>
            </w:r>
            <w:r>
              <w:rPr>
                <w:color w:val="auto"/>
                <w:sz w:val="24"/>
              </w:rPr>
              <w:t>2020</w:t>
            </w:r>
            <w:r>
              <w:rPr>
                <w:rFonts w:hint="eastAsia"/>
                <w:color w:val="auto"/>
                <w:sz w:val="24"/>
              </w:rPr>
              <w:t>年</w:t>
            </w:r>
            <w:r>
              <w:rPr>
                <w:color w:val="auto"/>
                <w:sz w:val="24"/>
              </w:rPr>
              <w:t>12</w:t>
            </w:r>
            <w:r>
              <w:rPr>
                <w:rFonts w:hint="eastAsia"/>
                <w:color w:val="auto"/>
                <w:sz w:val="24"/>
              </w:rPr>
              <w:t>月在原“煤矿用新材料研发项目部”的基础上成立的全资子公司。公司依托“煤炭绿色安全高效开采国家地方联合工程研究中心”，专注于煤炭领域新技术、新材料、新装备的研发及应用。</w:t>
            </w:r>
          </w:p>
          <w:p>
            <w:pPr>
              <w:spacing w:line="360" w:lineRule="auto"/>
              <w:ind w:firstLine="480" w:firstLineChars="200"/>
              <w:rPr>
                <w:color w:val="auto"/>
                <w:sz w:val="24"/>
              </w:rPr>
            </w:pPr>
            <w:r>
              <w:rPr>
                <w:rFonts w:hint="eastAsia"/>
                <w:color w:val="auto"/>
                <w:sz w:val="24"/>
              </w:rPr>
              <w:t>厂区内正在建设“3万吨/年矿用高分子材料工业化示范项目”，该项目于2021年2月10日取得《渭南市生态环境局高新分局关于渭南陕煤启辰科技有限公司3万吨/年矿用高分子材料工业化示范项目环境影响报告表的批复》（渭高环审〔2021〕4号）。</w:t>
            </w:r>
            <w:r>
              <w:rPr>
                <w:bCs/>
                <w:color w:val="auto"/>
                <w:sz w:val="24"/>
              </w:rPr>
              <w:t>占地面积</w:t>
            </w:r>
            <w:r>
              <w:rPr>
                <w:rFonts w:hint="eastAsia"/>
                <w:bCs/>
                <w:color w:val="auto"/>
                <w:sz w:val="24"/>
              </w:rPr>
              <w:t>28190.9m</w:t>
            </w:r>
            <w:r>
              <w:rPr>
                <w:rFonts w:hint="eastAsia"/>
                <w:bCs/>
                <w:color w:val="auto"/>
                <w:sz w:val="24"/>
                <w:vertAlign w:val="superscript"/>
              </w:rPr>
              <w:t>2</w:t>
            </w:r>
            <w:r>
              <w:rPr>
                <w:rFonts w:hint="eastAsia"/>
                <w:bCs/>
                <w:color w:val="auto"/>
                <w:sz w:val="24"/>
              </w:rPr>
              <w:t>，主要建设内容包括1座高分子材料生产车间、储罐区、1座综合楼、1座联合站房（包含锅炉房、配电室等公辅工程），项目产品包括矿用高分子材料A料（包括复合材料A、喷涂材料A、封孔材料A、有机材料A、堵水材料、堵水材料A和充填材料A）和矿用高分子材料B料（包括充填材料B和黑料B）），设计产能为年产3万吨矿用高分子材料。</w:t>
            </w:r>
          </w:p>
          <w:p>
            <w:pPr>
              <w:spacing w:line="360" w:lineRule="auto"/>
              <w:ind w:firstLine="480" w:firstLineChars="200"/>
              <w:rPr>
                <w:color w:val="auto"/>
                <w:sz w:val="24"/>
              </w:rPr>
            </w:pPr>
            <w:r>
              <w:rPr>
                <w:rFonts w:hint="eastAsia"/>
                <w:color w:val="auto"/>
                <w:sz w:val="24"/>
              </w:rPr>
              <w:t>项目拟投资5748万元，在渭南陕煤启辰科技有限公司厂区预留空地进行建设，占地面积约</w:t>
            </w:r>
            <w:r>
              <w:rPr>
                <w:color w:val="auto"/>
                <w:sz w:val="24"/>
              </w:rPr>
              <w:t>5085.91</w:t>
            </w:r>
            <w:r>
              <w:rPr>
                <w:rFonts w:hint="eastAsia"/>
                <w:color w:val="auto"/>
                <w:sz w:val="24"/>
              </w:rPr>
              <w:t>平方米，设计产能为2万吨/年矿用无机材料。</w:t>
            </w:r>
          </w:p>
          <w:p>
            <w:pPr>
              <w:spacing w:line="360" w:lineRule="auto"/>
              <w:ind w:firstLine="480" w:firstLineChars="200"/>
              <w:rPr>
                <w:color w:val="auto"/>
                <w:sz w:val="24"/>
              </w:rPr>
            </w:pPr>
            <w:r>
              <w:rPr>
                <w:rFonts w:hint="eastAsia"/>
                <w:color w:val="auto"/>
                <w:sz w:val="24"/>
              </w:rPr>
              <w:t>根据《中华人民共和国环境影响评价法》、国务院令第682号《建设项目环境保护管理条例》、中华人民共和国生态环境部部令第16号《建设项目环境影响评价分类管理名录（2021年版）》，本项目属于分类名录中“二十七、非金属矿物制品业 60耐火材料制品制造308；石墨及其它非金属矿物制品制造309  其它”，应编制环境影响报告表。为此，企业委托我单位承担本项目的环境影响评价工作（附件1）。接受委托后，我单位在现场踏勘、基础资料收集的基础上，编制了本项目的环境影响报告表。</w:t>
            </w:r>
          </w:p>
          <w:p>
            <w:pPr>
              <w:spacing w:line="360" w:lineRule="auto"/>
              <w:ind w:firstLine="482" w:firstLineChars="200"/>
              <w:jc w:val="left"/>
              <w:rPr>
                <w:b/>
                <w:color w:val="auto"/>
                <w:sz w:val="24"/>
              </w:rPr>
            </w:pPr>
            <w:r>
              <w:rPr>
                <w:rFonts w:hint="eastAsia"/>
                <w:b/>
                <w:color w:val="auto"/>
                <w:sz w:val="24"/>
              </w:rPr>
              <w:t>2、地理位置与交通</w:t>
            </w:r>
          </w:p>
          <w:p>
            <w:pPr>
              <w:spacing w:line="360" w:lineRule="auto"/>
              <w:ind w:firstLine="480" w:firstLineChars="200"/>
              <w:jc w:val="left"/>
              <w:rPr>
                <w:color w:val="auto"/>
                <w:sz w:val="24"/>
              </w:rPr>
            </w:pPr>
            <w:r>
              <w:rPr>
                <w:rFonts w:hint="eastAsia"/>
                <w:color w:val="auto"/>
                <w:sz w:val="24"/>
              </w:rPr>
              <w:t>项目选址位于渭南市高新技术产业开发区光华路以西（渭南陕煤启辰科技有限公司），厂区中心地理坐标：E109.429717563，N34.490781898；</w:t>
            </w:r>
            <w:r>
              <w:rPr>
                <w:rFonts w:hint="eastAsia"/>
                <w:bCs/>
                <w:color w:val="auto"/>
                <w:sz w:val="24"/>
                <w:szCs w:val="20"/>
              </w:rPr>
              <w:t>厂区北侧为</w:t>
            </w:r>
            <w:r>
              <w:rPr>
                <w:rFonts w:hint="eastAsia"/>
                <w:bCs/>
                <w:color w:val="auto"/>
                <w:sz w:val="24"/>
                <w:szCs w:val="20"/>
              </w:rPr>
              <w:t>渭南市天然气有限公司和方圆机械厂</w:t>
            </w:r>
            <w:r>
              <w:rPr>
                <w:rFonts w:hint="eastAsia"/>
                <w:bCs/>
                <w:color w:val="auto"/>
                <w:sz w:val="24"/>
                <w:szCs w:val="20"/>
              </w:rPr>
              <w:t>，南侧为规划中的新区南街，东侧为光华路、西侧为规划中的新站路。</w:t>
            </w:r>
            <w:r>
              <w:rPr>
                <w:rFonts w:hint="eastAsia"/>
                <w:color w:val="auto"/>
                <w:sz w:val="24"/>
              </w:rPr>
              <w:t>项目地理位置见附图1，周边环境关系见附图2。</w:t>
            </w:r>
          </w:p>
          <w:p>
            <w:pPr>
              <w:spacing w:line="360" w:lineRule="auto"/>
              <w:ind w:firstLine="482" w:firstLineChars="200"/>
              <w:jc w:val="left"/>
              <w:rPr>
                <w:b/>
                <w:color w:val="auto"/>
                <w:sz w:val="24"/>
              </w:rPr>
            </w:pPr>
            <w:r>
              <w:rPr>
                <w:rFonts w:hint="eastAsia"/>
                <w:b/>
                <w:bCs/>
                <w:color w:val="auto"/>
                <w:sz w:val="24"/>
              </w:rPr>
              <w:t>3</w:t>
            </w:r>
            <w:r>
              <w:rPr>
                <w:rFonts w:hAnsi="宋体"/>
                <w:b/>
                <w:bCs/>
                <w:color w:val="auto"/>
                <w:sz w:val="24"/>
              </w:rPr>
              <w:t>、</w:t>
            </w:r>
            <w:r>
              <w:rPr>
                <w:rFonts w:hAnsi="宋体"/>
                <w:b/>
                <w:color w:val="auto"/>
                <w:sz w:val="24"/>
              </w:rPr>
              <w:t>项目建设内容及规模</w:t>
            </w:r>
          </w:p>
          <w:p>
            <w:pPr>
              <w:spacing w:line="360" w:lineRule="auto"/>
              <w:ind w:firstLine="480" w:firstLineChars="200"/>
              <w:rPr>
                <w:color w:val="auto"/>
                <w:kern w:val="0"/>
                <w:sz w:val="24"/>
              </w:rPr>
            </w:pPr>
            <w:r>
              <w:rPr>
                <w:rFonts w:hint="eastAsia" w:hAnsi="宋体"/>
                <w:color w:val="auto"/>
                <w:sz w:val="24"/>
              </w:rPr>
              <w:t>项目位于</w:t>
            </w:r>
            <w:r>
              <w:rPr>
                <w:rFonts w:hint="eastAsia"/>
                <w:color w:val="auto"/>
                <w:sz w:val="24"/>
              </w:rPr>
              <w:t>渭南市高新技术产业开发区渭南陕煤启辰科技有限公司厂区内</w:t>
            </w:r>
            <w:r>
              <w:rPr>
                <w:rFonts w:hint="eastAsia" w:hAnsi="宋体"/>
                <w:color w:val="auto"/>
                <w:sz w:val="24"/>
              </w:rPr>
              <w:t>，占地面积约</w:t>
            </w:r>
            <w:r>
              <w:rPr>
                <w:color w:val="auto"/>
                <w:sz w:val="24"/>
              </w:rPr>
              <w:t>5085.91</w:t>
            </w:r>
            <w:r>
              <w:rPr>
                <w:rFonts w:hint="eastAsia" w:hAnsi="宋体"/>
                <w:color w:val="auto"/>
                <w:sz w:val="24"/>
              </w:rPr>
              <w:t>m</w:t>
            </w:r>
            <w:r>
              <w:rPr>
                <w:rFonts w:hint="eastAsia" w:hAnsi="宋体"/>
                <w:color w:val="auto"/>
                <w:sz w:val="24"/>
                <w:vertAlign w:val="superscript"/>
              </w:rPr>
              <w:t>2</w:t>
            </w:r>
            <w:r>
              <w:rPr>
                <w:rFonts w:hint="eastAsia" w:hAnsi="宋体"/>
                <w:color w:val="auto"/>
                <w:sz w:val="24"/>
              </w:rPr>
              <w:t>，主要建设内容为：新建1座生产车间、1座辅助仓库。</w:t>
            </w:r>
            <w:r>
              <w:rPr>
                <w:color w:val="auto"/>
                <w:kern w:val="0"/>
                <w:sz w:val="24"/>
              </w:rPr>
              <w:t>项目组成详见表</w:t>
            </w:r>
            <w:r>
              <w:rPr>
                <w:rFonts w:hint="eastAsia"/>
                <w:color w:val="auto"/>
                <w:kern w:val="0"/>
                <w:sz w:val="24"/>
              </w:rPr>
              <w:t>2-1</w:t>
            </w:r>
            <w:r>
              <w:rPr>
                <w:color w:val="auto"/>
                <w:kern w:val="0"/>
                <w:sz w:val="24"/>
              </w:rPr>
              <w:t>。</w:t>
            </w:r>
          </w:p>
          <w:p>
            <w:pPr>
              <w:tabs>
                <w:tab w:val="left" w:pos="180"/>
              </w:tabs>
              <w:jc w:val="center"/>
              <w:rPr>
                <w:b/>
                <w:color w:val="auto"/>
                <w:sz w:val="24"/>
              </w:rPr>
            </w:pPr>
            <w:r>
              <w:rPr>
                <w:b/>
                <w:color w:val="auto"/>
                <w:sz w:val="24"/>
              </w:rPr>
              <w:t>表</w:t>
            </w:r>
            <w:r>
              <w:rPr>
                <w:rFonts w:hint="eastAsia"/>
                <w:b/>
                <w:color w:val="auto"/>
                <w:sz w:val="24"/>
              </w:rPr>
              <w:t>2-1</w:t>
            </w:r>
            <w:r>
              <w:rPr>
                <w:b/>
                <w:color w:val="auto"/>
                <w:sz w:val="24"/>
              </w:rPr>
              <w:t xml:space="preserve">  </w:t>
            </w:r>
            <w:r>
              <w:rPr>
                <w:rFonts w:hint="eastAsia"/>
                <w:b/>
                <w:color w:val="auto"/>
                <w:sz w:val="24"/>
              </w:rPr>
              <w:t xml:space="preserve"> </w:t>
            </w:r>
            <w:r>
              <w:rPr>
                <w:b/>
                <w:color w:val="auto"/>
                <w:sz w:val="24"/>
              </w:rPr>
              <w:t>项目组成表</w:t>
            </w:r>
          </w:p>
          <w:tbl>
            <w:tblPr>
              <w:tblStyle w:val="18"/>
              <w:tblW w:w="5000" w:type="pct"/>
              <w:jc w:val="righ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10"/>
              <w:gridCol w:w="1154"/>
              <w:gridCol w:w="4903"/>
              <w:gridCol w:w="10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0" w:hRule="atLeast"/>
                <w:jc w:val="right"/>
              </w:trPr>
              <w:tc>
                <w:tcPr>
                  <w:tcW w:w="624" w:type="pct"/>
                  <w:tcMar>
                    <w:left w:w="17" w:type="dxa"/>
                    <w:right w:w="17" w:type="dxa"/>
                  </w:tcMar>
                  <w:vAlign w:val="center"/>
                </w:tcPr>
                <w:p>
                  <w:pPr>
                    <w:spacing w:line="276" w:lineRule="auto"/>
                    <w:jc w:val="center"/>
                    <w:rPr>
                      <w:color w:val="auto"/>
                      <w:szCs w:val="21"/>
                    </w:rPr>
                  </w:pPr>
                  <w:r>
                    <w:rPr>
                      <w:color w:val="auto"/>
                      <w:szCs w:val="21"/>
                    </w:rPr>
                    <w:t>工程分类</w:t>
                  </w:r>
                </w:p>
              </w:tc>
              <w:tc>
                <w:tcPr>
                  <w:tcW w:w="713" w:type="pct"/>
                  <w:tcMar>
                    <w:left w:w="17" w:type="dxa"/>
                    <w:right w:w="17" w:type="dxa"/>
                  </w:tcMar>
                  <w:vAlign w:val="center"/>
                </w:tcPr>
                <w:p>
                  <w:pPr>
                    <w:spacing w:line="276" w:lineRule="auto"/>
                    <w:jc w:val="center"/>
                    <w:rPr>
                      <w:color w:val="auto"/>
                      <w:szCs w:val="21"/>
                    </w:rPr>
                  </w:pPr>
                  <w:r>
                    <w:rPr>
                      <w:rFonts w:hint="eastAsia"/>
                      <w:color w:val="auto"/>
                      <w:szCs w:val="21"/>
                    </w:rPr>
                    <w:t>名称</w:t>
                  </w:r>
                </w:p>
              </w:tc>
              <w:tc>
                <w:tcPr>
                  <w:tcW w:w="3030" w:type="pct"/>
                  <w:tcMar>
                    <w:left w:w="17" w:type="dxa"/>
                    <w:right w:w="17" w:type="dxa"/>
                  </w:tcMar>
                  <w:vAlign w:val="center"/>
                </w:tcPr>
                <w:p>
                  <w:pPr>
                    <w:jc w:val="center"/>
                    <w:rPr>
                      <w:color w:val="auto"/>
                      <w:szCs w:val="21"/>
                    </w:rPr>
                  </w:pPr>
                  <w:r>
                    <w:rPr>
                      <w:color w:val="auto"/>
                      <w:szCs w:val="21"/>
                    </w:rPr>
                    <w:t>建 设 内 容</w:t>
                  </w:r>
                </w:p>
              </w:tc>
              <w:tc>
                <w:tcPr>
                  <w:tcW w:w="634" w:type="pct"/>
                  <w:vAlign w:val="center"/>
                </w:tcPr>
                <w:p>
                  <w:pPr>
                    <w:jc w:val="center"/>
                    <w:rPr>
                      <w:color w:val="auto"/>
                      <w:szCs w:val="21"/>
                    </w:rPr>
                  </w:pPr>
                  <w:r>
                    <w:rPr>
                      <w:rFonts w:hint="eastAsia"/>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right"/>
              </w:trPr>
              <w:tc>
                <w:tcPr>
                  <w:tcW w:w="624" w:type="pct"/>
                  <w:tcMar>
                    <w:left w:w="17" w:type="dxa"/>
                    <w:right w:w="17" w:type="dxa"/>
                  </w:tcMar>
                  <w:vAlign w:val="center"/>
                </w:tcPr>
                <w:p>
                  <w:pPr>
                    <w:spacing w:line="276" w:lineRule="auto"/>
                    <w:jc w:val="center"/>
                    <w:rPr>
                      <w:color w:val="auto"/>
                      <w:szCs w:val="21"/>
                    </w:rPr>
                  </w:pPr>
                  <w:r>
                    <w:rPr>
                      <w:color w:val="auto"/>
                      <w:szCs w:val="21"/>
                    </w:rPr>
                    <w:t>主体工程</w:t>
                  </w:r>
                </w:p>
              </w:tc>
              <w:tc>
                <w:tcPr>
                  <w:tcW w:w="713" w:type="pct"/>
                  <w:tcMar>
                    <w:left w:w="17" w:type="dxa"/>
                    <w:right w:w="17" w:type="dxa"/>
                  </w:tcMar>
                  <w:vAlign w:val="center"/>
                </w:tcPr>
                <w:p>
                  <w:pPr>
                    <w:snapToGrid w:val="0"/>
                    <w:spacing w:line="276" w:lineRule="auto"/>
                    <w:jc w:val="center"/>
                    <w:rPr>
                      <w:color w:val="auto"/>
                      <w:szCs w:val="21"/>
                    </w:rPr>
                  </w:pPr>
                  <w:r>
                    <w:rPr>
                      <w:color w:val="auto"/>
                      <w:szCs w:val="21"/>
                    </w:rPr>
                    <w:t>无机材料生产车间</w:t>
                  </w:r>
                </w:p>
              </w:tc>
              <w:tc>
                <w:tcPr>
                  <w:tcW w:w="3030" w:type="pct"/>
                  <w:tcMar>
                    <w:left w:w="17" w:type="dxa"/>
                    <w:right w:w="17" w:type="dxa"/>
                  </w:tcMar>
                  <w:vAlign w:val="center"/>
                </w:tcPr>
                <w:p>
                  <w:pPr>
                    <w:adjustRightInd w:val="0"/>
                    <w:snapToGrid w:val="0"/>
                    <w:spacing w:line="276" w:lineRule="auto"/>
                    <w:jc w:val="center"/>
                    <w:rPr>
                      <w:color w:val="auto"/>
                      <w:szCs w:val="21"/>
                    </w:rPr>
                  </w:pPr>
                  <w:r>
                    <w:rPr>
                      <w:rFonts w:hint="eastAsia"/>
                      <w:color w:val="auto"/>
                      <w:szCs w:val="21"/>
                    </w:rPr>
                    <w:t>占地面积约</w:t>
                  </w:r>
                  <w:r>
                    <w:rPr>
                      <w:color w:val="auto"/>
                      <w:szCs w:val="21"/>
                    </w:rPr>
                    <w:t>5050.40 m</w:t>
                  </w:r>
                  <w:r>
                    <w:rPr>
                      <w:color w:val="auto"/>
                      <w:szCs w:val="21"/>
                      <w:vertAlign w:val="superscript"/>
                    </w:rPr>
                    <w:t>2</w:t>
                  </w:r>
                  <w:r>
                    <w:rPr>
                      <w:rFonts w:hint="eastAsia"/>
                      <w:color w:val="auto"/>
                      <w:szCs w:val="21"/>
                    </w:rPr>
                    <w:t>，</w:t>
                  </w:r>
                  <w:r>
                    <w:rPr>
                      <w:color w:val="auto"/>
                      <w:szCs w:val="21"/>
                    </w:rPr>
                    <w:t>厂房</w:t>
                  </w:r>
                  <w:r>
                    <w:rPr>
                      <w:rFonts w:hint="eastAsia"/>
                      <w:color w:val="auto"/>
                      <w:szCs w:val="21"/>
                    </w:rPr>
                    <w:t>1至7轴为单层门式钢架结构，高约13m，为矿用无机材料生产区，依据原料不同将生产线分为A、B两条产线，其中A生产线主要产品为：快速修补材料、无机堵水材料、双组分无机加固材料A料和高水充填材料A料；B生产线主要产品为：双组份无机加固材料B料、无机注浆封孔材料、高水充填材料B料和无机喷涂材料；8至14轴为二层钢筋混凝土框架结构，高约18m，其中一层设中间仓库、生产辅房（车间化验室、车间检测室、工人临时休息室、配电室、卫生间），二层设预留的矿用无机材料配套智能化装备组装区域、生产辅房（车间化验室、车间检测室、工人临时休息室、备品备件库、机修间、卫生间）。</w:t>
                  </w:r>
                </w:p>
              </w:tc>
              <w:tc>
                <w:tcPr>
                  <w:tcW w:w="634" w:type="pct"/>
                  <w:tcMar>
                    <w:left w:w="17" w:type="dxa"/>
                    <w:right w:w="17" w:type="dxa"/>
                  </w:tcMar>
                  <w:vAlign w:val="center"/>
                </w:tcPr>
                <w:p>
                  <w:pPr>
                    <w:adjustRightInd w:val="0"/>
                    <w:snapToGrid w:val="0"/>
                    <w:spacing w:line="276" w:lineRule="auto"/>
                    <w:jc w:val="center"/>
                    <w:rPr>
                      <w:color w:val="auto"/>
                      <w:szCs w:val="21"/>
                    </w:rPr>
                  </w:pPr>
                  <w:r>
                    <w:rPr>
                      <w:rFonts w:hint="eastAsia"/>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right"/>
              </w:trPr>
              <w:tc>
                <w:tcPr>
                  <w:tcW w:w="624" w:type="pct"/>
                  <w:tcMar>
                    <w:left w:w="17" w:type="dxa"/>
                    <w:right w:w="17" w:type="dxa"/>
                  </w:tcMar>
                  <w:vAlign w:val="center"/>
                </w:tcPr>
                <w:p>
                  <w:pPr>
                    <w:spacing w:line="276" w:lineRule="auto"/>
                    <w:jc w:val="center"/>
                    <w:rPr>
                      <w:color w:val="auto"/>
                      <w:szCs w:val="21"/>
                    </w:rPr>
                  </w:pPr>
                  <w:r>
                    <w:rPr>
                      <w:color w:val="auto"/>
                      <w:szCs w:val="21"/>
                    </w:rPr>
                    <w:t>辅助工程</w:t>
                  </w:r>
                </w:p>
              </w:tc>
              <w:tc>
                <w:tcPr>
                  <w:tcW w:w="713" w:type="pct"/>
                  <w:tcMar>
                    <w:left w:w="17" w:type="dxa"/>
                    <w:right w:w="17" w:type="dxa"/>
                  </w:tcMar>
                  <w:vAlign w:val="center"/>
                </w:tcPr>
                <w:p>
                  <w:pPr>
                    <w:spacing w:line="276" w:lineRule="auto"/>
                    <w:jc w:val="center"/>
                    <w:rPr>
                      <w:color w:val="auto"/>
                      <w:szCs w:val="21"/>
                    </w:rPr>
                  </w:pPr>
                  <w:r>
                    <w:rPr>
                      <w:rFonts w:hint="eastAsia"/>
                      <w:color w:val="auto"/>
                      <w:szCs w:val="21"/>
                    </w:rPr>
                    <w:t>辅助仓库</w:t>
                  </w:r>
                </w:p>
              </w:tc>
              <w:tc>
                <w:tcPr>
                  <w:tcW w:w="3030" w:type="pct"/>
                  <w:tcMar>
                    <w:left w:w="17" w:type="dxa"/>
                    <w:right w:w="17" w:type="dxa"/>
                  </w:tcMar>
                  <w:vAlign w:val="center"/>
                </w:tcPr>
                <w:p>
                  <w:pPr>
                    <w:spacing w:line="276" w:lineRule="auto"/>
                    <w:jc w:val="center"/>
                    <w:rPr>
                      <w:color w:val="auto"/>
                      <w:szCs w:val="21"/>
                    </w:rPr>
                  </w:pPr>
                  <w:r>
                    <w:rPr>
                      <w:rFonts w:hint="eastAsia"/>
                      <w:color w:val="auto"/>
                      <w:szCs w:val="21"/>
                    </w:rPr>
                    <w:t>占地面积约35.51</w:t>
                  </w:r>
                  <w:r>
                    <w:rPr>
                      <w:color w:val="auto"/>
                      <w:szCs w:val="21"/>
                    </w:rPr>
                    <w:t>m</w:t>
                  </w:r>
                  <w:r>
                    <w:rPr>
                      <w:color w:val="auto"/>
                      <w:szCs w:val="21"/>
                      <w:vertAlign w:val="superscript"/>
                    </w:rPr>
                    <w:t>2</w:t>
                  </w:r>
                  <w:r>
                    <w:rPr>
                      <w:rFonts w:hint="eastAsia"/>
                      <w:color w:val="auto"/>
                      <w:szCs w:val="21"/>
                    </w:rPr>
                    <w:t>，</w:t>
                  </w:r>
                  <w:r>
                    <w:rPr>
                      <w:rFonts w:hint="eastAsia" w:ascii="宋体" w:cs="宋体"/>
                      <w:color w:val="auto"/>
                      <w:kern w:val="0"/>
                      <w:szCs w:val="21"/>
                    </w:rPr>
                    <w:t>为单层钢筋混凝土框架结构，高约6m，</w:t>
                  </w:r>
                  <w:r>
                    <w:rPr>
                      <w:rFonts w:hint="eastAsia"/>
                      <w:color w:val="auto"/>
                      <w:szCs w:val="21"/>
                    </w:rPr>
                    <w:t>主要用于储存袋装外加剂A、外加剂B、外加剂C。</w:t>
                  </w:r>
                </w:p>
              </w:tc>
              <w:tc>
                <w:tcPr>
                  <w:tcW w:w="634" w:type="pct"/>
                  <w:tcMar>
                    <w:left w:w="17" w:type="dxa"/>
                    <w:right w:w="17" w:type="dxa"/>
                  </w:tcMar>
                  <w:vAlign w:val="center"/>
                </w:tcPr>
                <w:p>
                  <w:pPr>
                    <w:spacing w:line="276" w:lineRule="auto"/>
                    <w:jc w:val="center"/>
                    <w:rPr>
                      <w:color w:val="auto"/>
                      <w:szCs w:val="21"/>
                    </w:rPr>
                  </w:pPr>
                  <w:r>
                    <w:rPr>
                      <w:rFonts w:hint="eastAsia"/>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right"/>
              </w:trPr>
              <w:tc>
                <w:tcPr>
                  <w:tcW w:w="624" w:type="pct"/>
                  <w:vMerge w:val="restart"/>
                  <w:tcMar>
                    <w:left w:w="17" w:type="dxa"/>
                    <w:right w:w="17" w:type="dxa"/>
                  </w:tcMar>
                  <w:vAlign w:val="center"/>
                </w:tcPr>
                <w:p>
                  <w:pPr>
                    <w:spacing w:line="276" w:lineRule="auto"/>
                    <w:jc w:val="center"/>
                    <w:rPr>
                      <w:color w:val="auto"/>
                      <w:szCs w:val="21"/>
                    </w:rPr>
                  </w:pPr>
                  <w:r>
                    <w:rPr>
                      <w:color w:val="auto"/>
                      <w:szCs w:val="21"/>
                    </w:rPr>
                    <w:t>公用工程</w:t>
                  </w:r>
                </w:p>
              </w:tc>
              <w:tc>
                <w:tcPr>
                  <w:tcW w:w="713" w:type="pct"/>
                  <w:tcMar>
                    <w:left w:w="17" w:type="dxa"/>
                    <w:right w:w="17" w:type="dxa"/>
                  </w:tcMar>
                  <w:vAlign w:val="center"/>
                </w:tcPr>
                <w:p>
                  <w:pPr>
                    <w:spacing w:line="276" w:lineRule="auto"/>
                    <w:jc w:val="center"/>
                    <w:rPr>
                      <w:color w:val="auto"/>
                      <w:szCs w:val="21"/>
                    </w:rPr>
                  </w:pPr>
                  <w:r>
                    <w:rPr>
                      <w:color w:val="auto"/>
                      <w:szCs w:val="21"/>
                    </w:rPr>
                    <w:t>供水</w:t>
                  </w:r>
                </w:p>
              </w:tc>
              <w:tc>
                <w:tcPr>
                  <w:tcW w:w="3030" w:type="pct"/>
                  <w:tcMar>
                    <w:left w:w="17" w:type="dxa"/>
                    <w:right w:w="17" w:type="dxa"/>
                  </w:tcMar>
                  <w:vAlign w:val="center"/>
                </w:tcPr>
                <w:p>
                  <w:pPr>
                    <w:spacing w:line="276" w:lineRule="auto"/>
                    <w:jc w:val="center"/>
                    <w:rPr>
                      <w:color w:val="auto"/>
                      <w:szCs w:val="21"/>
                    </w:rPr>
                  </w:pPr>
                  <w:r>
                    <w:rPr>
                      <w:color w:val="auto"/>
                      <w:szCs w:val="21"/>
                    </w:rPr>
                    <w:t>供水水源为高新区供水管网。</w:t>
                  </w:r>
                </w:p>
              </w:tc>
              <w:tc>
                <w:tcPr>
                  <w:tcW w:w="634" w:type="pct"/>
                  <w:vMerge w:val="restart"/>
                  <w:tcMar>
                    <w:left w:w="17" w:type="dxa"/>
                    <w:right w:w="17" w:type="dxa"/>
                  </w:tcMar>
                  <w:vAlign w:val="center"/>
                </w:tcPr>
                <w:p>
                  <w:pPr>
                    <w:spacing w:line="276" w:lineRule="auto"/>
                    <w:jc w:val="center"/>
                    <w:rPr>
                      <w:color w:val="auto"/>
                      <w:szCs w:val="21"/>
                    </w:rPr>
                  </w:pPr>
                  <w:r>
                    <w:rPr>
                      <w:rFonts w:hint="eastAsia"/>
                      <w:color w:val="auto"/>
                      <w:szCs w:val="21"/>
                    </w:rPr>
                    <w:t>依托现有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right"/>
              </w:trPr>
              <w:tc>
                <w:tcPr>
                  <w:tcW w:w="624" w:type="pct"/>
                  <w:vMerge w:val="continue"/>
                  <w:tcMar>
                    <w:left w:w="17" w:type="dxa"/>
                    <w:right w:w="17" w:type="dxa"/>
                  </w:tcMar>
                  <w:vAlign w:val="center"/>
                </w:tcPr>
                <w:p>
                  <w:pPr>
                    <w:spacing w:line="276" w:lineRule="auto"/>
                    <w:jc w:val="center"/>
                    <w:rPr>
                      <w:color w:val="auto"/>
                      <w:szCs w:val="21"/>
                    </w:rPr>
                  </w:pPr>
                </w:p>
              </w:tc>
              <w:tc>
                <w:tcPr>
                  <w:tcW w:w="713" w:type="pct"/>
                  <w:tcMar>
                    <w:left w:w="17" w:type="dxa"/>
                    <w:right w:w="17" w:type="dxa"/>
                  </w:tcMar>
                  <w:vAlign w:val="center"/>
                </w:tcPr>
                <w:p>
                  <w:pPr>
                    <w:spacing w:line="276" w:lineRule="auto"/>
                    <w:jc w:val="center"/>
                    <w:rPr>
                      <w:color w:val="auto"/>
                      <w:szCs w:val="21"/>
                    </w:rPr>
                  </w:pPr>
                  <w:r>
                    <w:rPr>
                      <w:color w:val="auto"/>
                      <w:szCs w:val="21"/>
                    </w:rPr>
                    <w:t>排水</w:t>
                  </w:r>
                </w:p>
              </w:tc>
              <w:tc>
                <w:tcPr>
                  <w:tcW w:w="3030" w:type="pct"/>
                  <w:tcMar>
                    <w:left w:w="17" w:type="dxa"/>
                    <w:right w:w="17" w:type="dxa"/>
                  </w:tcMar>
                  <w:vAlign w:val="center"/>
                </w:tcPr>
                <w:p>
                  <w:pPr>
                    <w:spacing w:line="276" w:lineRule="auto"/>
                    <w:rPr>
                      <w:color w:val="auto"/>
                      <w:szCs w:val="21"/>
                    </w:rPr>
                  </w:pPr>
                  <w:r>
                    <w:rPr>
                      <w:color w:val="auto"/>
                      <w:szCs w:val="21"/>
                    </w:rPr>
                    <w:t>厂区排水实施雨污分流，生活污水排入现有化粪池后通过市政污水管网排入高新区污水处理厂。</w:t>
                  </w:r>
                </w:p>
              </w:tc>
              <w:tc>
                <w:tcPr>
                  <w:tcW w:w="634" w:type="pct"/>
                  <w:vMerge w:val="continue"/>
                  <w:tcMar>
                    <w:left w:w="17" w:type="dxa"/>
                    <w:right w:w="17" w:type="dxa"/>
                  </w:tcMar>
                  <w:vAlign w:val="center"/>
                </w:tcPr>
                <w:p>
                  <w:pPr>
                    <w:spacing w:line="276" w:lineRule="auto"/>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jc w:val="right"/>
              </w:trPr>
              <w:tc>
                <w:tcPr>
                  <w:tcW w:w="624" w:type="pct"/>
                  <w:vMerge w:val="continue"/>
                  <w:tcMar>
                    <w:left w:w="17" w:type="dxa"/>
                    <w:right w:w="17" w:type="dxa"/>
                  </w:tcMar>
                  <w:vAlign w:val="center"/>
                </w:tcPr>
                <w:p>
                  <w:pPr>
                    <w:spacing w:line="276" w:lineRule="auto"/>
                    <w:jc w:val="center"/>
                    <w:rPr>
                      <w:color w:val="auto"/>
                      <w:szCs w:val="21"/>
                    </w:rPr>
                  </w:pPr>
                </w:p>
              </w:tc>
              <w:tc>
                <w:tcPr>
                  <w:tcW w:w="713" w:type="pct"/>
                  <w:tcMar>
                    <w:left w:w="17" w:type="dxa"/>
                    <w:right w:w="17" w:type="dxa"/>
                  </w:tcMar>
                  <w:vAlign w:val="center"/>
                </w:tcPr>
                <w:p>
                  <w:pPr>
                    <w:spacing w:line="276" w:lineRule="auto"/>
                    <w:jc w:val="center"/>
                    <w:rPr>
                      <w:color w:val="auto"/>
                      <w:szCs w:val="21"/>
                    </w:rPr>
                  </w:pPr>
                  <w:r>
                    <w:rPr>
                      <w:color w:val="auto"/>
                      <w:szCs w:val="21"/>
                    </w:rPr>
                    <w:t>供电</w:t>
                  </w:r>
                </w:p>
              </w:tc>
              <w:tc>
                <w:tcPr>
                  <w:tcW w:w="3030" w:type="pct"/>
                  <w:tcMar>
                    <w:left w:w="17" w:type="dxa"/>
                    <w:right w:w="17" w:type="dxa"/>
                  </w:tcMar>
                  <w:vAlign w:val="center"/>
                </w:tcPr>
                <w:p>
                  <w:pPr>
                    <w:spacing w:line="276" w:lineRule="auto"/>
                    <w:jc w:val="center"/>
                    <w:rPr>
                      <w:color w:val="auto"/>
                      <w:szCs w:val="21"/>
                    </w:rPr>
                  </w:pPr>
                  <w:r>
                    <w:rPr>
                      <w:color w:val="auto"/>
                      <w:szCs w:val="21"/>
                    </w:rPr>
                    <w:t>由厂区内联合站房内变压器提供。</w:t>
                  </w:r>
                </w:p>
              </w:tc>
              <w:tc>
                <w:tcPr>
                  <w:tcW w:w="634" w:type="pct"/>
                  <w:vMerge w:val="continue"/>
                  <w:tcMar>
                    <w:left w:w="17" w:type="dxa"/>
                    <w:right w:w="17" w:type="dxa"/>
                  </w:tcMar>
                  <w:vAlign w:val="center"/>
                </w:tcPr>
                <w:p>
                  <w:pPr>
                    <w:spacing w:line="276" w:lineRule="auto"/>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right"/>
              </w:trPr>
              <w:tc>
                <w:tcPr>
                  <w:tcW w:w="624" w:type="pct"/>
                  <w:vMerge w:val="continue"/>
                  <w:tcMar>
                    <w:left w:w="17" w:type="dxa"/>
                    <w:right w:w="17" w:type="dxa"/>
                  </w:tcMar>
                  <w:vAlign w:val="center"/>
                </w:tcPr>
                <w:p>
                  <w:pPr>
                    <w:spacing w:line="276" w:lineRule="auto"/>
                    <w:jc w:val="center"/>
                    <w:rPr>
                      <w:color w:val="auto"/>
                      <w:szCs w:val="21"/>
                    </w:rPr>
                  </w:pPr>
                </w:p>
              </w:tc>
              <w:tc>
                <w:tcPr>
                  <w:tcW w:w="713" w:type="pct"/>
                  <w:tcMar>
                    <w:left w:w="17" w:type="dxa"/>
                    <w:right w:w="17" w:type="dxa"/>
                  </w:tcMar>
                  <w:vAlign w:val="center"/>
                </w:tcPr>
                <w:p>
                  <w:pPr>
                    <w:spacing w:line="276" w:lineRule="auto"/>
                    <w:jc w:val="center"/>
                    <w:rPr>
                      <w:color w:val="auto"/>
                      <w:szCs w:val="21"/>
                    </w:rPr>
                  </w:pPr>
                  <w:r>
                    <w:rPr>
                      <w:color w:val="auto"/>
                      <w:szCs w:val="21"/>
                    </w:rPr>
                    <w:t>制冷及供暖</w:t>
                  </w:r>
                </w:p>
              </w:tc>
              <w:tc>
                <w:tcPr>
                  <w:tcW w:w="3030" w:type="pct"/>
                  <w:tcMar>
                    <w:left w:w="17" w:type="dxa"/>
                    <w:right w:w="17" w:type="dxa"/>
                  </w:tcMar>
                  <w:vAlign w:val="center"/>
                </w:tcPr>
                <w:p>
                  <w:pPr>
                    <w:spacing w:line="276" w:lineRule="auto"/>
                    <w:jc w:val="center"/>
                    <w:rPr>
                      <w:color w:val="auto"/>
                      <w:szCs w:val="21"/>
                    </w:rPr>
                  </w:pPr>
                  <w:r>
                    <w:rPr>
                      <w:color w:val="auto"/>
                      <w:szCs w:val="21"/>
                    </w:rPr>
                    <w:t>项目设置分体空调进行夏季制冷，依托厂区现有锅炉房进行供暖。</w:t>
                  </w:r>
                </w:p>
              </w:tc>
              <w:tc>
                <w:tcPr>
                  <w:tcW w:w="634" w:type="pct"/>
                  <w:vMerge w:val="continue"/>
                  <w:tcMar>
                    <w:left w:w="17" w:type="dxa"/>
                    <w:right w:w="17" w:type="dxa"/>
                  </w:tcMar>
                  <w:vAlign w:val="center"/>
                </w:tcPr>
                <w:p>
                  <w:pPr>
                    <w:spacing w:line="276" w:lineRule="auto"/>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right"/>
              </w:trPr>
              <w:tc>
                <w:tcPr>
                  <w:tcW w:w="624" w:type="pct"/>
                  <w:vMerge w:val="restart"/>
                  <w:tcMar>
                    <w:left w:w="17" w:type="dxa"/>
                    <w:right w:w="17" w:type="dxa"/>
                  </w:tcMar>
                  <w:vAlign w:val="center"/>
                </w:tcPr>
                <w:p>
                  <w:pPr>
                    <w:spacing w:line="276" w:lineRule="auto"/>
                    <w:jc w:val="center"/>
                    <w:rPr>
                      <w:color w:val="auto"/>
                      <w:szCs w:val="21"/>
                    </w:rPr>
                  </w:pPr>
                  <w:r>
                    <w:rPr>
                      <w:color w:val="auto"/>
                      <w:szCs w:val="21"/>
                    </w:rPr>
                    <w:t>储运工程</w:t>
                  </w:r>
                </w:p>
              </w:tc>
              <w:tc>
                <w:tcPr>
                  <w:tcW w:w="713" w:type="pct"/>
                  <w:tcMar>
                    <w:left w:w="17" w:type="dxa"/>
                    <w:right w:w="17" w:type="dxa"/>
                  </w:tcMar>
                  <w:vAlign w:val="center"/>
                </w:tcPr>
                <w:p>
                  <w:pPr>
                    <w:spacing w:line="276" w:lineRule="auto"/>
                    <w:jc w:val="center"/>
                    <w:rPr>
                      <w:color w:val="auto"/>
                      <w:szCs w:val="21"/>
                    </w:rPr>
                  </w:pPr>
                  <w:r>
                    <w:rPr>
                      <w:color w:val="auto"/>
                      <w:szCs w:val="21"/>
                    </w:rPr>
                    <w:t>原料储存</w:t>
                  </w:r>
                </w:p>
              </w:tc>
              <w:tc>
                <w:tcPr>
                  <w:tcW w:w="3030" w:type="pct"/>
                  <w:tcMar>
                    <w:left w:w="17" w:type="dxa"/>
                    <w:right w:w="17" w:type="dxa"/>
                  </w:tcMar>
                  <w:vAlign w:val="center"/>
                </w:tcPr>
                <w:p>
                  <w:pPr>
                    <w:spacing w:line="276" w:lineRule="auto"/>
                    <w:jc w:val="center"/>
                    <w:rPr>
                      <w:color w:val="auto"/>
                      <w:szCs w:val="21"/>
                    </w:rPr>
                  </w:pPr>
                  <w:r>
                    <w:rPr>
                      <w:color w:val="auto"/>
                      <w:szCs w:val="21"/>
                    </w:rPr>
                    <w:t>厂房外设置</w:t>
                  </w:r>
                  <w:r>
                    <w:rPr>
                      <w:rFonts w:hint="eastAsia"/>
                      <w:color w:val="auto"/>
                      <w:szCs w:val="21"/>
                    </w:rPr>
                    <w:t>6个</w:t>
                  </w:r>
                  <w:r>
                    <w:rPr>
                      <w:color w:val="auto"/>
                      <w:szCs w:val="21"/>
                    </w:rPr>
                    <w:t>原料筒仓（立式，</w:t>
                  </w:r>
                  <w:r>
                    <w:rPr>
                      <w:rFonts w:hint="eastAsia"/>
                      <w:color w:val="auto"/>
                      <w:szCs w:val="21"/>
                    </w:rPr>
                    <w:t>60m</w:t>
                  </w:r>
                  <w:r>
                    <w:rPr>
                      <w:rFonts w:hint="eastAsia"/>
                      <w:color w:val="auto"/>
                      <w:szCs w:val="21"/>
                      <w:vertAlign w:val="superscript"/>
                    </w:rPr>
                    <w:t>3</w:t>
                  </w:r>
                  <w:r>
                    <w:rPr>
                      <w:color w:val="auto"/>
                      <w:szCs w:val="21"/>
                    </w:rPr>
                    <w:t>）分别用于储存硫铝酸盐水泥（</w:t>
                  </w:r>
                  <w:r>
                    <w:rPr>
                      <w:rFonts w:hint="eastAsia"/>
                      <w:color w:val="auto"/>
                      <w:szCs w:val="21"/>
                    </w:rPr>
                    <w:t>2个</w:t>
                  </w:r>
                  <w:r>
                    <w:rPr>
                      <w:color w:val="auto"/>
                      <w:szCs w:val="21"/>
                    </w:rPr>
                    <w:t>）、铝酸盐水泥（</w:t>
                  </w:r>
                  <w:r>
                    <w:rPr>
                      <w:rFonts w:hint="eastAsia"/>
                      <w:color w:val="auto"/>
                      <w:szCs w:val="21"/>
                    </w:rPr>
                    <w:t>1个</w:t>
                  </w:r>
                  <w:r>
                    <w:rPr>
                      <w:color w:val="auto"/>
                      <w:szCs w:val="21"/>
                    </w:rPr>
                    <w:t>）、普通硅酸盐水泥（</w:t>
                  </w:r>
                  <w:r>
                    <w:rPr>
                      <w:rFonts w:hint="eastAsia"/>
                      <w:color w:val="auto"/>
                      <w:szCs w:val="21"/>
                    </w:rPr>
                    <w:t>2个，一用一备</w:t>
                  </w:r>
                  <w:r>
                    <w:rPr>
                      <w:color w:val="auto"/>
                      <w:szCs w:val="21"/>
                    </w:rPr>
                    <w:t>）及砂石原料（</w:t>
                  </w:r>
                  <w:r>
                    <w:rPr>
                      <w:rFonts w:hint="eastAsia"/>
                      <w:color w:val="auto"/>
                      <w:szCs w:val="21"/>
                    </w:rPr>
                    <w:t>1个</w:t>
                  </w:r>
                  <w:r>
                    <w:rPr>
                      <w:color w:val="auto"/>
                      <w:szCs w:val="21"/>
                    </w:rPr>
                    <w:t>）；</w:t>
                  </w:r>
                  <w:r>
                    <w:rPr>
                      <w:rFonts w:hint="eastAsia"/>
                      <w:color w:val="auto"/>
                      <w:szCs w:val="21"/>
                    </w:rPr>
                    <w:t>3种外加剂储存于辅助仓库；</w:t>
                  </w:r>
                  <w:r>
                    <w:rPr>
                      <w:rFonts w:hint="eastAsia"/>
                      <w:color w:val="auto"/>
                      <w:szCs w:val="21"/>
                      <w:highlight w:val="none"/>
                    </w:rPr>
                    <w:t>石灰、石膏储存于厂房的中间仓库。</w:t>
                  </w:r>
                </w:p>
              </w:tc>
              <w:tc>
                <w:tcPr>
                  <w:tcW w:w="634" w:type="pct"/>
                  <w:tcMar>
                    <w:left w:w="17" w:type="dxa"/>
                    <w:right w:w="17" w:type="dxa"/>
                  </w:tcMar>
                  <w:vAlign w:val="center"/>
                </w:tcPr>
                <w:p>
                  <w:pPr>
                    <w:spacing w:line="276" w:lineRule="auto"/>
                    <w:jc w:val="center"/>
                    <w:rPr>
                      <w:color w:val="auto"/>
                      <w:szCs w:val="21"/>
                    </w:rPr>
                  </w:pPr>
                  <w:r>
                    <w:rPr>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right"/>
              </w:trPr>
              <w:tc>
                <w:tcPr>
                  <w:tcW w:w="624" w:type="pct"/>
                  <w:vMerge w:val="continue"/>
                  <w:tcMar>
                    <w:left w:w="17" w:type="dxa"/>
                    <w:right w:w="17" w:type="dxa"/>
                  </w:tcMar>
                  <w:vAlign w:val="center"/>
                </w:tcPr>
                <w:p>
                  <w:pPr>
                    <w:spacing w:line="276" w:lineRule="auto"/>
                    <w:jc w:val="center"/>
                    <w:rPr>
                      <w:color w:val="auto"/>
                      <w:szCs w:val="21"/>
                    </w:rPr>
                  </w:pPr>
                </w:p>
              </w:tc>
              <w:tc>
                <w:tcPr>
                  <w:tcW w:w="713" w:type="pct"/>
                  <w:tcMar>
                    <w:left w:w="17" w:type="dxa"/>
                    <w:right w:w="17" w:type="dxa"/>
                  </w:tcMar>
                  <w:vAlign w:val="center"/>
                </w:tcPr>
                <w:p>
                  <w:pPr>
                    <w:spacing w:line="276" w:lineRule="auto"/>
                    <w:jc w:val="center"/>
                    <w:rPr>
                      <w:color w:val="auto"/>
                      <w:szCs w:val="21"/>
                    </w:rPr>
                  </w:pPr>
                  <w:r>
                    <w:rPr>
                      <w:color w:val="auto"/>
                      <w:szCs w:val="21"/>
                    </w:rPr>
                    <w:t>成品储存</w:t>
                  </w:r>
                </w:p>
              </w:tc>
              <w:tc>
                <w:tcPr>
                  <w:tcW w:w="3030" w:type="pct"/>
                  <w:tcMar>
                    <w:left w:w="17" w:type="dxa"/>
                    <w:right w:w="17" w:type="dxa"/>
                  </w:tcMar>
                  <w:vAlign w:val="center"/>
                </w:tcPr>
                <w:p>
                  <w:pPr>
                    <w:spacing w:line="276" w:lineRule="auto"/>
                    <w:jc w:val="center"/>
                    <w:rPr>
                      <w:color w:val="auto"/>
                      <w:szCs w:val="21"/>
                    </w:rPr>
                  </w:pPr>
                  <w:r>
                    <w:rPr>
                      <w:color w:val="auto"/>
                      <w:szCs w:val="21"/>
                    </w:rPr>
                    <w:t>各类成品经包装后均储存于厂房的中间仓库。</w:t>
                  </w:r>
                </w:p>
              </w:tc>
              <w:tc>
                <w:tcPr>
                  <w:tcW w:w="634" w:type="pct"/>
                  <w:tcMar>
                    <w:left w:w="17" w:type="dxa"/>
                    <w:right w:w="17" w:type="dxa"/>
                  </w:tcMar>
                  <w:vAlign w:val="center"/>
                </w:tcPr>
                <w:p>
                  <w:pPr>
                    <w:spacing w:line="276" w:lineRule="auto"/>
                    <w:jc w:val="center"/>
                    <w:rPr>
                      <w:color w:val="auto"/>
                      <w:szCs w:val="21"/>
                    </w:rPr>
                  </w:pPr>
                  <w:r>
                    <w:rPr>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right"/>
              </w:trPr>
              <w:tc>
                <w:tcPr>
                  <w:tcW w:w="624" w:type="pct"/>
                  <w:vMerge w:val="continue"/>
                  <w:tcMar>
                    <w:left w:w="17" w:type="dxa"/>
                    <w:right w:w="17" w:type="dxa"/>
                  </w:tcMar>
                  <w:vAlign w:val="center"/>
                </w:tcPr>
                <w:p>
                  <w:pPr>
                    <w:spacing w:line="276" w:lineRule="auto"/>
                    <w:jc w:val="center"/>
                    <w:rPr>
                      <w:color w:val="auto"/>
                      <w:szCs w:val="21"/>
                    </w:rPr>
                  </w:pPr>
                </w:p>
              </w:tc>
              <w:tc>
                <w:tcPr>
                  <w:tcW w:w="713" w:type="pct"/>
                  <w:tcMar>
                    <w:left w:w="17" w:type="dxa"/>
                    <w:right w:w="17" w:type="dxa"/>
                  </w:tcMar>
                  <w:vAlign w:val="center"/>
                </w:tcPr>
                <w:p>
                  <w:pPr>
                    <w:spacing w:line="276" w:lineRule="auto"/>
                    <w:jc w:val="center"/>
                    <w:rPr>
                      <w:color w:val="auto"/>
                      <w:szCs w:val="21"/>
                    </w:rPr>
                  </w:pPr>
                  <w:r>
                    <w:rPr>
                      <w:color w:val="auto"/>
                      <w:szCs w:val="21"/>
                    </w:rPr>
                    <w:t>物料运输</w:t>
                  </w:r>
                </w:p>
              </w:tc>
              <w:tc>
                <w:tcPr>
                  <w:tcW w:w="3030" w:type="pct"/>
                  <w:tcMar>
                    <w:left w:w="17" w:type="dxa"/>
                    <w:right w:w="17" w:type="dxa"/>
                  </w:tcMar>
                  <w:vAlign w:val="center"/>
                </w:tcPr>
                <w:p>
                  <w:pPr>
                    <w:spacing w:line="276" w:lineRule="auto"/>
                    <w:jc w:val="center"/>
                    <w:rPr>
                      <w:color w:val="auto"/>
                      <w:szCs w:val="21"/>
                    </w:rPr>
                  </w:pPr>
                  <w:r>
                    <w:rPr>
                      <w:color w:val="auto"/>
                      <w:szCs w:val="21"/>
                    </w:rPr>
                    <w:t>所有原料及产品的运输均由社会车辆承担。</w:t>
                  </w:r>
                </w:p>
              </w:tc>
              <w:tc>
                <w:tcPr>
                  <w:tcW w:w="634" w:type="pct"/>
                  <w:tcMar>
                    <w:left w:w="17" w:type="dxa"/>
                    <w:right w:w="17" w:type="dxa"/>
                  </w:tcMar>
                  <w:vAlign w:val="center"/>
                </w:tcPr>
                <w:p>
                  <w:pPr>
                    <w:spacing w:line="276" w:lineRule="auto"/>
                    <w:jc w:val="center"/>
                    <w:rPr>
                      <w:color w:val="auto"/>
                      <w:szCs w:val="21"/>
                    </w:rPr>
                  </w:pPr>
                  <w:r>
                    <w:rPr>
                      <w:rFonts w:hint="eastAsia"/>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right"/>
              </w:trPr>
              <w:tc>
                <w:tcPr>
                  <w:tcW w:w="624" w:type="pct"/>
                  <w:vMerge w:val="restart"/>
                  <w:tcMar>
                    <w:left w:w="17" w:type="dxa"/>
                    <w:right w:w="17" w:type="dxa"/>
                  </w:tcMar>
                  <w:vAlign w:val="center"/>
                </w:tcPr>
                <w:p>
                  <w:pPr>
                    <w:spacing w:line="276" w:lineRule="auto"/>
                    <w:jc w:val="center"/>
                    <w:rPr>
                      <w:color w:val="auto"/>
                      <w:szCs w:val="21"/>
                    </w:rPr>
                  </w:pPr>
                  <w:r>
                    <w:rPr>
                      <w:rFonts w:hint="eastAsia"/>
                      <w:color w:val="auto"/>
                      <w:szCs w:val="21"/>
                    </w:rPr>
                    <w:t>环保</w:t>
                  </w:r>
                  <w:r>
                    <w:rPr>
                      <w:color w:val="auto"/>
                      <w:szCs w:val="21"/>
                    </w:rPr>
                    <w:t>工程</w:t>
                  </w:r>
                </w:p>
              </w:tc>
              <w:tc>
                <w:tcPr>
                  <w:tcW w:w="713" w:type="pct"/>
                  <w:tcMar>
                    <w:left w:w="17" w:type="dxa"/>
                    <w:right w:w="17" w:type="dxa"/>
                  </w:tcMar>
                  <w:vAlign w:val="center"/>
                </w:tcPr>
                <w:p>
                  <w:pPr>
                    <w:tabs>
                      <w:tab w:val="left" w:pos="1575"/>
                    </w:tabs>
                    <w:spacing w:line="276" w:lineRule="auto"/>
                    <w:jc w:val="center"/>
                    <w:rPr>
                      <w:color w:val="auto"/>
                      <w:szCs w:val="21"/>
                    </w:rPr>
                  </w:pPr>
                  <w:r>
                    <w:rPr>
                      <w:rFonts w:hint="eastAsia"/>
                      <w:color w:val="auto"/>
                      <w:szCs w:val="21"/>
                    </w:rPr>
                    <w:t>废气</w:t>
                  </w:r>
                </w:p>
              </w:tc>
              <w:tc>
                <w:tcPr>
                  <w:tcW w:w="3030" w:type="pct"/>
                  <w:tcMar>
                    <w:left w:w="17" w:type="dxa"/>
                    <w:right w:w="17" w:type="dxa"/>
                  </w:tcMar>
                  <w:vAlign w:val="center"/>
                </w:tcPr>
                <w:p>
                  <w:pPr>
                    <w:tabs>
                      <w:tab w:val="left" w:pos="1575"/>
                    </w:tabs>
                    <w:spacing w:line="276" w:lineRule="auto"/>
                    <w:jc w:val="center"/>
                    <w:rPr>
                      <w:color w:val="auto"/>
                      <w:szCs w:val="21"/>
                    </w:rPr>
                  </w:pPr>
                  <w:r>
                    <w:rPr>
                      <w:color w:val="auto"/>
                      <w:szCs w:val="21"/>
                    </w:rPr>
                    <w:t>项目废气排放主要为粉尘，原料筒仓（</w:t>
                  </w:r>
                  <w:r>
                    <w:rPr>
                      <w:rFonts w:hint="eastAsia"/>
                      <w:color w:val="auto"/>
                      <w:szCs w:val="21"/>
                    </w:rPr>
                    <w:t>6个</w:t>
                  </w:r>
                  <w:r>
                    <w:rPr>
                      <w:color w:val="auto"/>
                      <w:szCs w:val="21"/>
                    </w:rPr>
                    <w:t>）粉尘分别经仓顶脉冲布袋除尘器（</w:t>
                  </w:r>
                  <w:r>
                    <w:rPr>
                      <w:rFonts w:hint="eastAsia"/>
                      <w:color w:val="auto"/>
                      <w:szCs w:val="21"/>
                    </w:rPr>
                    <w:t>6个</w:t>
                  </w:r>
                  <w:r>
                    <w:rPr>
                      <w:color w:val="auto"/>
                      <w:szCs w:val="21"/>
                    </w:rPr>
                    <w:t>）处理后排放；上料、配料、搅拌、包装工序粉尘分别经管道收集至脉冲布袋除尘器（</w:t>
                  </w:r>
                  <w:r>
                    <w:rPr>
                      <w:rFonts w:hint="eastAsia"/>
                      <w:color w:val="auto"/>
                      <w:szCs w:val="21"/>
                    </w:rPr>
                    <w:t>1</w:t>
                  </w:r>
                  <w:r>
                    <w:rPr>
                      <w:rFonts w:hint="eastAsia"/>
                      <w:color w:val="auto"/>
                      <w:szCs w:val="21"/>
                      <w:lang w:val="en-US" w:eastAsia="zh-CN"/>
                    </w:rPr>
                    <w:t>5</w:t>
                  </w:r>
                  <w:r>
                    <w:rPr>
                      <w:rFonts w:hint="eastAsia"/>
                      <w:color w:val="auto"/>
                      <w:szCs w:val="21"/>
                    </w:rPr>
                    <w:t>台</w:t>
                  </w:r>
                  <w:r>
                    <w:rPr>
                      <w:color w:val="auto"/>
                      <w:szCs w:val="21"/>
                    </w:rPr>
                    <w:t>）处理后由</w:t>
                  </w:r>
                  <w:r>
                    <w:rPr>
                      <w:rFonts w:hint="eastAsia"/>
                      <w:color w:val="auto"/>
                      <w:szCs w:val="21"/>
                    </w:rPr>
                    <w:t>1根25m高排气筒排放</w:t>
                  </w:r>
                  <w:r>
                    <w:rPr>
                      <w:color w:val="auto"/>
                      <w:szCs w:val="21"/>
                    </w:rPr>
                    <w:t>；</w:t>
                  </w:r>
                  <w:r>
                    <w:rPr>
                      <w:color w:val="auto"/>
                      <w:szCs w:val="21"/>
                      <w:highlight w:val="none"/>
                    </w:rPr>
                    <w:t>砂石进料粉尘设</w:t>
                  </w:r>
                  <w:r>
                    <w:rPr>
                      <w:rFonts w:hint="eastAsia"/>
                      <w:color w:val="auto"/>
                      <w:szCs w:val="21"/>
                      <w:highlight w:val="none"/>
                    </w:rPr>
                    <w:t>3面围墙及顶盖阻隔。</w:t>
                  </w:r>
                </w:p>
              </w:tc>
              <w:tc>
                <w:tcPr>
                  <w:tcW w:w="634" w:type="pct"/>
                  <w:tcMar>
                    <w:left w:w="17" w:type="dxa"/>
                    <w:right w:w="17" w:type="dxa"/>
                  </w:tcMar>
                  <w:vAlign w:val="center"/>
                </w:tcPr>
                <w:p>
                  <w:pPr>
                    <w:tabs>
                      <w:tab w:val="left" w:pos="1575"/>
                    </w:tabs>
                    <w:spacing w:line="276" w:lineRule="auto"/>
                    <w:jc w:val="center"/>
                    <w:rPr>
                      <w:color w:val="auto"/>
                      <w:szCs w:val="21"/>
                    </w:rPr>
                  </w:pPr>
                  <w:r>
                    <w:rPr>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right"/>
              </w:trPr>
              <w:tc>
                <w:tcPr>
                  <w:tcW w:w="624" w:type="pct"/>
                  <w:vMerge w:val="continue"/>
                  <w:tcMar>
                    <w:left w:w="17" w:type="dxa"/>
                    <w:right w:w="17" w:type="dxa"/>
                  </w:tcMar>
                  <w:vAlign w:val="center"/>
                </w:tcPr>
                <w:p>
                  <w:pPr>
                    <w:spacing w:line="276" w:lineRule="auto"/>
                    <w:jc w:val="center"/>
                    <w:rPr>
                      <w:color w:val="auto"/>
                      <w:szCs w:val="21"/>
                    </w:rPr>
                  </w:pPr>
                </w:p>
              </w:tc>
              <w:tc>
                <w:tcPr>
                  <w:tcW w:w="713" w:type="pct"/>
                  <w:tcMar>
                    <w:left w:w="17" w:type="dxa"/>
                    <w:right w:w="17" w:type="dxa"/>
                  </w:tcMar>
                  <w:vAlign w:val="center"/>
                </w:tcPr>
                <w:p>
                  <w:pPr>
                    <w:tabs>
                      <w:tab w:val="left" w:pos="1575"/>
                    </w:tabs>
                    <w:spacing w:line="276" w:lineRule="auto"/>
                    <w:jc w:val="center"/>
                    <w:rPr>
                      <w:color w:val="auto"/>
                      <w:szCs w:val="21"/>
                    </w:rPr>
                  </w:pPr>
                  <w:r>
                    <w:rPr>
                      <w:rFonts w:hint="eastAsia"/>
                      <w:color w:val="auto"/>
                      <w:szCs w:val="21"/>
                    </w:rPr>
                    <w:t>废水</w:t>
                  </w:r>
                </w:p>
              </w:tc>
              <w:tc>
                <w:tcPr>
                  <w:tcW w:w="3030" w:type="pct"/>
                  <w:tcMar>
                    <w:left w:w="17" w:type="dxa"/>
                    <w:right w:w="17" w:type="dxa"/>
                  </w:tcMar>
                  <w:vAlign w:val="center"/>
                </w:tcPr>
                <w:p>
                  <w:pPr>
                    <w:tabs>
                      <w:tab w:val="left" w:pos="1575"/>
                    </w:tabs>
                    <w:spacing w:line="276" w:lineRule="auto"/>
                    <w:jc w:val="center"/>
                    <w:rPr>
                      <w:color w:val="auto"/>
                      <w:kern w:val="0"/>
                      <w:szCs w:val="21"/>
                    </w:rPr>
                  </w:pPr>
                  <w:r>
                    <w:rPr>
                      <w:color w:val="auto"/>
                      <w:kern w:val="0"/>
                      <w:szCs w:val="21"/>
                    </w:rPr>
                    <w:t>项目生产过程中无废水产生；项目产生的生活污水排入化粪池后，经市政管网进入高新区污水处理厂处理</w:t>
                  </w:r>
                  <w:r>
                    <w:rPr>
                      <w:rFonts w:hint="eastAsia"/>
                      <w:color w:val="auto"/>
                      <w:kern w:val="0"/>
                      <w:szCs w:val="21"/>
                      <w:lang w:eastAsia="zh-CN"/>
                    </w:rPr>
                    <w:t>；</w:t>
                  </w:r>
                  <w:r>
                    <w:rPr>
                      <w:rFonts w:hint="eastAsia"/>
                      <w:color w:val="auto"/>
                      <w:kern w:val="0"/>
                      <w:szCs w:val="21"/>
                      <w:lang w:eastAsia="zh-CN"/>
                    </w:rPr>
                    <w:t>项目初期雨水经雨水收集池收集后回用</w:t>
                  </w:r>
                  <w:r>
                    <w:rPr>
                      <w:color w:val="auto"/>
                      <w:kern w:val="0"/>
                      <w:szCs w:val="21"/>
                    </w:rPr>
                    <w:t>。</w:t>
                  </w:r>
                </w:p>
              </w:tc>
              <w:tc>
                <w:tcPr>
                  <w:tcW w:w="634" w:type="pct"/>
                  <w:tcMar>
                    <w:left w:w="17" w:type="dxa"/>
                    <w:right w:w="17" w:type="dxa"/>
                  </w:tcMar>
                  <w:vAlign w:val="center"/>
                </w:tcPr>
                <w:p>
                  <w:pPr>
                    <w:tabs>
                      <w:tab w:val="left" w:pos="1575"/>
                    </w:tabs>
                    <w:spacing w:line="276" w:lineRule="auto"/>
                    <w:jc w:val="center"/>
                    <w:rPr>
                      <w:color w:val="auto"/>
                      <w:szCs w:val="21"/>
                    </w:rPr>
                  </w:pPr>
                  <w:r>
                    <w:rPr>
                      <w:rFonts w:hint="eastAsia"/>
                      <w:color w:val="auto"/>
                      <w:szCs w:val="21"/>
                    </w:rPr>
                    <w:t>依托现有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right"/>
              </w:trPr>
              <w:tc>
                <w:tcPr>
                  <w:tcW w:w="624" w:type="pct"/>
                  <w:vMerge w:val="continue"/>
                  <w:tcMar>
                    <w:left w:w="17" w:type="dxa"/>
                    <w:right w:w="17" w:type="dxa"/>
                  </w:tcMar>
                  <w:vAlign w:val="center"/>
                </w:tcPr>
                <w:p>
                  <w:pPr>
                    <w:spacing w:line="276" w:lineRule="auto"/>
                    <w:jc w:val="center"/>
                    <w:rPr>
                      <w:color w:val="auto"/>
                      <w:szCs w:val="21"/>
                    </w:rPr>
                  </w:pPr>
                </w:p>
              </w:tc>
              <w:tc>
                <w:tcPr>
                  <w:tcW w:w="713" w:type="pct"/>
                  <w:tcMar>
                    <w:left w:w="17" w:type="dxa"/>
                    <w:right w:w="17" w:type="dxa"/>
                  </w:tcMar>
                  <w:vAlign w:val="center"/>
                </w:tcPr>
                <w:p>
                  <w:pPr>
                    <w:spacing w:line="276" w:lineRule="auto"/>
                    <w:jc w:val="center"/>
                    <w:rPr>
                      <w:color w:val="auto"/>
                      <w:szCs w:val="21"/>
                    </w:rPr>
                  </w:pPr>
                  <w:r>
                    <w:rPr>
                      <w:color w:val="auto"/>
                      <w:szCs w:val="21"/>
                    </w:rPr>
                    <w:t>噪声</w:t>
                  </w:r>
                </w:p>
              </w:tc>
              <w:tc>
                <w:tcPr>
                  <w:tcW w:w="3030" w:type="pct"/>
                  <w:tcMar>
                    <w:left w:w="17" w:type="dxa"/>
                    <w:right w:w="17" w:type="dxa"/>
                  </w:tcMar>
                  <w:vAlign w:val="center"/>
                </w:tcPr>
                <w:p>
                  <w:pPr>
                    <w:spacing w:line="276" w:lineRule="auto"/>
                    <w:jc w:val="center"/>
                    <w:rPr>
                      <w:color w:val="auto"/>
                      <w:szCs w:val="21"/>
                    </w:rPr>
                  </w:pPr>
                  <w:r>
                    <w:rPr>
                      <w:color w:val="auto"/>
                      <w:szCs w:val="21"/>
                    </w:rPr>
                    <w:t>选用低噪声设备、基础减振、厂房隔声以及加强设备维护等降噪措施。</w:t>
                  </w:r>
                </w:p>
              </w:tc>
              <w:tc>
                <w:tcPr>
                  <w:tcW w:w="634" w:type="pct"/>
                  <w:tcMar>
                    <w:left w:w="17" w:type="dxa"/>
                    <w:right w:w="17" w:type="dxa"/>
                  </w:tcMar>
                  <w:vAlign w:val="center"/>
                </w:tcPr>
                <w:p>
                  <w:pPr>
                    <w:spacing w:line="276" w:lineRule="auto"/>
                    <w:jc w:val="center"/>
                    <w:rPr>
                      <w:color w:val="auto"/>
                      <w:szCs w:val="21"/>
                    </w:rPr>
                  </w:pPr>
                  <w:r>
                    <w:rPr>
                      <w:rFonts w:hint="eastAsia"/>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right"/>
              </w:trPr>
              <w:tc>
                <w:tcPr>
                  <w:tcW w:w="624" w:type="pct"/>
                  <w:vMerge w:val="continue"/>
                  <w:tcMar>
                    <w:left w:w="17" w:type="dxa"/>
                    <w:right w:w="17" w:type="dxa"/>
                  </w:tcMar>
                  <w:vAlign w:val="center"/>
                </w:tcPr>
                <w:p>
                  <w:pPr>
                    <w:spacing w:line="276" w:lineRule="auto"/>
                    <w:jc w:val="center"/>
                    <w:rPr>
                      <w:color w:val="auto"/>
                      <w:szCs w:val="21"/>
                    </w:rPr>
                  </w:pPr>
                </w:p>
              </w:tc>
              <w:tc>
                <w:tcPr>
                  <w:tcW w:w="713" w:type="pct"/>
                  <w:vMerge w:val="restart"/>
                  <w:tcMar>
                    <w:left w:w="17" w:type="dxa"/>
                    <w:right w:w="17" w:type="dxa"/>
                  </w:tcMar>
                  <w:vAlign w:val="center"/>
                </w:tcPr>
                <w:p>
                  <w:pPr>
                    <w:spacing w:line="276" w:lineRule="auto"/>
                    <w:jc w:val="center"/>
                    <w:rPr>
                      <w:color w:val="auto"/>
                      <w:szCs w:val="21"/>
                    </w:rPr>
                  </w:pPr>
                  <w:r>
                    <w:rPr>
                      <w:color w:val="auto"/>
                      <w:szCs w:val="21"/>
                    </w:rPr>
                    <w:t>固体废物</w:t>
                  </w:r>
                </w:p>
              </w:tc>
              <w:tc>
                <w:tcPr>
                  <w:tcW w:w="3030" w:type="pct"/>
                  <w:tcMar>
                    <w:left w:w="17" w:type="dxa"/>
                    <w:right w:w="17" w:type="dxa"/>
                  </w:tcMar>
                  <w:vAlign w:val="center"/>
                </w:tcPr>
                <w:p>
                  <w:pPr>
                    <w:spacing w:line="276" w:lineRule="auto"/>
                    <w:jc w:val="left"/>
                    <w:rPr>
                      <w:color w:val="auto"/>
                      <w:szCs w:val="21"/>
                    </w:rPr>
                  </w:pPr>
                  <w:r>
                    <w:rPr>
                      <w:color w:val="auto"/>
                      <w:szCs w:val="21"/>
                    </w:rPr>
                    <w:t>生活垃圾：</w:t>
                  </w:r>
                  <w:r>
                    <w:rPr>
                      <w:rFonts w:hint="eastAsia"/>
                      <w:color w:val="auto"/>
                      <w:szCs w:val="21"/>
                    </w:rPr>
                    <w:t>统一收集后交环卫部门处置。</w:t>
                  </w:r>
                </w:p>
              </w:tc>
              <w:tc>
                <w:tcPr>
                  <w:tcW w:w="634" w:type="pct"/>
                  <w:tcMar>
                    <w:left w:w="17" w:type="dxa"/>
                    <w:right w:w="17" w:type="dxa"/>
                  </w:tcMar>
                  <w:vAlign w:val="center"/>
                </w:tcPr>
                <w:p>
                  <w:pPr>
                    <w:spacing w:line="276" w:lineRule="auto"/>
                    <w:jc w:val="center"/>
                    <w:rPr>
                      <w:color w:val="auto"/>
                      <w:szCs w:val="21"/>
                    </w:rPr>
                  </w:pPr>
                  <w:r>
                    <w:rPr>
                      <w:rFonts w:hint="eastAsia"/>
                      <w:color w:val="auto"/>
                      <w:szCs w:val="21"/>
                    </w:rPr>
                    <w:t>依托现有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right"/>
              </w:trPr>
              <w:tc>
                <w:tcPr>
                  <w:tcW w:w="624" w:type="pct"/>
                  <w:vMerge w:val="continue"/>
                  <w:tcMar>
                    <w:left w:w="17" w:type="dxa"/>
                    <w:right w:w="17" w:type="dxa"/>
                  </w:tcMar>
                  <w:vAlign w:val="center"/>
                </w:tcPr>
                <w:p>
                  <w:pPr>
                    <w:spacing w:line="276" w:lineRule="auto"/>
                    <w:jc w:val="center"/>
                    <w:rPr>
                      <w:color w:val="auto"/>
                      <w:szCs w:val="21"/>
                    </w:rPr>
                  </w:pPr>
                </w:p>
              </w:tc>
              <w:tc>
                <w:tcPr>
                  <w:tcW w:w="713" w:type="pct"/>
                  <w:vMerge w:val="continue"/>
                  <w:tcMar>
                    <w:left w:w="17" w:type="dxa"/>
                    <w:right w:w="17" w:type="dxa"/>
                  </w:tcMar>
                  <w:vAlign w:val="center"/>
                </w:tcPr>
                <w:p>
                  <w:pPr>
                    <w:spacing w:line="276" w:lineRule="auto"/>
                    <w:jc w:val="center"/>
                    <w:rPr>
                      <w:color w:val="auto"/>
                      <w:szCs w:val="21"/>
                    </w:rPr>
                  </w:pPr>
                </w:p>
              </w:tc>
              <w:tc>
                <w:tcPr>
                  <w:tcW w:w="3030" w:type="pct"/>
                  <w:tcMar>
                    <w:left w:w="17" w:type="dxa"/>
                    <w:right w:w="17" w:type="dxa"/>
                  </w:tcMar>
                  <w:vAlign w:val="center"/>
                </w:tcPr>
                <w:p>
                  <w:pPr>
                    <w:spacing w:line="276" w:lineRule="auto"/>
                    <w:jc w:val="left"/>
                    <w:rPr>
                      <w:color w:val="auto"/>
                      <w:szCs w:val="21"/>
                    </w:rPr>
                  </w:pPr>
                  <w:r>
                    <w:rPr>
                      <w:color w:val="auto"/>
                      <w:szCs w:val="21"/>
                    </w:rPr>
                    <w:t>一般固废：废包装材料</w:t>
                  </w:r>
                  <w:r>
                    <w:rPr>
                      <w:rFonts w:hint="eastAsia"/>
                      <w:color w:val="auto"/>
                      <w:szCs w:val="21"/>
                    </w:rPr>
                    <w:t>集中暂存至一般固废间，定期外售；不合格品和除尘器收集的粉尘均全部回用。</w:t>
                  </w:r>
                </w:p>
              </w:tc>
              <w:tc>
                <w:tcPr>
                  <w:tcW w:w="634" w:type="pct"/>
                  <w:tcMar>
                    <w:left w:w="17" w:type="dxa"/>
                    <w:right w:w="17" w:type="dxa"/>
                  </w:tcMar>
                  <w:vAlign w:val="center"/>
                </w:tcPr>
                <w:p>
                  <w:pPr>
                    <w:spacing w:line="276" w:lineRule="auto"/>
                    <w:jc w:val="center"/>
                    <w:rPr>
                      <w:color w:val="auto"/>
                      <w:szCs w:val="21"/>
                    </w:rPr>
                  </w:pPr>
                  <w:r>
                    <w:rPr>
                      <w:rFonts w:hint="eastAsia"/>
                      <w:color w:val="auto"/>
                      <w:szCs w:val="21"/>
                    </w:rPr>
                    <w:t>新建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right"/>
              </w:trPr>
              <w:tc>
                <w:tcPr>
                  <w:tcW w:w="624" w:type="pct"/>
                  <w:vMerge w:val="continue"/>
                  <w:tcMar>
                    <w:left w:w="17" w:type="dxa"/>
                    <w:right w:w="17" w:type="dxa"/>
                  </w:tcMar>
                  <w:vAlign w:val="center"/>
                </w:tcPr>
                <w:p>
                  <w:pPr>
                    <w:spacing w:line="276" w:lineRule="auto"/>
                    <w:jc w:val="center"/>
                    <w:rPr>
                      <w:color w:val="auto"/>
                      <w:szCs w:val="21"/>
                    </w:rPr>
                  </w:pPr>
                </w:p>
              </w:tc>
              <w:tc>
                <w:tcPr>
                  <w:tcW w:w="713" w:type="pct"/>
                  <w:vMerge w:val="continue"/>
                  <w:tcMar>
                    <w:left w:w="17" w:type="dxa"/>
                    <w:right w:w="17" w:type="dxa"/>
                  </w:tcMar>
                  <w:vAlign w:val="center"/>
                </w:tcPr>
                <w:p>
                  <w:pPr>
                    <w:spacing w:line="276" w:lineRule="auto"/>
                    <w:jc w:val="center"/>
                    <w:rPr>
                      <w:color w:val="auto"/>
                      <w:szCs w:val="21"/>
                    </w:rPr>
                  </w:pPr>
                </w:p>
              </w:tc>
              <w:tc>
                <w:tcPr>
                  <w:tcW w:w="3030" w:type="pct"/>
                  <w:tcMar>
                    <w:left w:w="17" w:type="dxa"/>
                    <w:right w:w="17" w:type="dxa"/>
                  </w:tcMar>
                  <w:vAlign w:val="center"/>
                </w:tcPr>
                <w:p>
                  <w:pPr>
                    <w:spacing w:line="276" w:lineRule="auto"/>
                    <w:jc w:val="left"/>
                    <w:rPr>
                      <w:color w:val="auto"/>
                      <w:szCs w:val="21"/>
                    </w:rPr>
                  </w:pPr>
                  <w:r>
                    <w:rPr>
                      <w:color w:val="auto"/>
                      <w:szCs w:val="21"/>
                    </w:rPr>
                    <w:t>危险废物：</w:t>
                  </w:r>
                  <w:r>
                    <w:rPr>
                      <w:rFonts w:hint="eastAsia"/>
                      <w:color w:val="auto"/>
                      <w:szCs w:val="21"/>
                    </w:rPr>
                    <w:t>暂存厂内危废间，定期交由有资质单位处置。</w:t>
                  </w:r>
                </w:p>
              </w:tc>
              <w:tc>
                <w:tcPr>
                  <w:tcW w:w="634" w:type="pct"/>
                  <w:tcMar>
                    <w:left w:w="17" w:type="dxa"/>
                    <w:right w:w="17" w:type="dxa"/>
                  </w:tcMar>
                  <w:vAlign w:val="center"/>
                </w:tcPr>
                <w:p>
                  <w:pPr>
                    <w:spacing w:line="276" w:lineRule="auto"/>
                    <w:jc w:val="center"/>
                    <w:rPr>
                      <w:color w:val="auto"/>
                      <w:szCs w:val="21"/>
                    </w:rPr>
                  </w:pPr>
                  <w:r>
                    <w:rPr>
                      <w:rFonts w:hint="eastAsia"/>
                      <w:color w:val="auto"/>
                      <w:szCs w:val="21"/>
                    </w:rPr>
                    <w:t>新建</w:t>
                  </w:r>
                </w:p>
              </w:tc>
            </w:tr>
          </w:tbl>
          <w:p>
            <w:pPr>
              <w:spacing w:before="120" w:beforeLines="50" w:line="360" w:lineRule="auto"/>
              <w:ind w:firstLine="482" w:firstLineChars="200"/>
              <w:jc w:val="left"/>
              <w:rPr>
                <w:b/>
                <w:color w:val="auto"/>
                <w:sz w:val="24"/>
              </w:rPr>
            </w:pPr>
            <w:r>
              <w:rPr>
                <w:rFonts w:hint="eastAsia"/>
                <w:b/>
                <w:color w:val="auto"/>
                <w:sz w:val="24"/>
              </w:rPr>
              <w:t>4、主要原辅材料及产品</w:t>
            </w:r>
          </w:p>
          <w:p>
            <w:pPr>
              <w:spacing w:before="120" w:beforeLines="50" w:line="360" w:lineRule="auto"/>
              <w:ind w:firstLine="480" w:firstLineChars="200"/>
              <w:jc w:val="left"/>
              <w:rPr>
                <w:color w:val="auto"/>
                <w:sz w:val="24"/>
              </w:rPr>
            </w:pPr>
            <w:r>
              <w:rPr>
                <w:rFonts w:hint="eastAsia"/>
                <w:color w:val="auto"/>
                <w:sz w:val="24"/>
              </w:rPr>
              <w:t>（1）原辅材料及能源消耗</w:t>
            </w:r>
          </w:p>
          <w:p>
            <w:pPr>
              <w:spacing w:before="120" w:beforeLines="50" w:line="360" w:lineRule="auto"/>
              <w:ind w:firstLine="480" w:firstLineChars="200"/>
              <w:jc w:val="left"/>
              <w:rPr>
                <w:color w:val="auto"/>
                <w:sz w:val="24"/>
              </w:rPr>
            </w:pPr>
            <w:r>
              <w:rPr>
                <w:color w:val="auto"/>
                <w:sz w:val="24"/>
              </w:rPr>
              <w:t>项目原辅材料及能源消耗见下表。</w:t>
            </w:r>
          </w:p>
          <w:p>
            <w:pPr>
              <w:snapToGrid w:val="0"/>
              <w:jc w:val="center"/>
              <w:rPr>
                <w:b/>
                <w:color w:val="auto"/>
                <w:sz w:val="24"/>
                <w:szCs w:val="20"/>
              </w:rPr>
            </w:pPr>
            <w:r>
              <w:rPr>
                <w:rFonts w:hint="eastAsia"/>
                <w:b/>
                <w:color w:val="auto"/>
                <w:sz w:val="24"/>
                <w:szCs w:val="20"/>
              </w:rPr>
              <w:t>表2-2   生产所需原辅材及能源消耗一览表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24"/>
              <w:gridCol w:w="1587"/>
              <w:gridCol w:w="709"/>
              <w:gridCol w:w="989"/>
              <w:gridCol w:w="1274"/>
              <w:gridCol w:w="3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24" w:type="pct"/>
                  <w:vAlign w:val="center"/>
                </w:tcPr>
                <w:p>
                  <w:pPr>
                    <w:autoSpaceDE w:val="0"/>
                    <w:autoSpaceDN w:val="0"/>
                    <w:adjustRightInd w:val="0"/>
                    <w:jc w:val="center"/>
                    <w:rPr>
                      <w:color w:val="auto"/>
                      <w:szCs w:val="21"/>
                      <w:lang w:val="zh-CN"/>
                    </w:rPr>
                  </w:pPr>
                  <w:r>
                    <w:rPr>
                      <w:color w:val="auto"/>
                      <w:szCs w:val="21"/>
                      <w:lang w:val="zh-CN"/>
                    </w:rPr>
                    <w:t>序号</w:t>
                  </w:r>
                </w:p>
              </w:tc>
              <w:tc>
                <w:tcPr>
                  <w:tcW w:w="981" w:type="pct"/>
                  <w:vAlign w:val="center"/>
                </w:tcPr>
                <w:p>
                  <w:pPr>
                    <w:autoSpaceDE w:val="0"/>
                    <w:autoSpaceDN w:val="0"/>
                    <w:adjustRightInd w:val="0"/>
                    <w:jc w:val="center"/>
                    <w:rPr>
                      <w:color w:val="auto"/>
                      <w:szCs w:val="21"/>
                      <w:lang w:val="zh-CN"/>
                    </w:rPr>
                  </w:pPr>
                  <w:r>
                    <w:rPr>
                      <w:color w:val="auto"/>
                      <w:szCs w:val="21"/>
                      <w:lang w:val="zh-CN"/>
                    </w:rPr>
                    <w:t>名称</w:t>
                  </w:r>
                </w:p>
              </w:tc>
              <w:tc>
                <w:tcPr>
                  <w:tcW w:w="438" w:type="pct"/>
                  <w:vAlign w:val="center"/>
                </w:tcPr>
                <w:p>
                  <w:pPr>
                    <w:autoSpaceDE w:val="0"/>
                    <w:autoSpaceDN w:val="0"/>
                    <w:adjustRightInd w:val="0"/>
                    <w:jc w:val="center"/>
                    <w:rPr>
                      <w:color w:val="auto"/>
                      <w:szCs w:val="21"/>
                      <w:lang w:val="zh-CN"/>
                    </w:rPr>
                  </w:pPr>
                  <w:r>
                    <w:rPr>
                      <w:color w:val="auto"/>
                      <w:szCs w:val="21"/>
                      <w:lang w:val="zh-CN"/>
                    </w:rPr>
                    <w:t>单位</w:t>
                  </w:r>
                </w:p>
              </w:tc>
              <w:tc>
                <w:tcPr>
                  <w:tcW w:w="611" w:type="pct"/>
                  <w:vAlign w:val="center"/>
                </w:tcPr>
                <w:p>
                  <w:pPr>
                    <w:autoSpaceDE w:val="0"/>
                    <w:autoSpaceDN w:val="0"/>
                    <w:adjustRightInd w:val="0"/>
                    <w:jc w:val="center"/>
                    <w:rPr>
                      <w:color w:val="auto"/>
                      <w:szCs w:val="21"/>
                      <w:lang w:val="zh-CN"/>
                    </w:rPr>
                  </w:pPr>
                  <w:r>
                    <w:rPr>
                      <w:color w:val="auto"/>
                      <w:szCs w:val="21"/>
                      <w:lang w:val="zh-CN"/>
                    </w:rPr>
                    <w:t>数量</w:t>
                  </w:r>
                </w:p>
              </w:tc>
              <w:tc>
                <w:tcPr>
                  <w:tcW w:w="787" w:type="pct"/>
                  <w:vAlign w:val="center"/>
                </w:tcPr>
                <w:p>
                  <w:pPr>
                    <w:autoSpaceDE w:val="0"/>
                    <w:autoSpaceDN w:val="0"/>
                    <w:adjustRightInd w:val="0"/>
                    <w:jc w:val="center"/>
                    <w:rPr>
                      <w:color w:val="auto"/>
                      <w:szCs w:val="21"/>
                      <w:lang w:val="zh-CN"/>
                    </w:rPr>
                  </w:pPr>
                  <w:r>
                    <w:rPr>
                      <w:color w:val="auto"/>
                      <w:szCs w:val="21"/>
                      <w:lang w:val="zh-CN"/>
                    </w:rPr>
                    <w:t>备注</w:t>
                  </w:r>
                </w:p>
              </w:tc>
              <w:tc>
                <w:tcPr>
                  <w:tcW w:w="1859" w:type="pct"/>
                  <w:vAlign w:val="center"/>
                </w:tcPr>
                <w:p>
                  <w:pPr>
                    <w:autoSpaceDE w:val="0"/>
                    <w:autoSpaceDN w:val="0"/>
                    <w:adjustRightInd w:val="0"/>
                    <w:jc w:val="center"/>
                    <w:rPr>
                      <w:color w:val="auto"/>
                      <w:szCs w:val="21"/>
                      <w:lang w:val="zh-CN"/>
                    </w:rPr>
                  </w:pPr>
                  <w:r>
                    <w:rPr>
                      <w:color w:val="auto"/>
                      <w:szCs w:val="21"/>
                      <w:lang w:val="zh-CN"/>
                    </w:rPr>
                    <w:t>储存位置及储存方式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24" w:type="pct"/>
                  <w:vAlign w:val="center"/>
                </w:tcPr>
                <w:p>
                  <w:pPr>
                    <w:autoSpaceDE w:val="0"/>
                    <w:autoSpaceDN w:val="0"/>
                    <w:adjustRightInd w:val="0"/>
                    <w:jc w:val="center"/>
                    <w:rPr>
                      <w:color w:val="auto"/>
                      <w:szCs w:val="21"/>
                      <w:lang w:val="zh-CN"/>
                    </w:rPr>
                  </w:pPr>
                  <w:r>
                    <w:rPr>
                      <w:color w:val="auto"/>
                      <w:szCs w:val="21"/>
                      <w:lang w:val="zh-CN"/>
                    </w:rPr>
                    <w:t>1</w:t>
                  </w:r>
                </w:p>
              </w:tc>
              <w:tc>
                <w:tcPr>
                  <w:tcW w:w="981" w:type="pct"/>
                  <w:vAlign w:val="center"/>
                </w:tcPr>
                <w:p>
                  <w:pPr>
                    <w:autoSpaceDE w:val="0"/>
                    <w:autoSpaceDN w:val="0"/>
                    <w:adjustRightInd w:val="0"/>
                    <w:jc w:val="center"/>
                    <w:rPr>
                      <w:color w:val="auto"/>
                      <w:szCs w:val="21"/>
                    </w:rPr>
                  </w:pPr>
                  <w:r>
                    <w:rPr>
                      <w:color w:val="auto"/>
                      <w:szCs w:val="21"/>
                    </w:rPr>
                    <w:t>硫铝酸盐水泥</w:t>
                  </w:r>
                </w:p>
              </w:tc>
              <w:tc>
                <w:tcPr>
                  <w:tcW w:w="438" w:type="pct"/>
                  <w:vAlign w:val="center"/>
                </w:tcPr>
                <w:p>
                  <w:pPr>
                    <w:autoSpaceDE w:val="0"/>
                    <w:autoSpaceDN w:val="0"/>
                    <w:adjustRightInd w:val="0"/>
                    <w:jc w:val="center"/>
                    <w:rPr>
                      <w:color w:val="auto"/>
                      <w:szCs w:val="21"/>
                      <w:lang w:val="zh-CN"/>
                    </w:rPr>
                  </w:pPr>
                  <w:r>
                    <w:rPr>
                      <w:rFonts w:hint="eastAsia"/>
                      <w:color w:val="auto"/>
                      <w:szCs w:val="21"/>
                    </w:rPr>
                    <w:t>t</w:t>
                  </w:r>
                  <w:r>
                    <w:rPr>
                      <w:color w:val="auto"/>
                      <w:szCs w:val="21"/>
                    </w:rPr>
                    <w:t>/</w:t>
                  </w:r>
                  <w:r>
                    <w:rPr>
                      <w:rFonts w:hint="eastAsia"/>
                      <w:color w:val="auto"/>
                      <w:szCs w:val="21"/>
                    </w:rPr>
                    <w:t>a</w:t>
                  </w:r>
                </w:p>
              </w:tc>
              <w:tc>
                <w:tcPr>
                  <w:tcW w:w="611" w:type="pct"/>
                  <w:vAlign w:val="center"/>
                </w:tcPr>
                <w:p>
                  <w:pPr>
                    <w:jc w:val="center"/>
                    <w:rPr>
                      <w:color w:val="auto"/>
                      <w:szCs w:val="21"/>
                    </w:rPr>
                  </w:pPr>
                  <w:r>
                    <w:rPr>
                      <w:color w:val="auto"/>
                      <w:szCs w:val="21"/>
                    </w:rPr>
                    <w:t>10434.27</w:t>
                  </w:r>
                </w:p>
              </w:tc>
              <w:tc>
                <w:tcPr>
                  <w:tcW w:w="787" w:type="pct"/>
                  <w:vMerge w:val="restart"/>
                  <w:vAlign w:val="center"/>
                </w:tcPr>
                <w:p>
                  <w:pPr>
                    <w:autoSpaceDE w:val="0"/>
                    <w:autoSpaceDN w:val="0"/>
                    <w:adjustRightInd w:val="0"/>
                    <w:jc w:val="center"/>
                    <w:rPr>
                      <w:color w:val="auto"/>
                      <w:szCs w:val="21"/>
                      <w:lang w:val="zh-CN"/>
                    </w:rPr>
                  </w:pPr>
                  <w:r>
                    <w:rPr>
                      <w:color w:val="auto"/>
                      <w:szCs w:val="21"/>
                      <w:lang w:val="zh-CN"/>
                    </w:rPr>
                    <w:t>外购，使用罐车运输。</w:t>
                  </w:r>
                </w:p>
              </w:tc>
              <w:tc>
                <w:tcPr>
                  <w:tcW w:w="1859" w:type="pct"/>
                  <w:vAlign w:val="center"/>
                </w:tcPr>
                <w:p>
                  <w:pPr>
                    <w:autoSpaceDE w:val="0"/>
                    <w:autoSpaceDN w:val="0"/>
                    <w:adjustRightInd w:val="0"/>
                    <w:jc w:val="center"/>
                    <w:rPr>
                      <w:color w:val="auto"/>
                      <w:szCs w:val="21"/>
                      <w:lang w:val="zh-CN"/>
                    </w:rPr>
                  </w:pPr>
                  <w:r>
                    <w:rPr>
                      <w:color w:val="auto"/>
                      <w:szCs w:val="21"/>
                      <w:lang w:val="zh-CN"/>
                    </w:rPr>
                    <w:t>厂房北侧的硫铝酸盐水泥筒仓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24" w:type="pct"/>
                  <w:vAlign w:val="center"/>
                </w:tcPr>
                <w:p>
                  <w:pPr>
                    <w:autoSpaceDE w:val="0"/>
                    <w:autoSpaceDN w:val="0"/>
                    <w:adjustRightInd w:val="0"/>
                    <w:jc w:val="center"/>
                    <w:rPr>
                      <w:color w:val="auto"/>
                      <w:szCs w:val="21"/>
                      <w:lang w:val="zh-CN"/>
                    </w:rPr>
                  </w:pPr>
                  <w:r>
                    <w:rPr>
                      <w:color w:val="auto"/>
                      <w:szCs w:val="21"/>
                      <w:lang w:val="zh-CN"/>
                    </w:rPr>
                    <w:t>2</w:t>
                  </w:r>
                </w:p>
              </w:tc>
              <w:tc>
                <w:tcPr>
                  <w:tcW w:w="981" w:type="pct"/>
                  <w:vAlign w:val="center"/>
                </w:tcPr>
                <w:p>
                  <w:pPr>
                    <w:autoSpaceDE w:val="0"/>
                    <w:autoSpaceDN w:val="0"/>
                    <w:adjustRightInd w:val="0"/>
                    <w:jc w:val="center"/>
                    <w:rPr>
                      <w:color w:val="auto"/>
                      <w:szCs w:val="21"/>
                      <w:lang w:val="zh-CN"/>
                    </w:rPr>
                  </w:pPr>
                  <w:r>
                    <w:rPr>
                      <w:color w:val="auto"/>
                      <w:szCs w:val="21"/>
                      <w:lang w:val="zh-CN"/>
                    </w:rPr>
                    <w:t>铝酸盐水泥</w:t>
                  </w:r>
                </w:p>
              </w:tc>
              <w:tc>
                <w:tcPr>
                  <w:tcW w:w="438" w:type="pct"/>
                  <w:vAlign w:val="center"/>
                </w:tcPr>
                <w:p>
                  <w:pPr>
                    <w:autoSpaceDE w:val="0"/>
                    <w:autoSpaceDN w:val="0"/>
                    <w:adjustRightInd w:val="0"/>
                    <w:jc w:val="center"/>
                    <w:rPr>
                      <w:color w:val="auto"/>
                      <w:szCs w:val="21"/>
                    </w:rPr>
                  </w:pPr>
                  <w:r>
                    <w:rPr>
                      <w:rFonts w:hint="eastAsia"/>
                      <w:color w:val="auto"/>
                      <w:szCs w:val="21"/>
                    </w:rPr>
                    <w:t>t</w:t>
                  </w:r>
                  <w:r>
                    <w:rPr>
                      <w:color w:val="auto"/>
                      <w:szCs w:val="21"/>
                    </w:rPr>
                    <w:t>/</w:t>
                  </w:r>
                  <w:r>
                    <w:rPr>
                      <w:rFonts w:hint="eastAsia"/>
                      <w:color w:val="auto"/>
                      <w:szCs w:val="21"/>
                    </w:rPr>
                    <w:t>a</w:t>
                  </w:r>
                </w:p>
              </w:tc>
              <w:tc>
                <w:tcPr>
                  <w:tcW w:w="611" w:type="pct"/>
                  <w:vAlign w:val="center"/>
                </w:tcPr>
                <w:p>
                  <w:pPr>
                    <w:jc w:val="center"/>
                    <w:rPr>
                      <w:color w:val="auto"/>
                      <w:szCs w:val="21"/>
                    </w:rPr>
                  </w:pPr>
                  <w:r>
                    <w:rPr>
                      <w:rFonts w:hint="eastAsia"/>
                      <w:color w:val="auto"/>
                      <w:szCs w:val="21"/>
                    </w:rPr>
                    <w:t>1045.7</w:t>
                  </w:r>
                </w:p>
              </w:tc>
              <w:tc>
                <w:tcPr>
                  <w:tcW w:w="787" w:type="pct"/>
                  <w:vMerge w:val="continue"/>
                  <w:vAlign w:val="center"/>
                </w:tcPr>
                <w:p>
                  <w:pPr>
                    <w:autoSpaceDE w:val="0"/>
                    <w:autoSpaceDN w:val="0"/>
                    <w:adjustRightInd w:val="0"/>
                    <w:jc w:val="center"/>
                    <w:rPr>
                      <w:color w:val="auto"/>
                      <w:szCs w:val="21"/>
                      <w:lang w:val="zh-CN"/>
                    </w:rPr>
                  </w:pPr>
                </w:p>
              </w:tc>
              <w:tc>
                <w:tcPr>
                  <w:tcW w:w="1859" w:type="pct"/>
                  <w:vAlign w:val="center"/>
                </w:tcPr>
                <w:p>
                  <w:pPr>
                    <w:autoSpaceDE w:val="0"/>
                    <w:autoSpaceDN w:val="0"/>
                    <w:adjustRightInd w:val="0"/>
                    <w:jc w:val="center"/>
                    <w:rPr>
                      <w:color w:val="auto"/>
                      <w:szCs w:val="21"/>
                      <w:lang w:val="zh-CN"/>
                    </w:rPr>
                  </w:pPr>
                  <w:r>
                    <w:rPr>
                      <w:color w:val="auto"/>
                      <w:szCs w:val="21"/>
                      <w:lang w:val="zh-CN"/>
                    </w:rPr>
                    <w:t>厂房北侧的铝酸盐水泥筒仓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24" w:type="pct"/>
                  <w:vAlign w:val="center"/>
                </w:tcPr>
                <w:p>
                  <w:pPr>
                    <w:autoSpaceDE w:val="0"/>
                    <w:autoSpaceDN w:val="0"/>
                    <w:adjustRightInd w:val="0"/>
                    <w:jc w:val="center"/>
                    <w:rPr>
                      <w:color w:val="auto"/>
                      <w:szCs w:val="21"/>
                      <w:lang w:val="zh-CN"/>
                    </w:rPr>
                  </w:pPr>
                  <w:r>
                    <w:rPr>
                      <w:color w:val="auto"/>
                      <w:szCs w:val="21"/>
                      <w:lang w:val="zh-CN"/>
                    </w:rPr>
                    <w:t>3</w:t>
                  </w:r>
                </w:p>
              </w:tc>
              <w:tc>
                <w:tcPr>
                  <w:tcW w:w="981" w:type="pct"/>
                  <w:vAlign w:val="center"/>
                </w:tcPr>
                <w:p>
                  <w:pPr>
                    <w:autoSpaceDE w:val="0"/>
                    <w:autoSpaceDN w:val="0"/>
                    <w:adjustRightInd w:val="0"/>
                    <w:jc w:val="center"/>
                    <w:rPr>
                      <w:color w:val="auto"/>
                      <w:szCs w:val="21"/>
                      <w:lang w:val="zh-CN"/>
                    </w:rPr>
                  </w:pPr>
                  <w:r>
                    <w:rPr>
                      <w:color w:val="auto"/>
                      <w:szCs w:val="21"/>
                      <w:lang w:val="zh-CN"/>
                    </w:rPr>
                    <w:t>普通硅酸盐水泥</w:t>
                  </w:r>
                </w:p>
              </w:tc>
              <w:tc>
                <w:tcPr>
                  <w:tcW w:w="438" w:type="pct"/>
                  <w:vAlign w:val="center"/>
                </w:tcPr>
                <w:p>
                  <w:pPr>
                    <w:autoSpaceDE w:val="0"/>
                    <w:autoSpaceDN w:val="0"/>
                    <w:adjustRightInd w:val="0"/>
                    <w:jc w:val="center"/>
                    <w:rPr>
                      <w:color w:val="auto"/>
                      <w:szCs w:val="21"/>
                    </w:rPr>
                  </w:pPr>
                  <w:r>
                    <w:rPr>
                      <w:rFonts w:hint="eastAsia"/>
                      <w:color w:val="auto"/>
                      <w:szCs w:val="21"/>
                    </w:rPr>
                    <w:t>t</w:t>
                  </w:r>
                  <w:r>
                    <w:rPr>
                      <w:color w:val="auto"/>
                      <w:szCs w:val="21"/>
                    </w:rPr>
                    <w:t>/</w:t>
                  </w:r>
                  <w:r>
                    <w:rPr>
                      <w:rFonts w:hint="eastAsia"/>
                      <w:color w:val="auto"/>
                      <w:szCs w:val="21"/>
                    </w:rPr>
                    <w:t>a</w:t>
                  </w:r>
                </w:p>
              </w:tc>
              <w:tc>
                <w:tcPr>
                  <w:tcW w:w="611" w:type="pct"/>
                  <w:vAlign w:val="center"/>
                </w:tcPr>
                <w:p>
                  <w:pPr>
                    <w:jc w:val="center"/>
                    <w:rPr>
                      <w:color w:val="auto"/>
                      <w:szCs w:val="21"/>
                    </w:rPr>
                  </w:pPr>
                  <w:r>
                    <w:rPr>
                      <w:rFonts w:hint="eastAsia"/>
                      <w:color w:val="auto"/>
                      <w:szCs w:val="21"/>
                    </w:rPr>
                    <w:t>6982.2414</w:t>
                  </w:r>
                </w:p>
              </w:tc>
              <w:tc>
                <w:tcPr>
                  <w:tcW w:w="787" w:type="pct"/>
                  <w:vMerge w:val="continue"/>
                  <w:vAlign w:val="center"/>
                </w:tcPr>
                <w:p>
                  <w:pPr>
                    <w:autoSpaceDE w:val="0"/>
                    <w:autoSpaceDN w:val="0"/>
                    <w:adjustRightInd w:val="0"/>
                    <w:jc w:val="center"/>
                    <w:rPr>
                      <w:color w:val="auto"/>
                      <w:szCs w:val="21"/>
                      <w:lang w:val="zh-CN"/>
                    </w:rPr>
                  </w:pPr>
                </w:p>
              </w:tc>
              <w:tc>
                <w:tcPr>
                  <w:tcW w:w="1859" w:type="pct"/>
                  <w:vAlign w:val="center"/>
                </w:tcPr>
                <w:p>
                  <w:pPr>
                    <w:autoSpaceDE w:val="0"/>
                    <w:autoSpaceDN w:val="0"/>
                    <w:adjustRightInd w:val="0"/>
                    <w:jc w:val="center"/>
                    <w:rPr>
                      <w:color w:val="auto"/>
                      <w:szCs w:val="21"/>
                      <w:lang w:val="zh-CN"/>
                    </w:rPr>
                  </w:pPr>
                  <w:r>
                    <w:rPr>
                      <w:color w:val="auto"/>
                      <w:szCs w:val="21"/>
                      <w:lang w:val="zh-CN"/>
                    </w:rPr>
                    <w:t>厂房北侧的普通硅酸盐水泥筒仓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24" w:type="pct"/>
                  <w:vAlign w:val="center"/>
                </w:tcPr>
                <w:p>
                  <w:pPr>
                    <w:autoSpaceDE w:val="0"/>
                    <w:autoSpaceDN w:val="0"/>
                    <w:adjustRightInd w:val="0"/>
                    <w:jc w:val="center"/>
                    <w:rPr>
                      <w:color w:val="auto"/>
                      <w:szCs w:val="21"/>
                      <w:lang w:val="zh-CN"/>
                    </w:rPr>
                  </w:pPr>
                  <w:r>
                    <w:rPr>
                      <w:color w:val="auto"/>
                      <w:szCs w:val="21"/>
                      <w:lang w:val="zh-CN"/>
                    </w:rPr>
                    <w:t>4</w:t>
                  </w:r>
                </w:p>
              </w:tc>
              <w:tc>
                <w:tcPr>
                  <w:tcW w:w="981" w:type="pct"/>
                  <w:vAlign w:val="center"/>
                </w:tcPr>
                <w:p>
                  <w:pPr>
                    <w:autoSpaceDE w:val="0"/>
                    <w:autoSpaceDN w:val="0"/>
                    <w:adjustRightInd w:val="0"/>
                    <w:jc w:val="center"/>
                    <w:rPr>
                      <w:color w:val="auto"/>
                      <w:szCs w:val="21"/>
                    </w:rPr>
                  </w:pPr>
                  <w:r>
                    <w:rPr>
                      <w:color w:val="auto"/>
                      <w:szCs w:val="21"/>
                    </w:rPr>
                    <w:t>外加剂</w:t>
                  </w:r>
                  <w:r>
                    <w:rPr>
                      <w:rFonts w:hint="eastAsia"/>
                      <w:color w:val="auto"/>
                      <w:szCs w:val="21"/>
                    </w:rPr>
                    <w:t>A</w:t>
                  </w:r>
                </w:p>
              </w:tc>
              <w:tc>
                <w:tcPr>
                  <w:tcW w:w="438" w:type="pct"/>
                  <w:vAlign w:val="center"/>
                </w:tcPr>
                <w:p>
                  <w:pPr>
                    <w:autoSpaceDE w:val="0"/>
                    <w:autoSpaceDN w:val="0"/>
                    <w:adjustRightInd w:val="0"/>
                    <w:jc w:val="center"/>
                    <w:rPr>
                      <w:color w:val="auto"/>
                      <w:szCs w:val="21"/>
                    </w:rPr>
                  </w:pPr>
                  <w:r>
                    <w:rPr>
                      <w:rFonts w:hint="eastAsia"/>
                      <w:color w:val="auto"/>
                      <w:szCs w:val="21"/>
                    </w:rPr>
                    <w:t>t</w:t>
                  </w:r>
                  <w:r>
                    <w:rPr>
                      <w:color w:val="auto"/>
                      <w:szCs w:val="21"/>
                    </w:rPr>
                    <w:t>/</w:t>
                  </w:r>
                  <w:r>
                    <w:rPr>
                      <w:rFonts w:hint="eastAsia"/>
                      <w:color w:val="auto"/>
                      <w:szCs w:val="21"/>
                    </w:rPr>
                    <w:t>a</w:t>
                  </w:r>
                </w:p>
              </w:tc>
              <w:tc>
                <w:tcPr>
                  <w:tcW w:w="611" w:type="pct"/>
                  <w:vAlign w:val="center"/>
                </w:tcPr>
                <w:p>
                  <w:pPr>
                    <w:jc w:val="center"/>
                    <w:rPr>
                      <w:color w:val="auto"/>
                      <w:szCs w:val="21"/>
                    </w:rPr>
                  </w:pPr>
                  <w:r>
                    <w:rPr>
                      <w:color w:val="auto"/>
                      <w:szCs w:val="21"/>
                    </w:rPr>
                    <w:t>170.88</w:t>
                  </w:r>
                </w:p>
              </w:tc>
              <w:tc>
                <w:tcPr>
                  <w:tcW w:w="787" w:type="pct"/>
                  <w:vMerge w:val="restart"/>
                  <w:vAlign w:val="center"/>
                </w:tcPr>
                <w:p>
                  <w:pPr>
                    <w:autoSpaceDE w:val="0"/>
                    <w:autoSpaceDN w:val="0"/>
                    <w:adjustRightInd w:val="0"/>
                    <w:jc w:val="center"/>
                    <w:rPr>
                      <w:color w:val="auto"/>
                      <w:szCs w:val="21"/>
                      <w:lang w:val="zh-CN"/>
                    </w:rPr>
                  </w:pPr>
                  <w:r>
                    <w:rPr>
                      <w:color w:val="auto"/>
                      <w:szCs w:val="21"/>
                      <w:lang w:val="zh-CN"/>
                    </w:rPr>
                    <w:t>外购，使用汽车运输，</w:t>
                  </w:r>
                  <w:r>
                    <w:rPr>
                      <w:rFonts w:hint="eastAsia"/>
                      <w:color w:val="auto"/>
                      <w:szCs w:val="21"/>
                      <w:lang w:val="zh-CN"/>
                    </w:rPr>
                    <w:t>25kg/袋。</w:t>
                  </w:r>
                </w:p>
              </w:tc>
              <w:tc>
                <w:tcPr>
                  <w:tcW w:w="1859" w:type="pct"/>
                  <w:vAlign w:val="center"/>
                </w:tcPr>
                <w:p>
                  <w:pPr>
                    <w:autoSpaceDE w:val="0"/>
                    <w:autoSpaceDN w:val="0"/>
                    <w:adjustRightInd w:val="0"/>
                    <w:jc w:val="center"/>
                    <w:rPr>
                      <w:color w:val="auto"/>
                      <w:szCs w:val="21"/>
                      <w:lang w:val="zh-CN"/>
                    </w:rPr>
                  </w:pPr>
                  <w:r>
                    <w:rPr>
                      <w:color w:val="auto"/>
                      <w:szCs w:val="21"/>
                      <w:lang w:val="zh-CN"/>
                    </w:rPr>
                    <w:t>辅助仓库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24" w:type="pct"/>
                  <w:vAlign w:val="center"/>
                </w:tcPr>
                <w:p>
                  <w:pPr>
                    <w:autoSpaceDE w:val="0"/>
                    <w:autoSpaceDN w:val="0"/>
                    <w:adjustRightInd w:val="0"/>
                    <w:jc w:val="center"/>
                    <w:rPr>
                      <w:color w:val="auto"/>
                      <w:szCs w:val="21"/>
                      <w:lang w:val="zh-CN"/>
                    </w:rPr>
                  </w:pPr>
                  <w:r>
                    <w:rPr>
                      <w:color w:val="auto"/>
                      <w:szCs w:val="21"/>
                      <w:lang w:val="zh-CN"/>
                    </w:rPr>
                    <w:t>5</w:t>
                  </w:r>
                </w:p>
              </w:tc>
              <w:tc>
                <w:tcPr>
                  <w:tcW w:w="981" w:type="pct"/>
                  <w:vAlign w:val="center"/>
                </w:tcPr>
                <w:p>
                  <w:pPr>
                    <w:autoSpaceDE w:val="0"/>
                    <w:autoSpaceDN w:val="0"/>
                    <w:adjustRightInd w:val="0"/>
                    <w:jc w:val="center"/>
                    <w:rPr>
                      <w:color w:val="auto"/>
                      <w:szCs w:val="21"/>
                    </w:rPr>
                  </w:pPr>
                  <w:r>
                    <w:rPr>
                      <w:color w:val="auto"/>
                      <w:szCs w:val="21"/>
                    </w:rPr>
                    <w:t>外加剂</w:t>
                  </w:r>
                  <w:r>
                    <w:rPr>
                      <w:rFonts w:hint="eastAsia"/>
                      <w:color w:val="auto"/>
                      <w:szCs w:val="21"/>
                    </w:rPr>
                    <w:t>B</w:t>
                  </w:r>
                </w:p>
              </w:tc>
              <w:tc>
                <w:tcPr>
                  <w:tcW w:w="438" w:type="pct"/>
                  <w:vAlign w:val="center"/>
                </w:tcPr>
                <w:p>
                  <w:pPr>
                    <w:autoSpaceDE w:val="0"/>
                    <w:autoSpaceDN w:val="0"/>
                    <w:adjustRightInd w:val="0"/>
                    <w:jc w:val="center"/>
                    <w:rPr>
                      <w:color w:val="auto"/>
                      <w:szCs w:val="21"/>
                    </w:rPr>
                  </w:pPr>
                  <w:r>
                    <w:rPr>
                      <w:rFonts w:hint="eastAsia"/>
                      <w:color w:val="auto"/>
                      <w:szCs w:val="21"/>
                    </w:rPr>
                    <w:t>t</w:t>
                  </w:r>
                  <w:r>
                    <w:rPr>
                      <w:color w:val="auto"/>
                      <w:szCs w:val="21"/>
                    </w:rPr>
                    <w:t>/</w:t>
                  </w:r>
                  <w:r>
                    <w:rPr>
                      <w:rFonts w:hint="eastAsia"/>
                      <w:color w:val="auto"/>
                      <w:szCs w:val="21"/>
                    </w:rPr>
                    <w:t>a</w:t>
                  </w:r>
                </w:p>
              </w:tc>
              <w:tc>
                <w:tcPr>
                  <w:tcW w:w="611" w:type="pct"/>
                  <w:vAlign w:val="center"/>
                </w:tcPr>
                <w:p>
                  <w:pPr>
                    <w:jc w:val="center"/>
                    <w:rPr>
                      <w:color w:val="auto"/>
                      <w:szCs w:val="21"/>
                    </w:rPr>
                  </w:pPr>
                  <w:r>
                    <w:rPr>
                      <w:color w:val="auto"/>
                      <w:szCs w:val="21"/>
                    </w:rPr>
                    <w:t>673.48</w:t>
                  </w:r>
                </w:p>
              </w:tc>
              <w:tc>
                <w:tcPr>
                  <w:tcW w:w="787" w:type="pct"/>
                  <w:vMerge w:val="continue"/>
                  <w:vAlign w:val="center"/>
                </w:tcPr>
                <w:p>
                  <w:pPr>
                    <w:jc w:val="center"/>
                    <w:rPr>
                      <w:color w:val="auto"/>
                      <w:szCs w:val="21"/>
                    </w:rPr>
                  </w:pPr>
                </w:p>
              </w:tc>
              <w:tc>
                <w:tcPr>
                  <w:tcW w:w="1859" w:type="pct"/>
                  <w:vAlign w:val="center"/>
                </w:tcPr>
                <w:p>
                  <w:pPr>
                    <w:jc w:val="center"/>
                    <w:rPr>
                      <w:color w:val="auto"/>
                      <w:szCs w:val="21"/>
                    </w:rPr>
                  </w:pPr>
                  <w:r>
                    <w:rPr>
                      <w:color w:val="auto"/>
                      <w:szCs w:val="21"/>
                      <w:lang w:val="zh-CN"/>
                    </w:rPr>
                    <w:t>辅助仓库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324" w:type="pct"/>
                  <w:vAlign w:val="center"/>
                </w:tcPr>
                <w:p>
                  <w:pPr>
                    <w:autoSpaceDE w:val="0"/>
                    <w:autoSpaceDN w:val="0"/>
                    <w:adjustRightInd w:val="0"/>
                    <w:jc w:val="center"/>
                    <w:rPr>
                      <w:color w:val="auto"/>
                      <w:szCs w:val="21"/>
                    </w:rPr>
                  </w:pPr>
                  <w:r>
                    <w:rPr>
                      <w:color w:val="auto"/>
                      <w:szCs w:val="21"/>
                    </w:rPr>
                    <w:t>6</w:t>
                  </w:r>
                </w:p>
              </w:tc>
              <w:tc>
                <w:tcPr>
                  <w:tcW w:w="981" w:type="pct"/>
                  <w:vAlign w:val="center"/>
                </w:tcPr>
                <w:p>
                  <w:pPr>
                    <w:autoSpaceDE w:val="0"/>
                    <w:autoSpaceDN w:val="0"/>
                    <w:adjustRightInd w:val="0"/>
                    <w:jc w:val="center"/>
                    <w:rPr>
                      <w:color w:val="auto"/>
                      <w:szCs w:val="21"/>
                    </w:rPr>
                  </w:pPr>
                  <w:r>
                    <w:rPr>
                      <w:color w:val="auto"/>
                      <w:szCs w:val="21"/>
                    </w:rPr>
                    <w:t>外加剂</w:t>
                  </w:r>
                  <w:r>
                    <w:rPr>
                      <w:rFonts w:hint="eastAsia"/>
                      <w:color w:val="auto"/>
                      <w:szCs w:val="21"/>
                    </w:rPr>
                    <w:t>C</w:t>
                  </w:r>
                </w:p>
              </w:tc>
              <w:tc>
                <w:tcPr>
                  <w:tcW w:w="438" w:type="pct"/>
                  <w:vAlign w:val="center"/>
                </w:tcPr>
                <w:p>
                  <w:pPr>
                    <w:autoSpaceDE w:val="0"/>
                    <w:autoSpaceDN w:val="0"/>
                    <w:adjustRightInd w:val="0"/>
                    <w:jc w:val="center"/>
                    <w:rPr>
                      <w:color w:val="auto"/>
                      <w:szCs w:val="21"/>
                    </w:rPr>
                  </w:pPr>
                  <w:r>
                    <w:rPr>
                      <w:rFonts w:hint="eastAsia"/>
                      <w:color w:val="auto"/>
                      <w:szCs w:val="21"/>
                    </w:rPr>
                    <w:t>t</w:t>
                  </w:r>
                  <w:r>
                    <w:rPr>
                      <w:color w:val="auto"/>
                      <w:szCs w:val="21"/>
                    </w:rPr>
                    <w:t>/</w:t>
                  </w:r>
                  <w:r>
                    <w:rPr>
                      <w:rFonts w:hint="eastAsia"/>
                      <w:color w:val="auto"/>
                      <w:szCs w:val="21"/>
                    </w:rPr>
                    <w:t>a</w:t>
                  </w:r>
                </w:p>
              </w:tc>
              <w:tc>
                <w:tcPr>
                  <w:tcW w:w="611" w:type="pct"/>
                  <w:vAlign w:val="center"/>
                </w:tcPr>
                <w:p>
                  <w:pPr>
                    <w:jc w:val="center"/>
                    <w:rPr>
                      <w:color w:val="auto"/>
                      <w:szCs w:val="21"/>
                    </w:rPr>
                  </w:pPr>
                  <w:r>
                    <w:rPr>
                      <w:color w:val="auto"/>
                      <w:szCs w:val="21"/>
                    </w:rPr>
                    <w:t>40.21</w:t>
                  </w:r>
                </w:p>
              </w:tc>
              <w:tc>
                <w:tcPr>
                  <w:tcW w:w="787" w:type="pct"/>
                  <w:vMerge w:val="continue"/>
                  <w:vAlign w:val="center"/>
                </w:tcPr>
                <w:p>
                  <w:pPr>
                    <w:jc w:val="center"/>
                    <w:rPr>
                      <w:color w:val="auto"/>
                      <w:szCs w:val="21"/>
                    </w:rPr>
                  </w:pPr>
                </w:p>
              </w:tc>
              <w:tc>
                <w:tcPr>
                  <w:tcW w:w="1859" w:type="pct"/>
                  <w:vAlign w:val="center"/>
                </w:tcPr>
                <w:p>
                  <w:pPr>
                    <w:jc w:val="center"/>
                    <w:rPr>
                      <w:color w:val="auto"/>
                      <w:szCs w:val="21"/>
                    </w:rPr>
                  </w:pPr>
                  <w:r>
                    <w:rPr>
                      <w:color w:val="auto"/>
                      <w:szCs w:val="21"/>
                      <w:lang w:val="zh-CN"/>
                    </w:rPr>
                    <w:t>辅助仓库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24" w:type="pct"/>
                  <w:vAlign w:val="center"/>
                </w:tcPr>
                <w:p>
                  <w:pPr>
                    <w:autoSpaceDE w:val="0"/>
                    <w:autoSpaceDN w:val="0"/>
                    <w:adjustRightInd w:val="0"/>
                    <w:jc w:val="center"/>
                    <w:rPr>
                      <w:color w:val="auto"/>
                      <w:szCs w:val="21"/>
                    </w:rPr>
                  </w:pPr>
                  <w:r>
                    <w:rPr>
                      <w:color w:val="auto"/>
                      <w:szCs w:val="21"/>
                    </w:rPr>
                    <w:t>7</w:t>
                  </w:r>
                </w:p>
              </w:tc>
              <w:tc>
                <w:tcPr>
                  <w:tcW w:w="981" w:type="pct"/>
                  <w:vAlign w:val="center"/>
                </w:tcPr>
                <w:p>
                  <w:pPr>
                    <w:autoSpaceDE w:val="0"/>
                    <w:autoSpaceDN w:val="0"/>
                    <w:adjustRightInd w:val="0"/>
                    <w:jc w:val="center"/>
                    <w:rPr>
                      <w:color w:val="auto"/>
                      <w:szCs w:val="21"/>
                    </w:rPr>
                  </w:pPr>
                  <w:r>
                    <w:rPr>
                      <w:color w:val="auto"/>
                      <w:szCs w:val="21"/>
                    </w:rPr>
                    <w:t>石灰</w:t>
                  </w:r>
                </w:p>
              </w:tc>
              <w:tc>
                <w:tcPr>
                  <w:tcW w:w="438" w:type="pct"/>
                  <w:vAlign w:val="center"/>
                </w:tcPr>
                <w:p>
                  <w:pPr>
                    <w:autoSpaceDE w:val="0"/>
                    <w:autoSpaceDN w:val="0"/>
                    <w:adjustRightInd w:val="0"/>
                    <w:jc w:val="center"/>
                    <w:rPr>
                      <w:color w:val="auto"/>
                      <w:szCs w:val="21"/>
                    </w:rPr>
                  </w:pPr>
                  <w:r>
                    <w:rPr>
                      <w:rFonts w:hint="eastAsia"/>
                      <w:color w:val="auto"/>
                      <w:szCs w:val="21"/>
                    </w:rPr>
                    <w:t>t</w:t>
                  </w:r>
                  <w:r>
                    <w:rPr>
                      <w:color w:val="auto"/>
                      <w:szCs w:val="21"/>
                    </w:rPr>
                    <w:t>/</w:t>
                  </w:r>
                  <w:r>
                    <w:rPr>
                      <w:rFonts w:hint="eastAsia"/>
                      <w:color w:val="auto"/>
                      <w:szCs w:val="21"/>
                    </w:rPr>
                    <w:t>a</w:t>
                  </w:r>
                </w:p>
              </w:tc>
              <w:tc>
                <w:tcPr>
                  <w:tcW w:w="611" w:type="pct"/>
                  <w:vAlign w:val="center"/>
                </w:tcPr>
                <w:p>
                  <w:pPr>
                    <w:jc w:val="center"/>
                    <w:rPr>
                      <w:color w:val="auto"/>
                      <w:szCs w:val="21"/>
                    </w:rPr>
                  </w:pPr>
                  <w:r>
                    <w:rPr>
                      <w:color w:val="auto"/>
                      <w:szCs w:val="21"/>
                    </w:rPr>
                    <w:t>100.52</w:t>
                  </w:r>
                </w:p>
              </w:tc>
              <w:tc>
                <w:tcPr>
                  <w:tcW w:w="787" w:type="pct"/>
                  <w:vMerge w:val="continue"/>
                  <w:vAlign w:val="center"/>
                </w:tcPr>
                <w:p>
                  <w:pPr>
                    <w:jc w:val="center"/>
                    <w:rPr>
                      <w:color w:val="auto"/>
                      <w:szCs w:val="21"/>
                    </w:rPr>
                  </w:pPr>
                </w:p>
              </w:tc>
              <w:tc>
                <w:tcPr>
                  <w:tcW w:w="1859" w:type="pct"/>
                  <w:vAlign w:val="center"/>
                </w:tcPr>
                <w:p>
                  <w:pPr>
                    <w:jc w:val="center"/>
                    <w:rPr>
                      <w:color w:val="auto"/>
                      <w:szCs w:val="21"/>
                    </w:rPr>
                  </w:pPr>
                  <w:r>
                    <w:rPr>
                      <w:color w:val="auto"/>
                      <w:szCs w:val="21"/>
                    </w:rPr>
                    <w:t>厂房内的中间仓库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24" w:type="pct"/>
                  <w:vAlign w:val="center"/>
                </w:tcPr>
                <w:p>
                  <w:pPr>
                    <w:autoSpaceDE w:val="0"/>
                    <w:autoSpaceDN w:val="0"/>
                    <w:adjustRightInd w:val="0"/>
                    <w:jc w:val="center"/>
                    <w:rPr>
                      <w:color w:val="auto"/>
                      <w:szCs w:val="21"/>
                    </w:rPr>
                  </w:pPr>
                  <w:r>
                    <w:rPr>
                      <w:color w:val="auto"/>
                      <w:szCs w:val="21"/>
                    </w:rPr>
                    <w:t>8</w:t>
                  </w:r>
                </w:p>
              </w:tc>
              <w:tc>
                <w:tcPr>
                  <w:tcW w:w="981" w:type="pct"/>
                  <w:vAlign w:val="center"/>
                </w:tcPr>
                <w:p>
                  <w:pPr>
                    <w:autoSpaceDE w:val="0"/>
                    <w:autoSpaceDN w:val="0"/>
                    <w:adjustRightInd w:val="0"/>
                    <w:jc w:val="center"/>
                    <w:rPr>
                      <w:color w:val="auto"/>
                      <w:szCs w:val="21"/>
                    </w:rPr>
                  </w:pPr>
                  <w:r>
                    <w:rPr>
                      <w:color w:val="auto"/>
                      <w:szCs w:val="21"/>
                    </w:rPr>
                    <w:t>石膏</w:t>
                  </w:r>
                </w:p>
              </w:tc>
              <w:tc>
                <w:tcPr>
                  <w:tcW w:w="438" w:type="pct"/>
                  <w:vAlign w:val="center"/>
                </w:tcPr>
                <w:p>
                  <w:pPr>
                    <w:autoSpaceDE w:val="0"/>
                    <w:autoSpaceDN w:val="0"/>
                    <w:adjustRightInd w:val="0"/>
                    <w:jc w:val="center"/>
                    <w:rPr>
                      <w:color w:val="auto"/>
                      <w:szCs w:val="21"/>
                    </w:rPr>
                  </w:pPr>
                  <w:r>
                    <w:rPr>
                      <w:rFonts w:hint="eastAsia"/>
                      <w:color w:val="auto"/>
                      <w:szCs w:val="21"/>
                    </w:rPr>
                    <w:t>t</w:t>
                  </w:r>
                  <w:r>
                    <w:rPr>
                      <w:color w:val="auto"/>
                      <w:szCs w:val="21"/>
                    </w:rPr>
                    <w:t>/</w:t>
                  </w:r>
                  <w:r>
                    <w:rPr>
                      <w:rFonts w:hint="eastAsia"/>
                      <w:color w:val="auto"/>
                      <w:szCs w:val="21"/>
                    </w:rPr>
                    <w:t>a</w:t>
                  </w:r>
                </w:p>
              </w:tc>
              <w:tc>
                <w:tcPr>
                  <w:tcW w:w="611" w:type="pct"/>
                  <w:vAlign w:val="center"/>
                </w:tcPr>
                <w:p>
                  <w:pPr>
                    <w:jc w:val="center"/>
                    <w:rPr>
                      <w:color w:val="auto"/>
                      <w:szCs w:val="21"/>
                    </w:rPr>
                  </w:pPr>
                  <w:r>
                    <w:rPr>
                      <w:color w:val="auto"/>
                      <w:szCs w:val="21"/>
                    </w:rPr>
                    <w:t>402.08</w:t>
                  </w:r>
                </w:p>
              </w:tc>
              <w:tc>
                <w:tcPr>
                  <w:tcW w:w="787" w:type="pct"/>
                  <w:vMerge w:val="continue"/>
                  <w:vAlign w:val="center"/>
                </w:tcPr>
                <w:p>
                  <w:pPr>
                    <w:jc w:val="center"/>
                    <w:rPr>
                      <w:color w:val="auto"/>
                      <w:szCs w:val="21"/>
                    </w:rPr>
                  </w:pPr>
                </w:p>
              </w:tc>
              <w:tc>
                <w:tcPr>
                  <w:tcW w:w="1859" w:type="pct"/>
                  <w:vAlign w:val="center"/>
                </w:tcPr>
                <w:p>
                  <w:pPr>
                    <w:jc w:val="center"/>
                    <w:rPr>
                      <w:color w:val="auto"/>
                      <w:szCs w:val="21"/>
                    </w:rPr>
                  </w:pPr>
                  <w:r>
                    <w:rPr>
                      <w:color w:val="auto"/>
                      <w:szCs w:val="21"/>
                    </w:rPr>
                    <w:t>厂房内的中间仓库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24" w:type="pct"/>
                  <w:vAlign w:val="center"/>
                </w:tcPr>
                <w:p>
                  <w:pPr>
                    <w:autoSpaceDE w:val="0"/>
                    <w:autoSpaceDN w:val="0"/>
                    <w:adjustRightInd w:val="0"/>
                    <w:jc w:val="center"/>
                    <w:rPr>
                      <w:color w:val="auto"/>
                      <w:szCs w:val="21"/>
                    </w:rPr>
                  </w:pPr>
                  <w:r>
                    <w:rPr>
                      <w:rFonts w:hint="eastAsia"/>
                      <w:color w:val="auto"/>
                      <w:szCs w:val="21"/>
                    </w:rPr>
                    <w:t>9</w:t>
                  </w:r>
                </w:p>
              </w:tc>
              <w:tc>
                <w:tcPr>
                  <w:tcW w:w="981" w:type="pct"/>
                  <w:vAlign w:val="center"/>
                </w:tcPr>
                <w:p>
                  <w:pPr>
                    <w:autoSpaceDE w:val="0"/>
                    <w:autoSpaceDN w:val="0"/>
                    <w:adjustRightInd w:val="0"/>
                    <w:jc w:val="center"/>
                    <w:rPr>
                      <w:color w:val="auto"/>
                      <w:szCs w:val="21"/>
                    </w:rPr>
                  </w:pPr>
                  <w:r>
                    <w:rPr>
                      <w:color w:val="auto"/>
                      <w:szCs w:val="21"/>
                    </w:rPr>
                    <w:t>砂石</w:t>
                  </w:r>
                </w:p>
              </w:tc>
              <w:tc>
                <w:tcPr>
                  <w:tcW w:w="438" w:type="pct"/>
                  <w:vAlign w:val="center"/>
                </w:tcPr>
                <w:p>
                  <w:pPr>
                    <w:autoSpaceDE w:val="0"/>
                    <w:autoSpaceDN w:val="0"/>
                    <w:adjustRightInd w:val="0"/>
                    <w:jc w:val="center"/>
                    <w:rPr>
                      <w:color w:val="auto"/>
                      <w:szCs w:val="21"/>
                    </w:rPr>
                  </w:pPr>
                  <w:r>
                    <w:rPr>
                      <w:rFonts w:hint="eastAsia"/>
                      <w:color w:val="auto"/>
                      <w:szCs w:val="21"/>
                    </w:rPr>
                    <w:t>t</w:t>
                  </w:r>
                  <w:r>
                    <w:rPr>
                      <w:color w:val="auto"/>
                      <w:szCs w:val="21"/>
                    </w:rPr>
                    <w:t>/</w:t>
                  </w:r>
                  <w:r>
                    <w:rPr>
                      <w:rFonts w:hint="eastAsia"/>
                      <w:color w:val="auto"/>
                      <w:szCs w:val="21"/>
                    </w:rPr>
                    <w:t>a</w:t>
                  </w:r>
                </w:p>
              </w:tc>
              <w:tc>
                <w:tcPr>
                  <w:tcW w:w="611" w:type="pct"/>
                  <w:vAlign w:val="center"/>
                </w:tcPr>
                <w:p>
                  <w:pPr>
                    <w:jc w:val="center"/>
                    <w:rPr>
                      <w:color w:val="auto"/>
                      <w:szCs w:val="21"/>
                    </w:rPr>
                  </w:pPr>
                  <w:r>
                    <w:rPr>
                      <w:color w:val="auto"/>
                      <w:szCs w:val="21"/>
                    </w:rPr>
                    <w:t>150.78</w:t>
                  </w:r>
                </w:p>
              </w:tc>
              <w:tc>
                <w:tcPr>
                  <w:tcW w:w="787" w:type="pct"/>
                  <w:vAlign w:val="center"/>
                </w:tcPr>
                <w:p>
                  <w:pPr>
                    <w:jc w:val="center"/>
                    <w:rPr>
                      <w:color w:val="auto"/>
                      <w:szCs w:val="21"/>
                      <w:highlight w:val="none"/>
                    </w:rPr>
                  </w:pPr>
                  <w:r>
                    <w:rPr>
                      <w:color w:val="auto"/>
                      <w:szCs w:val="21"/>
                      <w:highlight w:val="none"/>
                    </w:rPr>
                    <w:t>外购，自卸式汽车运输，散装。</w:t>
                  </w:r>
                </w:p>
              </w:tc>
              <w:tc>
                <w:tcPr>
                  <w:tcW w:w="1859" w:type="pct"/>
                  <w:vAlign w:val="center"/>
                </w:tcPr>
                <w:p>
                  <w:pPr>
                    <w:jc w:val="center"/>
                    <w:rPr>
                      <w:rFonts w:hint="eastAsia" w:eastAsia="宋体"/>
                      <w:color w:val="auto"/>
                      <w:szCs w:val="21"/>
                      <w:highlight w:val="none"/>
                      <w:lang w:eastAsia="zh-CN"/>
                    </w:rPr>
                  </w:pPr>
                  <w:r>
                    <w:rPr>
                      <w:rFonts w:hint="eastAsia"/>
                      <w:color w:val="auto"/>
                      <w:szCs w:val="21"/>
                      <w:highlight w:val="none"/>
                    </w:rPr>
                    <w:t>砂石</w:t>
                  </w:r>
                  <w:r>
                    <w:rPr>
                      <w:rFonts w:hint="eastAsia"/>
                      <w:color w:val="auto"/>
                      <w:szCs w:val="21"/>
                      <w:highlight w:val="none"/>
                      <w:lang w:eastAsia="zh-CN"/>
                    </w:rPr>
                    <w:t>由</w:t>
                  </w:r>
                  <w:r>
                    <w:rPr>
                      <w:rFonts w:hint="eastAsia"/>
                      <w:color w:val="auto"/>
                      <w:szCs w:val="21"/>
                      <w:highlight w:val="none"/>
                    </w:rPr>
                    <w:t>自卸</w:t>
                  </w:r>
                  <w:r>
                    <w:rPr>
                      <w:rFonts w:hint="eastAsia"/>
                      <w:color w:val="auto"/>
                      <w:szCs w:val="21"/>
                      <w:highlight w:val="none"/>
                      <w:lang w:eastAsia="zh-CN"/>
                    </w:rPr>
                    <w:t>汽</w:t>
                  </w:r>
                  <w:r>
                    <w:rPr>
                      <w:rFonts w:hint="eastAsia"/>
                      <w:color w:val="auto"/>
                      <w:szCs w:val="21"/>
                      <w:highlight w:val="none"/>
                    </w:rPr>
                    <w:t>车运进厂</w:t>
                  </w:r>
                  <w:r>
                    <w:rPr>
                      <w:rFonts w:hint="eastAsia"/>
                      <w:color w:val="auto"/>
                      <w:szCs w:val="21"/>
                      <w:highlight w:val="none"/>
                      <w:lang w:eastAsia="zh-CN"/>
                    </w:rPr>
                    <w:t>之后直接卸至提升斗机地下进料口</w:t>
                  </w:r>
                  <w:r>
                    <w:rPr>
                      <w:rFonts w:hint="eastAsia"/>
                      <w:color w:val="auto"/>
                      <w:szCs w:val="21"/>
                      <w:highlight w:val="none"/>
                    </w:rPr>
                    <w:t>，再通过</w:t>
                  </w:r>
                  <w:r>
                    <w:rPr>
                      <w:rFonts w:hint="eastAsia"/>
                      <w:color w:val="auto"/>
                      <w:szCs w:val="21"/>
                      <w:highlight w:val="none"/>
                      <w:lang w:eastAsia="zh-CN"/>
                    </w:rPr>
                    <w:t>提升斗送至砂石</w:t>
                  </w:r>
                  <w:r>
                    <w:rPr>
                      <w:rFonts w:hint="eastAsia"/>
                      <w:color w:val="auto"/>
                      <w:szCs w:val="21"/>
                      <w:highlight w:val="none"/>
                    </w:rPr>
                    <w:t>筒仓</w:t>
                  </w:r>
                  <w:r>
                    <w:rPr>
                      <w:rFonts w:hint="eastAsia"/>
                      <w:color w:val="auto"/>
                      <w:szCs w:val="21"/>
                      <w:highlight w:val="none"/>
                      <w:lang w:eastAsia="zh-CN"/>
                    </w:rPr>
                    <w:t>储存。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24" w:type="pct"/>
                  <w:vAlign w:val="center"/>
                </w:tcPr>
                <w:p>
                  <w:pPr>
                    <w:autoSpaceDE w:val="0"/>
                    <w:autoSpaceDN w:val="0"/>
                    <w:adjustRightInd w:val="0"/>
                    <w:jc w:val="center"/>
                    <w:rPr>
                      <w:color w:val="auto"/>
                      <w:szCs w:val="21"/>
                    </w:rPr>
                  </w:pPr>
                  <w:r>
                    <w:rPr>
                      <w:rFonts w:hint="eastAsia"/>
                      <w:color w:val="auto"/>
                      <w:szCs w:val="21"/>
                    </w:rPr>
                    <w:t>10</w:t>
                  </w:r>
                </w:p>
              </w:tc>
              <w:tc>
                <w:tcPr>
                  <w:tcW w:w="981" w:type="pct"/>
                  <w:vAlign w:val="center"/>
                </w:tcPr>
                <w:p>
                  <w:pPr>
                    <w:autoSpaceDE w:val="0"/>
                    <w:autoSpaceDN w:val="0"/>
                    <w:adjustRightInd w:val="0"/>
                    <w:jc w:val="center"/>
                    <w:rPr>
                      <w:color w:val="auto"/>
                      <w:szCs w:val="21"/>
                    </w:rPr>
                  </w:pPr>
                  <w:r>
                    <w:rPr>
                      <w:color w:val="auto"/>
                      <w:szCs w:val="21"/>
                      <w:lang w:val="zh-CN"/>
                    </w:rPr>
                    <w:t>水</w:t>
                  </w:r>
                </w:p>
              </w:tc>
              <w:tc>
                <w:tcPr>
                  <w:tcW w:w="438" w:type="pct"/>
                  <w:vAlign w:val="center"/>
                </w:tcPr>
                <w:p>
                  <w:pPr>
                    <w:autoSpaceDE w:val="0"/>
                    <w:autoSpaceDN w:val="0"/>
                    <w:adjustRightInd w:val="0"/>
                    <w:jc w:val="center"/>
                    <w:rPr>
                      <w:color w:val="auto"/>
                      <w:szCs w:val="21"/>
                    </w:rPr>
                  </w:pPr>
                  <w:r>
                    <w:rPr>
                      <w:rFonts w:hint="eastAsia"/>
                      <w:color w:val="auto"/>
                      <w:szCs w:val="21"/>
                    </w:rPr>
                    <w:t>m</w:t>
                  </w:r>
                  <w:r>
                    <w:rPr>
                      <w:rFonts w:hint="eastAsia"/>
                      <w:color w:val="auto"/>
                      <w:szCs w:val="21"/>
                      <w:vertAlign w:val="superscript"/>
                    </w:rPr>
                    <w:t>3</w:t>
                  </w:r>
                  <w:r>
                    <w:rPr>
                      <w:color w:val="auto"/>
                      <w:szCs w:val="21"/>
                    </w:rPr>
                    <w:t>/</w:t>
                  </w:r>
                  <w:r>
                    <w:rPr>
                      <w:rFonts w:hint="eastAsia"/>
                      <w:color w:val="auto"/>
                      <w:szCs w:val="21"/>
                    </w:rPr>
                    <w:t>a</w:t>
                  </w:r>
                </w:p>
              </w:tc>
              <w:tc>
                <w:tcPr>
                  <w:tcW w:w="611" w:type="pct"/>
                  <w:vAlign w:val="center"/>
                </w:tcPr>
                <w:p>
                  <w:pPr>
                    <w:jc w:val="center"/>
                    <w:rPr>
                      <w:color w:val="auto"/>
                      <w:szCs w:val="21"/>
                    </w:rPr>
                  </w:pPr>
                  <w:r>
                    <w:rPr>
                      <w:rFonts w:hint="eastAsia"/>
                      <w:color w:val="auto"/>
                      <w:szCs w:val="21"/>
                    </w:rPr>
                    <w:t>2700</w:t>
                  </w:r>
                </w:p>
              </w:tc>
              <w:tc>
                <w:tcPr>
                  <w:tcW w:w="787" w:type="pct"/>
                  <w:vAlign w:val="center"/>
                </w:tcPr>
                <w:p>
                  <w:pPr>
                    <w:jc w:val="center"/>
                    <w:rPr>
                      <w:color w:val="auto"/>
                      <w:szCs w:val="21"/>
                    </w:rPr>
                  </w:pPr>
                  <w:r>
                    <w:rPr>
                      <w:color w:val="auto"/>
                      <w:szCs w:val="21"/>
                      <w:lang w:val="zh-CN"/>
                    </w:rPr>
                    <w:t>市政供水系统</w:t>
                  </w:r>
                </w:p>
              </w:tc>
              <w:tc>
                <w:tcPr>
                  <w:tcW w:w="1859" w:type="pct"/>
                  <w:vAlign w:val="center"/>
                </w:tcPr>
                <w:p>
                  <w:pPr>
                    <w:jc w:val="center"/>
                    <w:rPr>
                      <w:color w:val="auto"/>
                      <w:szCs w:val="21"/>
                      <w:lang w:val="zh-CN"/>
                    </w:rPr>
                  </w:pPr>
                  <w:r>
                    <w:rPr>
                      <w:rFonts w:hint="eastAsia"/>
                      <w:color w:val="auto"/>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24" w:type="pct"/>
                  <w:vAlign w:val="center"/>
                </w:tcPr>
                <w:p>
                  <w:pPr>
                    <w:autoSpaceDE w:val="0"/>
                    <w:autoSpaceDN w:val="0"/>
                    <w:adjustRightInd w:val="0"/>
                    <w:jc w:val="center"/>
                    <w:rPr>
                      <w:color w:val="auto"/>
                      <w:szCs w:val="21"/>
                    </w:rPr>
                  </w:pPr>
                  <w:r>
                    <w:rPr>
                      <w:rFonts w:hint="eastAsia"/>
                      <w:color w:val="auto"/>
                      <w:szCs w:val="21"/>
                    </w:rPr>
                    <w:t>11</w:t>
                  </w:r>
                </w:p>
              </w:tc>
              <w:tc>
                <w:tcPr>
                  <w:tcW w:w="981" w:type="pct"/>
                  <w:vAlign w:val="center"/>
                </w:tcPr>
                <w:p>
                  <w:pPr>
                    <w:autoSpaceDE w:val="0"/>
                    <w:autoSpaceDN w:val="0"/>
                    <w:adjustRightInd w:val="0"/>
                    <w:jc w:val="center"/>
                    <w:rPr>
                      <w:color w:val="auto"/>
                      <w:szCs w:val="21"/>
                    </w:rPr>
                  </w:pPr>
                  <w:r>
                    <w:rPr>
                      <w:color w:val="auto"/>
                      <w:szCs w:val="21"/>
                      <w:lang w:val="zh-CN"/>
                    </w:rPr>
                    <w:t>电</w:t>
                  </w:r>
                </w:p>
              </w:tc>
              <w:tc>
                <w:tcPr>
                  <w:tcW w:w="438" w:type="pct"/>
                  <w:vAlign w:val="center"/>
                </w:tcPr>
                <w:p>
                  <w:pPr>
                    <w:pStyle w:val="4"/>
                    <w:jc w:val="center"/>
                    <w:rPr>
                      <w:color w:val="auto"/>
                      <w:kern w:val="2"/>
                      <w:sz w:val="21"/>
                      <w:szCs w:val="21"/>
                    </w:rPr>
                  </w:pPr>
                  <w:r>
                    <w:rPr>
                      <w:color w:val="auto"/>
                      <w:kern w:val="2"/>
                      <w:sz w:val="21"/>
                      <w:szCs w:val="21"/>
                    </w:rPr>
                    <w:t>KWh/a</w:t>
                  </w:r>
                </w:p>
              </w:tc>
              <w:tc>
                <w:tcPr>
                  <w:tcW w:w="611" w:type="pct"/>
                  <w:vAlign w:val="center"/>
                </w:tcPr>
                <w:p>
                  <w:pPr>
                    <w:jc w:val="center"/>
                    <w:rPr>
                      <w:color w:val="auto"/>
                      <w:szCs w:val="21"/>
                    </w:rPr>
                  </w:pPr>
                  <w:r>
                    <w:rPr>
                      <w:rFonts w:hint="eastAsia"/>
                      <w:color w:val="auto"/>
                      <w:szCs w:val="21"/>
                    </w:rPr>
                    <w:t>103.9</w:t>
                  </w:r>
                  <w:r>
                    <w:rPr>
                      <w:color w:val="auto"/>
                      <w:szCs w:val="21"/>
                      <w:lang w:val="zh-CN"/>
                    </w:rPr>
                    <w:t>万</w:t>
                  </w:r>
                </w:p>
              </w:tc>
              <w:tc>
                <w:tcPr>
                  <w:tcW w:w="787" w:type="pct"/>
                  <w:vAlign w:val="center"/>
                </w:tcPr>
                <w:p>
                  <w:pPr>
                    <w:jc w:val="center"/>
                    <w:rPr>
                      <w:color w:val="auto"/>
                      <w:szCs w:val="21"/>
                    </w:rPr>
                  </w:pPr>
                  <w:r>
                    <w:rPr>
                      <w:color w:val="auto"/>
                      <w:szCs w:val="21"/>
                      <w:lang w:val="zh-CN"/>
                    </w:rPr>
                    <w:t>市政供电系统</w:t>
                  </w:r>
                </w:p>
              </w:tc>
              <w:tc>
                <w:tcPr>
                  <w:tcW w:w="1859" w:type="pct"/>
                  <w:vAlign w:val="center"/>
                </w:tcPr>
                <w:p>
                  <w:pPr>
                    <w:jc w:val="center"/>
                    <w:rPr>
                      <w:color w:val="auto"/>
                      <w:szCs w:val="21"/>
                      <w:lang w:val="zh-CN"/>
                    </w:rPr>
                  </w:pPr>
                  <w:r>
                    <w:rPr>
                      <w:rFonts w:hint="eastAsia"/>
                      <w:color w:val="auto"/>
                      <w:szCs w:val="21"/>
                      <w:lang w:val="zh-CN"/>
                    </w:rPr>
                    <w:t>/</w:t>
                  </w:r>
                </w:p>
              </w:tc>
            </w:tr>
          </w:tbl>
          <w:p>
            <w:pPr>
              <w:spacing w:before="120" w:beforeLines="50" w:line="360" w:lineRule="auto"/>
              <w:ind w:firstLine="480" w:firstLineChars="200"/>
              <w:jc w:val="left"/>
              <w:rPr>
                <w:color w:val="auto"/>
                <w:sz w:val="24"/>
              </w:rPr>
            </w:pPr>
            <w:r>
              <w:rPr>
                <w:color w:val="auto"/>
                <w:sz w:val="24"/>
              </w:rPr>
              <w:t>项目原料性质特性见下表。</w:t>
            </w:r>
          </w:p>
          <w:p>
            <w:pPr>
              <w:autoSpaceDE w:val="0"/>
              <w:autoSpaceDN w:val="0"/>
              <w:adjustRightInd w:val="0"/>
              <w:spacing w:before="48" w:beforeLines="20"/>
              <w:ind w:firstLine="482" w:firstLineChars="200"/>
              <w:jc w:val="center"/>
              <w:rPr>
                <w:b/>
                <w:snapToGrid w:val="0"/>
                <w:color w:val="auto"/>
                <w:sz w:val="24"/>
                <w:lang w:val="zh-CN"/>
              </w:rPr>
            </w:pPr>
            <w:r>
              <w:rPr>
                <w:b/>
                <w:snapToGrid w:val="0"/>
                <w:color w:val="auto"/>
                <w:sz w:val="24"/>
                <w:lang w:val="zh-CN"/>
              </w:rPr>
              <w:t>表2-3   原辅材料性质特性表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0" w:type="dxa"/>
                <w:bottom w:w="28" w:type="dxa"/>
                <w:right w:w="0" w:type="dxa"/>
              </w:tblCellMar>
            </w:tblPr>
            <w:tblGrid>
              <w:gridCol w:w="981"/>
              <w:gridCol w:w="71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0" w:type="dxa"/>
                  <w:bottom w:w="28" w:type="dxa"/>
                  <w:right w:w="0" w:type="dxa"/>
                </w:tblCellMar>
              </w:tblPrEx>
              <w:tc>
                <w:tcPr>
                  <w:tcW w:w="606" w:type="pct"/>
                  <w:shd w:val="clear" w:color="auto" w:fill="auto"/>
                </w:tcPr>
                <w:p>
                  <w:pPr>
                    <w:pStyle w:val="48"/>
                    <w:jc w:val="center"/>
                    <w:rPr>
                      <w:rFonts w:ascii="Times New Roman" w:cs="Times New Roman"/>
                      <w:color w:val="auto"/>
                      <w:sz w:val="21"/>
                      <w:szCs w:val="21"/>
                    </w:rPr>
                  </w:pPr>
                  <w:r>
                    <w:rPr>
                      <w:rFonts w:ascii="Times New Roman" w:cs="Times New Roman"/>
                      <w:color w:val="auto"/>
                      <w:sz w:val="21"/>
                      <w:szCs w:val="21"/>
                    </w:rPr>
                    <w:t>名称</w:t>
                  </w:r>
                </w:p>
              </w:tc>
              <w:tc>
                <w:tcPr>
                  <w:tcW w:w="4394" w:type="pct"/>
                  <w:shd w:val="clear" w:color="auto" w:fill="auto"/>
                </w:tcPr>
                <w:p>
                  <w:pPr>
                    <w:pStyle w:val="48"/>
                    <w:jc w:val="center"/>
                    <w:rPr>
                      <w:rFonts w:ascii="Times New Roman" w:cs="Times New Roman"/>
                      <w:color w:val="auto"/>
                      <w:sz w:val="21"/>
                      <w:szCs w:val="21"/>
                    </w:rPr>
                  </w:pPr>
                  <w:r>
                    <w:rPr>
                      <w:rFonts w:ascii="Times New Roman" w:cs="Times New Roman"/>
                      <w:color w:val="auto"/>
                      <w:sz w:val="21"/>
                      <w:szCs w:val="21"/>
                    </w:rPr>
                    <w:t>特性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0" w:type="dxa"/>
                  <w:bottom w:w="28" w:type="dxa"/>
                  <w:right w:w="0" w:type="dxa"/>
                </w:tblCellMar>
              </w:tblPrEx>
              <w:tc>
                <w:tcPr>
                  <w:tcW w:w="606" w:type="pct"/>
                  <w:shd w:val="clear" w:color="auto" w:fill="auto"/>
                  <w:vAlign w:val="center"/>
                </w:tcPr>
                <w:p>
                  <w:pPr>
                    <w:tabs>
                      <w:tab w:val="left" w:pos="2813"/>
                      <w:tab w:val="center" w:pos="4444"/>
                    </w:tabs>
                    <w:jc w:val="center"/>
                    <w:rPr>
                      <w:color w:val="auto"/>
                      <w:szCs w:val="21"/>
                    </w:rPr>
                  </w:pPr>
                  <w:r>
                    <w:rPr>
                      <w:rFonts w:hint="eastAsia"/>
                      <w:color w:val="auto"/>
                      <w:szCs w:val="21"/>
                    </w:rPr>
                    <w:t>硫铝酸盐水泥</w:t>
                  </w:r>
                </w:p>
              </w:tc>
              <w:tc>
                <w:tcPr>
                  <w:tcW w:w="4394" w:type="pct"/>
                  <w:shd w:val="clear" w:color="auto" w:fill="auto"/>
                  <w:vAlign w:val="center"/>
                </w:tcPr>
                <w:p>
                  <w:pPr>
                    <w:tabs>
                      <w:tab w:val="left" w:pos="2813"/>
                      <w:tab w:val="center" w:pos="4444"/>
                    </w:tabs>
                    <w:rPr>
                      <w:color w:val="auto"/>
                      <w:szCs w:val="21"/>
                    </w:rPr>
                  </w:pPr>
                  <w:r>
                    <w:rPr>
                      <w:rFonts w:hint="eastAsia"/>
                      <w:color w:val="auto"/>
                      <w:szCs w:val="21"/>
                    </w:rPr>
                    <w:t>硫铝酸盐水泥主要是以无水硫铝酸钙和硅酸二钙为主要矿物组成的新型水泥。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0" w:type="dxa"/>
                  <w:bottom w:w="28" w:type="dxa"/>
                  <w:right w:w="0" w:type="dxa"/>
                </w:tblCellMar>
              </w:tblPrEx>
              <w:tc>
                <w:tcPr>
                  <w:tcW w:w="606" w:type="pct"/>
                  <w:shd w:val="clear" w:color="auto" w:fill="auto"/>
                  <w:vAlign w:val="center"/>
                </w:tcPr>
                <w:p>
                  <w:pPr>
                    <w:tabs>
                      <w:tab w:val="left" w:pos="2813"/>
                      <w:tab w:val="center" w:pos="4444"/>
                    </w:tabs>
                    <w:jc w:val="center"/>
                    <w:rPr>
                      <w:color w:val="auto"/>
                      <w:szCs w:val="21"/>
                    </w:rPr>
                  </w:pPr>
                  <w:r>
                    <w:rPr>
                      <w:rFonts w:hint="eastAsia"/>
                      <w:color w:val="auto"/>
                      <w:szCs w:val="21"/>
                    </w:rPr>
                    <w:t>铝酸盐水泥</w:t>
                  </w:r>
                </w:p>
              </w:tc>
              <w:tc>
                <w:tcPr>
                  <w:tcW w:w="4394" w:type="pct"/>
                  <w:shd w:val="clear" w:color="auto" w:fill="auto"/>
                  <w:vAlign w:val="center"/>
                </w:tcPr>
                <w:p>
                  <w:pPr>
                    <w:tabs>
                      <w:tab w:val="left" w:pos="2813"/>
                      <w:tab w:val="center" w:pos="4444"/>
                    </w:tabs>
                    <w:rPr>
                      <w:color w:val="auto"/>
                      <w:szCs w:val="21"/>
                    </w:rPr>
                  </w:pPr>
                  <w:r>
                    <w:rPr>
                      <w:color w:val="auto"/>
                      <w:szCs w:val="21"/>
                    </w:rPr>
                    <w:t>铝酸盐水泥是以铝矾土和石灰石为原料，经煅烧制得的以铝酸钙为主要成分、氧化铝含量约50%的熟料，再磨制成的水硬性胶凝材料。铝酸盐水泥常为黄或褐色，也有呈灰色的。铝酸盐水泥的主要矿物成为铝酸一钙(CaO·Al</w:t>
                  </w:r>
                  <w:r>
                    <w:rPr>
                      <w:color w:val="auto"/>
                      <w:szCs w:val="21"/>
                      <w:vertAlign w:val="subscript"/>
                    </w:rPr>
                    <w:t>2</w:t>
                  </w:r>
                  <w:r>
                    <w:rPr>
                      <w:color w:val="auto"/>
                      <w:szCs w:val="21"/>
                    </w:rPr>
                    <w:t>O</w:t>
                  </w:r>
                  <w:r>
                    <w:rPr>
                      <w:color w:val="auto"/>
                      <w:szCs w:val="21"/>
                      <w:vertAlign w:val="subscript"/>
                    </w:rPr>
                    <w:t>3</w:t>
                  </w:r>
                  <w:r>
                    <w:rPr>
                      <w:color w:val="auto"/>
                      <w:szCs w:val="21"/>
                    </w:rPr>
                    <w:t>，简写CA)及其他的铝酸盐，以及少量的硅酸二钙(2CaO·SiO</w:t>
                  </w:r>
                  <w:r>
                    <w:rPr>
                      <w:color w:val="auto"/>
                      <w:szCs w:val="21"/>
                      <w:vertAlign w:val="subscript"/>
                    </w:rPr>
                    <w:t>2</w:t>
                  </w:r>
                  <w:r>
                    <w:rPr>
                      <w:color w:val="auto"/>
                      <w:szCs w:val="21"/>
                    </w:rPr>
                    <w:t>)等。颜色多为灰色与白色。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06" w:type="pct"/>
                  <w:shd w:val="clear" w:color="auto" w:fill="auto"/>
                  <w:vAlign w:val="center"/>
                </w:tcPr>
                <w:p>
                  <w:pPr>
                    <w:tabs>
                      <w:tab w:val="left" w:pos="2813"/>
                      <w:tab w:val="center" w:pos="4444"/>
                    </w:tabs>
                    <w:jc w:val="center"/>
                    <w:rPr>
                      <w:color w:val="auto"/>
                      <w:szCs w:val="21"/>
                    </w:rPr>
                  </w:pPr>
                  <w:r>
                    <w:rPr>
                      <w:rFonts w:hint="eastAsia"/>
                      <w:color w:val="auto"/>
                      <w:szCs w:val="21"/>
                    </w:rPr>
                    <w:t>普通硅酸盐水泥</w:t>
                  </w:r>
                </w:p>
              </w:tc>
              <w:tc>
                <w:tcPr>
                  <w:tcW w:w="4394" w:type="pct"/>
                  <w:shd w:val="clear" w:color="auto" w:fill="auto"/>
                  <w:vAlign w:val="center"/>
                </w:tcPr>
                <w:p>
                  <w:pPr>
                    <w:tabs>
                      <w:tab w:val="left" w:pos="2813"/>
                      <w:tab w:val="center" w:pos="4444"/>
                    </w:tabs>
                    <w:rPr>
                      <w:color w:val="auto"/>
                      <w:szCs w:val="21"/>
                    </w:rPr>
                  </w:pPr>
                  <w:r>
                    <w:rPr>
                      <w:rFonts w:hint="eastAsia"/>
                      <w:color w:val="auto"/>
                      <w:szCs w:val="21"/>
                    </w:rPr>
                    <w:t>普通硅酸盐水泥，由硅酸盐水泥熟料、5%~20%的混合材料及适量石膏磨细制成的水硬性胶凝材料。具有强度高、水化热大，抗冻性好、干缩小，耐磨性较好、抗碳化性较好、耐腐蚀性差、不耐高温的特性。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0" w:type="dxa"/>
                  <w:bottom w:w="28" w:type="dxa"/>
                  <w:right w:w="0" w:type="dxa"/>
                </w:tblCellMar>
              </w:tblPrEx>
              <w:tc>
                <w:tcPr>
                  <w:tcW w:w="606" w:type="pct"/>
                  <w:shd w:val="clear" w:color="auto" w:fill="auto"/>
                  <w:vAlign w:val="center"/>
                </w:tcPr>
                <w:p>
                  <w:pPr>
                    <w:tabs>
                      <w:tab w:val="left" w:pos="2813"/>
                      <w:tab w:val="center" w:pos="4444"/>
                    </w:tabs>
                    <w:jc w:val="center"/>
                    <w:rPr>
                      <w:color w:val="auto"/>
                      <w:szCs w:val="21"/>
                    </w:rPr>
                  </w:pPr>
                  <w:r>
                    <w:rPr>
                      <w:rFonts w:hint="eastAsia"/>
                      <w:color w:val="auto"/>
                      <w:szCs w:val="21"/>
                    </w:rPr>
                    <w:t>石灰</w:t>
                  </w:r>
                </w:p>
              </w:tc>
              <w:tc>
                <w:tcPr>
                  <w:tcW w:w="4394" w:type="pct"/>
                  <w:shd w:val="clear" w:color="auto" w:fill="auto"/>
                  <w:vAlign w:val="center"/>
                </w:tcPr>
                <w:p>
                  <w:pPr>
                    <w:tabs>
                      <w:tab w:val="left" w:pos="2813"/>
                      <w:tab w:val="center" w:pos="4444"/>
                    </w:tabs>
                    <w:rPr>
                      <w:color w:val="auto"/>
                      <w:szCs w:val="21"/>
                    </w:rPr>
                  </w:pPr>
                  <w:r>
                    <w:rPr>
                      <w:rFonts w:hint="eastAsia"/>
                      <w:color w:val="auto"/>
                      <w:szCs w:val="21"/>
                    </w:rPr>
                    <w:t>石灰是一种以氧化钙为主要成分的气硬性无机胶凝材料。石灰是用石灰石、白云石、白垩、贝壳等碳酸钙含量高的产物，经900~1100℃煅烧而成。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0" w:type="dxa"/>
                  <w:bottom w:w="28" w:type="dxa"/>
                  <w:right w:w="0" w:type="dxa"/>
                </w:tblCellMar>
              </w:tblPrEx>
              <w:tc>
                <w:tcPr>
                  <w:tcW w:w="606" w:type="pct"/>
                  <w:shd w:val="clear" w:color="auto" w:fill="auto"/>
                  <w:vAlign w:val="center"/>
                </w:tcPr>
                <w:p>
                  <w:pPr>
                    <w:tabs>
                      <w:tab w:val="left" w:pos="2813"/>
                      <w:tab w:val="center" w:pos="4444"/>
                    </w:tabs>
                    <w:jc w:val="center"/>
                    <w:rPr>
                      <w:color w:val="auto"/>
                      <w:szCs w:val="21"/>
                    </w:rPr>
                  </w:pPr>
                  <w:r>
                    <w:rPr>
                      <w:rFonts w:hint="eastAsia"/>
                      <w:color w:val="auto"/>
                      <w:szCs w:val="21"/>
                    </w:rPr>
                    <w:t>石膏</w:t>
                  </w:r>
                </w:p>
              </w:tc>
              <w:tc>
                <w:tcPr>
                  <w:tcW w:w="4394" w:type="pct"/>
                  <w:shd w:val="clear" w:color="auto" w:fill="auto"/>
                  <w:vAlign w:val="center"/>
                </w:tcPr>
                <w:p>
                  <w:pPr>
                    <w:tabs>
                      <w:tab w:val="left" w:pos="2813"/>
                      <w:tab w:val="center" w:pos="4444"/>
                    </w:tabs>
                    <w:rPr>
                      <w:color w:val="auto"/>
                      <w:szCs w:val="21"/>
                    </w:rPr>
                  </w:pPr>
                  <w:r>
                    <w:rPr>
                      <w:rFonts w:hint="eastAsia"/>
                      <w:color w:val="auto"/>
                      <w:szCs w:val="21"/>
                    </w:rPr>
                    <w:t>石膏是单斜晶系矿物，是主要化学成分为硫酸钙(CaSO</w:t>
                  </w:r>
                  <w:r>
                    <w:rPr>
                      <w:rFonts w:hint="eastAsia"/>
                      <w:color w:val="auto"/>
                      <w:szCs w:val="21"/>
                      <w:vertAlign w:val="subscript"/>
                    </w:rPr>
                    <w:t>4</w:t>
                  </w:r>
                  <w:r>
                    <w:rPr>
                      <w:rFonts w:hint="eastAsia"/>
                      <w:color w:val="auto"/>
                      <w:szCs w:val="21"/>
                    </w:rPr>
                    <w:t>)的水合物。石膏是一种用途广泛的工业材料和建筑材料。可用于水泥缓凝剂、石膏建筑制品、模型制作、医用食品添加剂、硫酸生产、纸张填料、油漆填料等。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0" w:type="dxa"/>
                  <w:bottom w:w="28" w:type="dxa"/>
                  <w:right w:w="0" w:type="dxa"/>
                </w:tblCellMar>
              </w:tblPrEx>
              <w:tc>
                <w:tcPr>
                  <w:tcW w:w="606" w:type="pct"/>
                  <w:shd w:val="clear" w:color="auto" w:fill="auto"/>
                  <w:vAlign w:val="center"/>
                </w:tcPr>
                <w:p>
                  <w:pPr>
                    <w:tabs>
                      <w:tab w:val="left" w:pos="2813"/>
                      <w:tab w:val="center" w:pos="4444"/>
                    </w:tabs>
                    <w:jc w:val="center"/>
                    <w:rPr>
                      <w:color w:val="auto"/>
                      <w:szCs w:val="21"/>
                    </w:rPr>
                  </w:pPr>
                  <w:r>
                    <w:rPr>
                      <w:rFonts w:hint="eastAsia"/>
                      <w:color w:val="auto"/>
                      <w:szCs w:val="21"/>
                    </w:rPr>
                    <w:t>外加剂A</w:t>
                  </w:r>
                </w:p>
              </w:tc>
              <w:tc>
                <w:tcPr>
                  <w:tcW w:w="4394" w:type="pct"/>
                  <w:shd w:val="clear" w:color="auto" w:fill="auto"/>
                  <w:vAlign w:val="center"/>
                </w:tcPr>
                <w:p>
                  <w:pPr>
                    <w:tabs>
                      <w:tab w:val="left" w:pos="2813"/>
                      <w:tab w:val="center" w:pos="4444"/>
                    </w:tabs>
                    <w:rPr>
                      <w:color w:val="auto"/>
                      <w:szCs w:val="21"/>
                    </w:rPr>
                  </w:pPr>
                  <w:r>
                    <w:rPr>
                      <w:rFonts w:hint="eastAsia"/>
                      <w:color w:val="auto"/>
                      <w:szCs w:val="21"/>
                    </w:rPr>
                    <w:t>萘系减水剂。褐黄色粉末，不燃，对混凝土有显著的早强、增效效果，其强度提高幅度为15%~40%。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06" w:type="pct"/>
                  <w:shd w:val="clear" w:color="auto" w:fill="auto"/>
                  <w:vAlign w:val="center"/>
                </w:tcPr>
                <w:p>
                  <w:pPr>
                    <w:tabs>
                      <w:tab w:val="left" w:pos="2813"/>
                      <w:tab w:val="center" w:pos="4444"/>
                    </w:tabs>
                    <w:jc w:val="center"/>
                    <w:rPr>
                      <w:color w:val="auto"/>
                      <w:szCs w:val="21"/>
                    </w:rPr>
                  </w:pPr>
                  <w:r>
                    <w:rPr>
                      <w:rFonts w:hint="eastAsia"/>
                      <w:color w:val="auto"/>
                      <w:szCs w:val="21"/>
                    </w:rPr>
                    <w:t>外加剂B</w:t>
                  </w:r>
                </w:p>
              </w:tc>
              <w:tc>
                <w:tcPr>
                  <w:tcW w:w="4394" w:type="pct"/>
                  <w:shd w:val="clear" w:color="auto" w:fill="auto"/>
                  <w:vAlign w:val="center"/>
                </w:tcPr>
                <w:p>
                  <w:pPr>
                    <w:tabs>
                      <w:tab w:val="left" w:pos="2813"/>
                      <w:tab w:val="center" w:pos="4444"/>
                    </w:tabs>
                    <w:rPr>
                      <w:color w:val="auto"/>
                      <w:szCs w:val="21"/>
                    </w:rPr>
                  </w:pPr>
                  <w:r>
                    <w:rPr>
                      <w:rFonts w:hint="eastAsia"/>
                      <w:color w:val="auto"/>
                      <w:szCs w:val="21"/>
                    </w:rPr>
                    <w:t>葡萄糖酸钠。白色结晶颗粒或粉末，极易溶于水，略溶于酒精，不溶于乙醚，用于食品添加剂、电镀络合剂、水质稳定剂、印染工业均色剂、钢铁表面处理剂等。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0" w:type="dxa"/>
                  <w:bottom w:w="28" w:type="dxa"/>
                  <w:right w:w="0" w:type="dxa"/>
                </w:tblCellMar>
              </w:tblPrEx>
              <w:tc>
                <w:tcPr>
                  <w:tcW w:w="606" w:type="pct"/>
                  <w:shd w:val="clear" w:color="auto" w:fill="auto"/>
                  <w:vAlign w:val="center"/>
                </w:tcPr>
                <w:p>
                  <w:pPr>
                    <w:tabs>
                      <w:tab w:val="left" w:pos="2813"/>
                      <w:tab w:val="center" w:pos="4444"/>
                    </w:tabs>
                    <w:jc w:val="center"/>
                    <w:rPr>
                      <w:color w:val="auto"/>
                      <w:szCs w:val="21"/>
                    </w:rPr>
                  </w:pPr>
                  <w:r>
                    <w:rPr>
                      <w:rFonts w:hint="eastAsia"/>
                      <w:color w:val="auto"/>
                      <w:szCs w:val="21"/>
                    </w:rPr>
                    <w:t>外加剂C</w:t>
                  </w:r>
                </w:p>
              </w:tc>
              <w:tc>
                <w:tcPr>
                  <w:tcW w:w="4394" w:type="pct"/>
                  <w:shd w:val="clear" w:color="auto" w:fill="auto"/>
                  <w:vAlign w:val="center"/>
                </w:tcPr>
                <w:p>
                  <w:pPr>
                    <w:tabs>
                      <w:tab w:val="left" w:pos="2813"/>
                      <w:tab w:val="center" w:pos="4444"/>
                    </w:tabs>
                    <w:rPr>
                      <w:color w:val="auto"/>
                      <w:szCs w:val="21"/>
                    </w:rPr>
                  </w:pPr>
                  <w:r>
                    <w:rPr>
                      <w:rFonts w:hint="eastAsia"/>
                      <w:color w:val="auto"/>
                      <w:szCs w:val="21"/>
                    </w:rPr>
                    <w:t>发泡剂，含75%普通硅酸盐水泥和25%偶氮二甲酰胺。粉末，无嗅，不易燃烧。粉末，无嗅，不易燃烧。根据《危险货物名录》（GB12268-2012）：纯偶氮二甲酰胺为危险货物（易燃固体），偶氮二甲胺含量按质量不超过35%，且含惰性物质至少65%的同质混合物不作为危险货物运输，除非其满足其他危险性类别和项别的标准。</w:t>
                  </w:r>
                </w:p>
              </w:tc>
            </w:tr>
          </w:tbl>
          <w:p>
            <w:pPr>
              <w:spacing w:before="120" w:beforeLines="50" w:line="360" w:lineRule="auto"/>
              <w:ind w:firstLine="480" w:firstLineChars="200"/>
              <w:jc w:val="left"/>
              <w:rPr>
                <w:color w:val="auto"/>
                <w:sz w:val="24"/>
              </w:rPr>
            </w:pPr>
            <w:r>
              <w:rPr>
                <w:rFonts w:hint="eastAsia"/>
                <w:color w:val="auto"/>
                <w:sz w:val="24"/>
              </w:rPr>
              <w:t>（2）产品</w:t>
            </w:r>
          </w:p>
          <w:p>
            <w:pPr>
              <w:spacing w:line="360" w:lineRule="auto"/>
              <w:ind w:firstLine="480" w:firstLineChars="200"/>
              <w:jc w:val="left"/>
              <w:rPr>
                <w:color w:val="auto"/>
                <w:sz w:val="24"/>
              </w:rPr>
            </w:pPr>
            <w:r>
              <w:rPr>
                <w:rFonts w:hint="eastAsia"/>
                <w:color w:val="auto"/>
                <w:sz w:val="24"/>
              </w:rPr>
              <w:t>矿用无机材料应用范围涉及地下工程铺路、巷道喷涂、支护等，功能应用涉及煤矿的加固、充填、封孔、修补、堵水等。</w:t>
            </w:r>
          </w:p>
          <w:p>
            <w:pPr>
              <w:spacing w:line="360" w:lineRule="auto"/>
              <w:ind w:firstLine="480" w:firstLineChars="200"/>
              <w:jc w:val="left"/>
              <w:rPr>
                <w:color w:val="auto"/>
                <w:sz w:val="24"/>
              </w:rPr>
            </w:pPr>
            <w:r>
              <w:rPr>
                <w:rFonts w:hint="eastAsia"/>
                <w:color w:val="auto"/>
                <w:sz w:val="24"/>
              </w:rPr>
              <w:t>根据建设单位提供的资料，产品方案见下表。</w:t>
            </w:r>
          </w:p>
          <w:p>
            <w:pPr>
              <w:jc w:val="center"/>
              <w:rPr>
                <w:b/>
                <w:color w:val="auto"/>
                <w:sz w:val="24"/>
              </w:rPr>
            </w:pPr>
            <w:r>
              <w:rPr>
                <w:b/>
                <w:color w:val="auto"/>
                <w:sz w:val="24"/>
              </w:rPr>
              <w:t>表</w:t>
            </w:r>
            <w:r>
              <w:rPr>
                <w:rFonts w:hint="eastAsia"/>
                <w:b/>
                <w:color w:val="auto"/>
                <w:sz w:val="24"/>
              </w:rPr>
              <w:t>2-4</w:t>
            </w:r>
            <w:r>
              <w:rPr>
                <w:b/>
                <w:color w:val="auto"/>
                <w:sz w:val="24"/>
              </w:rPr>
              <w:t xml:space="preserve">   项目</w:t>
            </w:r>
            <w:r>
              <w:rPr>
                <w:rFonts w:hint="eastAsia"/>
                <w:b/>
                <w:color w:val="auto"/>
                <w:sz w:val="24"/>
              </w:rPr>
              <w:t>产品方案</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57"/>
              <w:gridCol w:w="2025"/>
              <w:gridCol w:w="941"/>
              <w:gridCol w:w="45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4" w:type="pct"/>
                  <w:tcMar>
                    <w:left w:w="17" w:type="dxa"/>
                    <w:right w:w="17" w:type="dxa"/>
                  </w:tcMar>
                  <w:vAlign w:val="center"/>
                </w:tcPr>
                <w:p>
                  <w:pPr>
                    <w:contextualSpacing/>
                    <w:jc w:val="center"/>
                    <w:rPr>
                      <w:color w:val="auto"/>
                      <w:szCs w:val="21"/>
                    </w:rPr>
                  </w:pPr>
                  <w:r>
                    <w:rPr>
                      <w:rFonts w:hint="eastAsia"/>
                      <w:color w:val="auto"/>
                      <w:szCs w:val="21"/>
                    </w:rPr>
                    <w:t>序号</w:t>
                  </w:r>
                </w:p>
              </w:tc>
              <w:tc>
                <w:tcPr>
                  <w:tcW w:w="1251" w:type="pct"/>
                  <w:tcMar>
                    <w:left w:w="17" w:type="dxa"/>
                    <w:right w:w="17" w:type="dxa"/>
                  </w:tcMar>
                  <w:vAlign w:val="center"/>
                </w:tcPr>
                <w:p>
                  <w:pPr>
                    <w:contextualSpacing/>
                    <w:jc w:val="center"/>
                    <w:rPr>
                      <w:color w:val="auto"/>
                      <w:szCs w:val="21"/>
                    </w:rPr>
                  </w:pPr>
                  <w:r>
                    <w:rPr>
                      <w:rFonts w:hint="eastAsia"/>
                      <w:color w:val="auto"/>
                      <w:szCs w:val="21"/>
                    </w:rPr>
                    <w:t>产品名称</w:t>
                  </w:r>
                </w:p>
              </w:tc>
              <w:tc>
                <w:tcPr>
                  <w:tcW w:w="581" w:type="pct"/>
                  <w:vAlign w:val="center"/>
                </w:tcPr>
                <w:p>
                  <w:pPr>
                    <w:contextualSpacing/>
                    <w:jc w:val="center"/>
                    <w:rPr>
                      <w:color w:val="auto"/>
                      <w:szCs w:val="21"/>
                    </w:rPr>
                  </w:pPr>
                  <w:r>
                    <w:rPr>
                      <w:rFonts w:hint="eastAsia"/>
                      <w:color w:val="auto"/>
                      <w:szCs w:val="21"/>
                    </w:rPr>
                    <w:t>设计产能（吨/年）</w:t>
                  </w:r>
                </w:p>
              </w:tc>
              <w:tc>
                <w:tcPr>
                  <w:tcW w:w="2822" w:type="pct"/>
                  <w:vAlign w:val="center"/>
                </w:tcPr>
                <w:p>
                  <w:pPr>
                    <w:contextualSpacing/>
                    <w:jc w:val="center"/>
                    <w:rPr>
                      <w:color w:val="auto"/>
                      <w:szCs w:val="21"/>
                    </w:rPr>
                  </w:pPr>
                  <w:r>
                    <w:rPr>
                      <w:rFonts w:hint="eastAsia"/>
                      <w:color w:val="auto"/>
                      <w:szCs w:val="21"/>
                    </w:rPr>
                    <w:t>相关技术指标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4" w:type="pct"/>
                  <w:vMerge w:val="restart"/>
                  <w:tcMar>
                    <w:left w:w="17" w:type="dxa"/>
                    <w:right w:w="17" w:type="dxa"/>
                  </w:tcMar>
                  <w:vAlign w:val="center"/>
                </w:tcPr>
                <w:p>
                  <w:pPr>
                    <w:contextualSpacing/>
                    <w:jc w:val="center"/>
                    <w:rPr>
                      <w:color w:val="auto"/>
                      <w:szCs w:val="21"/>
                    </w:rPr>
                  </w:pPr>
                  <w:r>
                    <w:rPr>
                      <w:rFonts w:hint="eastAsia"/>
                      <w:color w:val="auto"/>
                      <w:szCs w:val="21"/>
                    </w:rPr>
                    <w:t>1</w:t>
                  </w:r>
                </w:p>
              </w:tc>
              <w:tc>
                <w:tcPr>
                  <w:tcW w:w="1251" w:type="pct"/>
                  <w:tcMar>
                    <w:left w:w="17" w:type="dxa"/>
                    <w:right w:w="17" w:type="dxa"/>
                  </w:tcMar>
                  <w:vAlign w:val="center"/>
                </w:tcPr>
                <w:p>
                  <w:pPr>
                    <w:contextualSpacing/>
                    <w:jc w:val="center"/>
                    <w:rPr>
                      <w:rFonts w:hint="eastAsia" w:eastAsia="宋体"/>
                      <w:color w:val="auto"/>
                      <w:szCs w:val="21"/>
                      <w:lang w:val="en-US" w:eastAsia="zh-CN"/>
                    </w:rPr>
                  </w:pPr>
                  <w:r>
                    <w:rPr>
                      <w:rFonts w:hint="eastAsia"/>
                      <w:color w:val="auto"/>
                      <w:szCs w:val="21"/>
                    </w:rPr>
                    <w:t>双组分无机加固材料</w:t>
                  </w:r>
                  <w:r>
                    <w:rPr>
                      <w:rFonts w:hint="eastAsia"/>
                      <w:color w:val="auto"/>
                      <w:szCs w:val="21"/>
                      <w:lang w:val="en-US" w:eastAsia="zh-CN"/>
                    </w:rPr>
                    <w:t>A料</w:t>
                  </w:r>
                </w:p>
              </w:tc>
              <w:tc>
                <w:tcPr>
                  <w:tcW w:w="581" w:type="pct"/>
                  <w:vAlign w:val="center"/>
                </w:tcPr>
                <w:p>
                  <w:pPr>
                    <w:contextualSpacing/>
                    <w:jc w:val="center"/>
                    <w:rPr>
                      <w:color w:val="auto"/>
                      <w:szCs w:val="21"/>
                    </w:rPr>
                  </w:pPr>
                  <w:r>
                    <w:rPr>
                      <w:rFonts w:hint="eastAsia"/>
                      <w:color w:val="auto"/>
                      <w:szCs w:val="21"/>
                      <w:lang w:val="en-US" w:eastAsia="zh-CN"/>
                    </w:rPr>
                    <w:t>25</w:t>
                  </w:r>
                  <w:r>
                    <w:rPr>
                      <w:rFonts w:hint="eastAsia"/>
                      <w:color w:val="auto"/>
                      <w:szCs w:val="21"/>
                    </w:rPr>
                    <w:t>00</w:t>
                  </w:r>
                </w:p>
              </w:tc>
              <w:tc>
                <w:tcPr>
                  <w:tcW w:w="2822" w:type="pct"/>
                  <w:vAlign w:val="center"/>
                </w:tcPr>
                <w:p>
                  <w:pPr>
                    <w:contextualSpacing/>
                    <w:jc w:val="center"/>
                    <w:rPr>
                      <w:color w:val="auto"/>
                      <w:szCs w:val="21"/>
                    </w:rPr>
                  </w:pPr>
                  <w:r>
                    <w:rPr>
                      <w:rFonts w:hint="eastAsia"/>
                      <w:color w:val="auto"/>
                      <w:szCs w:val="21"/>
                    </w:rPr>
                    <w:t>抗压强度：2h≥15MPa; 1d≥20MPa; 7d25MPa; 28d≥35MPa。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4" w:type="pct"/>
                  <w:vMerge w:val="continue"/>
                  <w:tcMar>
                    <w:left w:w="17" w:type="dxa"/>
                    <w:right w:w="17" w:type="dxa"/>
                  </w:tcMar>
                  <w:vAlign w:val="center"/>
                </w:tcPr>
                <w:p>
                  <w:pPr>
                    <w:contextualSpacing/>
                    <w:jc w:val="center"/>
                    <w:rPr>
                      <w:rFonts w:hint="eastAsia"/>
                      <w:color w:val="auto"/>
                      <w:szCs w:val="21"/>
                    </w:rPr>
                  </w:pPr>
                </w:p>
              </w:tc>
              <w:tc>
                <w:tcPr>
                  <w:tcW w:w="1251" w:type="pct"/>
                  <w:tcMar>
                    <w:left w:w="17" w:type="dxa"/>
                    <w:right w:w="17" w:type="dxa"/>
                  </w:tcMar>
                  <w:vAlign w:val="center"/>
                </w:tcPr>
                <w:p>
                  <w:pPr>
                    <w:contextualSpacing/>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双组分无机加固材料</w:t>
                  </w:r>
                  <w:r>
                    <w:rPr>
                      <w:rFonts w:hint="eastAsia"/>
                      <w:color w:val="auto"/>
                      <w:szCs w:val="21"/>
                      <w:lang w:val="en-US" w:eastAsia="zh-CN"/>
                    </w:rPr>
                    <w:t>B料</w:t>
                  </w:r>
                </w:p>
              </w:tc>
              <w:tc>
                <w:tcPr>
                  <w:tcW w:w="581" w:type="pct"/>
                  <w:vAlign w:val="center"/>
                </w:tcPr>
                <w:p>
                  <w:pPr>
                    <w:contextualSpacing/>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25</w:t>
                  </w:r>
                  <w:r>
                    <w:rPr>
                      <w:rFonts w:hint="eastAsia"/>
                      <w:color w:val="auto"/>
                      <w:szCs w:val="21"/>
                    </w:rPr>
                    <w:t>00</w:t>
                  </w:r>
                </w:p>
              </w:tc>
              <w:tc>
                <w:tcPr>
                  <w:tcW w:w="2822" w:type="pct"/>
                  <w:vAlign w:val="center"/>
                </w:tcPr>
                <w:p>
                  <w:pPr>
                    <w:contextualSpacing/>
                    <w:jc w:val="center"/>
                    <w:rPr>
                      <w:rFonts w:hint="eastAsia"/>
                      <w:color w:val="auto"/>
                      <w:szCs w:val="21"/>
                    </w:rPr>
                  </w:pPr>
                  <w:r>
                    <w:rPr>
                      <w:rFonts w:hint="eastAsia"/>
                      <w:color w:val="auto"/>
                      <w:szCs w:val="21"/>
                    </w:rPr>
                    <w:t>抗压强度：2h≥15MPa; 1d≥20MPa; 7d25MPa; 28d≥35MPa。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4" w:type="pct"/>
                  <w:tcMar>
                    <w:left w:w="17" w:type="dxa"/>
                    <w:right w:w="17" w:type="dxa"/>
                  </w:tcMar>
                  <w:vAlign w:val="center"/>
                </w:tcPr>
                <w:p>
                  <w:pPr>
                    <w:contextualSpacing/>
                    <w:jc w:val="center"/>
                    <w:rPr>
                      <w:color w:val="auto"/>
                      <w:szCs w:val="21"/>
                    </w:rPr>
                  </w:pPr>
                  <w:r>
                    <w:rPr>
                      <w:rFonts w:hint="eastAsia"/>
                      <w:color w:val="auto"/>
                      <w:szCs w:val="21"/>
                    </w:rPr>
                    <w:t>2</w:t>
                  </w:r>
                </w:p>
              </w:tc>
              <w:tc>
                <w:tcPr>
                  <w:tcW w:w="1251" w:type="pct"/>
                  <w:tcMar>
                    <w:left w:w="17" w:type="dxa"/>
                    <w:right w:w="17" w:type="dxa"/>
                  </w:tcMar>
                  <w:vAlign w:val="center"/>
                </w:tcPr>
                <w:p>
                  <w:pPr>
                    <w:contextualSpacing/>
                    <w:jc w:val="center"/>
                    <w:rPr>
                      <w:color w:val="auto"/>
                      <w:szCs w:val="21"/>
                    </w:rPr>
                  </w:pPr>
                  <w:r>
                    <w:rPr>
                      <w:rFonts w:hint="eastAsia" w:ascii="宋体" w:cs="宋体"/>
                      <w:color w:val="auto"/>
                      <w:kern w:val="0"/>
                      <w:szCs w:val="21"/>
                    </w:rPr>
                    <w:t>单组分无机加固材料</w:t>
                  </w:r>
                </w:p>
              </w:tc>
              <w:tc>
                <w:tcPr>
                  <w:tcW w:w="581" w:type="pct"/>
                  <w:vAlign w:val="center"/>
                </w:tcPr>
                <w:p>
                  <w:pPr>
                    <w:contextualSpacing/>
                    <w:jc w:val="center"/>
                    <w:rPr>
                      <w:color w:val="auto"/>
                      <w:szCs w:val="21"/>
                    </w:rPr>
                  </w:pPr>
                  <w:r>
                    <w:rPr>
                      <w:rFonts w:hint="eastAsia"/>
                      <w:color w:val="auto"/>
                      <w:szCs w:val="21"/>
                    </w:rPr>
                    <w:t>3000</w:t>
                  </w:r>
                </w:p>
              </w:tc>
              <w:tc>
                <w:tcPr>
                  <w:tcW w:w="2822" w:type="pct"/>
                  <w:vAlign w:val="center"/>
                </w:tcPr>
                <w:p>
                  <w:pPr>
                    <w:contextualSpacing/>
                    <w:jc w:val="center"/>
                    <w:rPr>
                      <w:color w:val="auto"/>
                      <w:szCs w:val="21"/>
                    </w:rPr>
                  </w:pPr>
                  <w:r>
                    <w:rPr>
                      <w:rFonts w:hint="eastAsia"/>
                      <w:color w:val="auto"/>
                      <w:szCs w:val="21"/>
                    </w:rPr>
                    <w:t>抗压强度：2h≥15MPa; 1d≥20MPa; 7d30MPa; 28d≥40MPa。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4" w:type="pct"/>
                  <w:tcMar>
                    <w:left w:w="17" w:type="dxa"/>
                    <w:right w:w="17" w:type="dxa"/>
                  </w:tcMar>
                  <w:vAlign w:val="center"/>
                </w:tcPr>
                <w:p>
                  <w:pPr>
                    <w:contextualSpacing/>
                    <w:jc w:val="center"/>
                    <w:rPr>
                      <w:color w:val="auto"/>
                      <w:szCs w:val="21"/>
                    </w:rPr>
                  </w:pPr>
                  <w:r>
                    <w:rPr>
                      <w:rFonts w:hint="eastAsia"/>
                      <w:color w:val="auto"/>
                      <w:szCs w:val="21"/>
                    </w:rPr>
                    <w:t>3</w:t>
                  </w:r>
                </w:p>
              </w:tc>
              <w:tc>
                <w:tcPr>
                  <w:tcW w:w="1251" w:type="pct"/>
                  <w:tcMar>
                    <w:left w:w="17" w:type="dxa"/>
                    <w:right w:w="17" w:type="dxa"/>
                  </w:tcMar>
                  <w:vAlign w:val="center"/>
                </w:tcPr>
                <w:p>
                  <w:pPr>
                    <w:contextualSpacing/>
                    <w:jc w:val="center"/>
                    <w:rPr>
                      <w:color w:val="auto"/>
                      <w:szCs w:val="21"/>
                    </w:rPr>
                  </w:pPr>
                  <w:r>
                    <w:rPr>
                      <w:rFonts w:hint="eastAsia"/>
                      <w:color w:val="auto"/>
                      <w:szCs w:val="21"/>
                    </w:rPr>
                    <w:t>无机注浆封孔材料</w:t>
                  </w:r>
                </w:p>
              </w:tc>
              <w:tc>
                <w:tcPr>
                  <w:tcW w:w="581" w:type="pct"/>
                  <w:vAlign w:val="center"/>
                </w:tcPr>
                <w:p>
                  <w:pPr>
                    <w:contextualSpacing/>
                    <w:jc w:val="center"/>
                    <w:rPr>
                      <w:color w:val="auto"/>
                      <w:szCs w:val="21"/>
                    </w:rPr>
                  </w:pPr>
                  <w:r>
                    <w:rPr>
                      <w:rFonts w:hint="eastAsia"/>
                      <w:color w:val="auto"/>
                      <w:szCs w:val="21"/>
                    </w:rPr>
                    <w:t>6000</w:t>
                  </w:r>
                </w:p>
              </w:tc>
              <w:tc>
                <w:tcPr>
                  <w:tcW w:w="2822" w:type="pct"/>
                  <w:vAlign w:val="center"/>
                </w:tcPr>
                <w:p>
                  <w:pPr>
                    <w:contextualSpacing/>
                    <w:jc w:val="center"/>
                    <w:rPr>
                      <w:color w:val="auto"/>
                      <w:szCs w:val="21"/>
                    </w:rPr>
                  </w:pPr>
                  <w:r>
                    <w:rPr>
                      <w:rFonts w:hint="eastAsia"/>
                      <w:color w:val="auto"/>
                      <w:szCs w:val="21"/>
                    </w:rPr>
                    <w:t>竖向膨胀率：20~30%；抗压强度：28d≥15MPa。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4" w:type="pct"/>
                  <w:vMerge w:val="restart"/>
                  <w:tcMar>
                    <w:left w:w="17" w:type="dxa"/>
                    <w:right w:w="17" w:type="dxa"/>
                  </w:tcMar>
                  <w:vAlign w:val="center"/>
                </w:tcPr>
                <w:p>
                  <w:pPr>
                    <w:contextualSpacing/>
                    <w:jc w:val="center"/>
                    <w:rPr>
                      <w:color w:val="auto"/>
                      <w:szCs w:val="21"/>
                    </w:rPr>
                  </w:pPr>
                  <w:r>
                    <w:rPr>
                      <w:rFonts w:hint="eastAsia"/>
                      <w:color w:val="auto"/>
                      <w:szCs w:val="21"/>
                    </w:rPr>
                    <w:t>4</w:t>
                  </w:r>
                </w:p>
              </w:tc>
              <w:tc>
                <w:tcPr>
                  <w:tcW w:w="1251" w:type="pct"/>
                  <w:tcMar>
                    <w:left w:w="17" w:type="dxa"/>
                    <w:right w:w="17" w:type="dxa"/>
                  </w:tcMar>
                  <w:vAlign w:val="center"/>
                </w:tcPr>
                <w:p>
                  <w:pPr>
                    <w:contextualSpacing/>
                    <w:jc w:val="center"/>
                    <w:rPr>
                      <w:color w:val="auto"/>
                      <w:szCs w:val="21"/>
                    </w:rPr>
                  </w:pPr>
                  <w:r>
                    <w:rPr>
                      <w:rFonts w:hint="eastAsia"/>
                      <w:color w:val="auto"/>
                      <w:szCs w:val="21"/>
                    </w:rPr>
                    <w:t>高水充填材料</w:t>
                  </w:r>
                  <w:r>
                    <w:rPr>
                      <w:rFonts w:hint="eastAsia"/>
                      <w:color w:val="auto"/>
                      <w:szCs w:val="21"/>
                      <w:lang w:val="en-US" w:eastAsia="zh-CN"/>
                    </w:rPr>
                    <w:t>A料</w:t>
                  </w:r>
                </w:p>
              </w:tc>
              <w:tc>
                <w:tcPr>
                  <w:tcW w:w="581" w:type="pct"/>
                  <w:vAlign w:val="center"/>
                </w:tcPr>
                <w:p>
                  <w:pPr>
                    <w:contextualSpacing/>
                    <w:jc w:val="center"/>
                    <w:rPr>
                      <w:color w:val="auto"/>
                      <w:szCs w:val="21"/>
                    </w:rPr>
                  </w:pPr>
                  <w:r>
                    <w:rPr>
                      <w:rFonts w:hint="eastAsia"/>
                      <w:color w:val="auto"/>
                      <w:szCs w:val="21"/>
                      <w:lang w:val="en-US" w:eastAsia="zh-CN"/>
                    </w:rPr>
                    <w:t>1</w:t>
                  </w:r>
                  <w:r>
                    <w:rPr>
                      <w:rFonts w:hint="eastAsia"/>
                      <w:color w:val="auto"/>
                      <w:szCs w:val="21"/>
                    </w:rPr>
                    <w:t>000</w:t>
                  </w:r>
                </w:p>
              </w:tc>
              <w:tc>
                <w:tcPr>
                  <w:tcW w:w="2822" w:type="pct"/>
                  <w:vAlign w:val="center"/>
                </w:tcPr>
                <w:p>
                  <w:pPr>
                    <w:contextualSpacing/>
                    <w:jc w:val="center"/>
                    <w:rPr>
                      <w:color w:val="auto"/>
                      <w:szCs w:val="21"/>
                    </w:rPr>
                  </w:pPr>
                  <w:r>
                    <w:rPr>
                      <w:rFonts w:hint="eastAsia"/>
                      <w:color w:val="auto"/>
                      <w:szCs w:val="21"/>
                    </w:rPr>
                    <w:t>抗压强度：2h≥1.2MPa; 1d≥3MPa; 28d≥4.5MPa。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4" w:type="pct"/>
                  <w:vMerge w:val="continue"/>
                  <w:tcMar>
                    <w:left w:w="17" w:type="dxa"/>
                    <w:right w:w="17" w:type="dxa"/>
                  </w:tcMar>
                  <w:vAlign w:val="center"/>
                </w:tcPr>
                <w:p>
                  <w:pPr>
                    <w:contextualSpacing/>
                    <w:jc w:val="center"/>
                    <w:rPr>
                      <w:rFonts w:hint="eastAsia"/>
                      <w:color w:val="auto"/>
                      <w:szCs w:val="21"/>
                    </w:rPr>
                  </w:pPr>
                </w:p>
              </w:tc>
              <w:tc>
                <w:tcPr>
                  <w:tcW w:w="1251" w:type="pct"/>
                  <w:tcMar>
                    <w:left w:w="17" w:type="dxa"/>
                    <w:right w:w="17" w:type="dxa"/>
                  </w:tcMar>
                  <w:vAlign w:val="center"/>
                </w:tcPr>
                <w:p>
                  <w:pPr>
                    <w:contextualSpacing/>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高水充填材料</w:t>
                  </w:r>
                  <w:r>
                    <w:rPr>
                      <w:rFonts w:hint="eastAsia"/>
                      <w:color w:val="auto"/>
                      <w:szCs w:val="21"/>
                      <w:lang w:val="en-US" w:eastAsia="zh-CN"/>
                    </w:rPr>
                    <w:t>B料</w:t>
                  </w:r>
                </w:p>
              </w:tc>
              <w:tc>
                <w:tcPr>
                  <w:tcW w:w="581" w:type="pct"/>
                  <w:vAlign w:val="center"/>
                </w:tcPr>
                <w:p>
                  <w:pPr>
                    <w:contextualSpacing/>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r>
                    <w:rPr>
                      <w:rFonts w:hint="eastAsia"/>
                      <w:color w:val="auto"/>
                      <w:szCs w:val="21"/>
                    </w:rPr>
                    <w:t>000</w:t>
                  </w:r>
                </w:p>
              </w:tc>
              <w:tc>
                <w:tcPr>
                  <w:tcW w:w="2822" w:type="pct"/>
                  <w:vAlign w:val="center"/>
                </w:tcPr>
                <w:p>
                  <w:pPr>
                    <w:contextualSpacing/>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抗压强度：2h≥1.2MPa; 1d≥3MPa; 28d≥4.5MPa。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4" w:type="pct"/>
                  <w:tcMar>
                    <w:left w:w="17" w:type="dxa"/>
                    <w:right w:w="17" w:type="dxa"/>
                  </w:tcMar>
                  <w:vAlign w:val="center"/>
                </w:tcPr>
                <w:p>
                  <w:pPr>
                    <w:contextualSpacing/>
                    <w:jc w:val="center"/>
                    <w:rPr>
                      <w:color w:val="auto"/>
                      <w:szCs w:val="21"/>
                    </w:rPr>
                  </w:pPr>
                  <w:r>
                    <w:rPr>
                      <w:rFonts w:hint="eastAsia"/>
                      <w:color w:val="auto"/>
                      <w:szCs w:val="21"/>
                    </w:rPr>
                    <w:t>5</w:t>
                  </w:r>
                </w:p>
              </w:tc>
              <w:tc>
                <w:tcPr>
                  <w:tcW w:w="1251" w:type="pct"/>
                  <w:tcMar>
                    <w:left w:w="17" w:type="dxa"/>
                    <w:right w:w="17" w:type="dxa"/>
                  </w:tcMar>
                  <w:vAlign w:val="center"/>
                </w:tcPr>
                <w:p>
                  <w:pPr>
                    <w:contextualSpacing/>
                    <w:jc w:val="center"/>
                    <w:rPr>
                      <w:color w:val="auto"/>
                      <w:szCs w:val="21"/>
                    </w:rPr>
                  </w:pPr>
                  <w:r>
                    <w:rPr>
                      <w:rFonts w:hint="eastAsia"/>
                      <w:color w:val="auto"/>
                      <w:szCs w:val="21"/>
                    </w:rPr>
                    <w:t>无机快速修补材料</w:t>
                  </w:r>
                </w:p>
              </w:tc>
              <w:tc>
                <w:tcPr>
                  <w:tcW w:w="581" w:type="pct"/>
                  <w:vAlign w:val="center"/>
                </w:tcPr>
                <w:p>
                  <w:pPr>
                    <w:contextualSpacing/>
                    <w:jc w:val="center"/>
                    <w:rPr>
                      <w:color w:val="auto"/>
                      <w:szCs w:val="21"/>
                    </w:rPr>
                  </w:pPr>
                  <w:r>
                    <w:rPr>
                      <w:rFonts w:hint="eastAsia"/>
                      <w:color w:val="auto"/>
                      <w:szCs w:val="21"/>
                    </w:rPr>
                    <w:t>2000</w:t>
                  </w:r>
                </w:p>
              </w:tc>
              <w:tc>
                <w:tcPr>
                  <w:tcW w:w="2822" w:type="pct"/>
                  <w:vAlign w:val="center"/>
                </w:tcPr>
                <w:p>
                  <w:pPr>
                    <w:contextualSpacing/>
                    <w:jc w:val="center"/>
                    <w:rPr>
                      <w:color w:val="auto"/>
                      <w:szCs w:val="21"/>
                    </w:rPr>
                  </w:pPr>
                  <w:r>
                    <w:rPr>
                      <w:rFonts w:hint="eastAsia"/>
                      <w:color w:val="auto"/>
                      <w:szCs w:val="21"/>
                    </w:rPr>
                    <w:t>抗压强度：1h≥20MPa; 1d≥32MPa; 28d≥45MPa。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4" w:type="pct"/>
                  <w:tcMar>
                    <w:left w:w="17" w:type="dxa"/>
                    <w:right w:w="17" w:type="dxa"/>
                  </w:tcMar>
                  <w:vAlign w:val="center"/>
                </w:tcPr>
                <w:p>
                  <w:pPr>
                    <w:contextualSpacing/>
                    <w:jc w:val="center"/>
                    <w:rPr>
                      <w:color w:val="auto"/>
                      <w:szCs w:val="21"/>
                    </w:rPr>
                  </w:pPr>
                  <w:r>
                    <w:rPr>
                      <w:rFonts w:hint="eastAsia"/>
                      <w:color w:val="auto"/>
                      <w:szCs w:val="21"/>
                    </w:rPr>
                    <w:t>6</w:t>
                  </w:r>
                </w:p>
              </w:tc>
              <w:tc>
                <w:tcPr>
                  <w:tcW w:w="1251" w:type="pct"/>
                  <w:tcMar>
                    <w:left w:w="17" w:type="dxa"/>
                    <w:right w:w="17" w:type="dxa"/>
                  </w:tcMar>
                  <w:vAlign w:val="center"/>
                </w:tcPr>
                <w:p>
                  <w:pPr>
                    <w:contextualSpacing/>
                    <w:jc w:val="center"/>
                    <w:rPr>
                      <w:color w:val="auto"/>
                      <w:szCs w:val="21"/>
                    </w:rPr>
                  </w:pPr>
                  <w:r>
                    <w:rPr>
                      <w:rFonts w:hint="eastAsia"/>
                      <w:color w:val="auto"/>
                      <w:szCs w:val="21"/>
                    </w:rPr>
                    <w:t>无机喷涂材料</w:t>
                  </w:r>
                </w:p>
              </w:tc>
              <w:tc>
                <w:tcPr>
                  <w:tcW w:w="581" w:type="pct"/>
                  <w:vAlign w:val="center"/>
                </w:tcPr>
                <w:p>
                  <w:pPr>
                    <w:contextualSpacing/>
                    <w:jc w:val="center"/>
                    <w:rPr>
                      <w:color w:val="auto"/>
                      <w:szCs w:val="21"/>
                    </w:rPr>
                  </w:pPr>
                  <w:r>
                    <w:rPr>
                      <w:rFonts w:hint="eastAsia"/>
                      <w:color w:val="auto"/>
                      <w:szCs w:val="21"/>
                    </w:rPr>
                    <w:t>1000</w:t>
                  </w:r>
                </w:p>
              </w:tc>
              <w:tc>
                <w:tcPr>
                  <w:tcW w:w="2822" w:type="pct"/>
                  <w:vAlign w:val="center"/>
                </w:tcPr>
                <w:p>
                  <w:pPr>
                    <w:contextualSpacing/>
                    <w:jc w:val="center"/>
                    <w:rPr>
                      <w:color w:val="auto"/>
                      <w:szCs w:val="21"/>
                    </w:rPr>
                  </w:pPr>
                  <w:r>
                    <w:rPr>
                      <w:rFonts w:hint="eastAsia"/>
                      <w:color w:val="auto"/>
                      <w:szCs w:val="21"/>
                    </w:rPr>
                    <w:t>抗压强度：28d≥30MPa；抗折强度：28d≥10MPa。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4" w:type="pct"/>
                  <w:tcMar>
                    <w:left w:w="17" w:type="dxa"/>
                    <w:right w:w="17" w:type="dxa"/>
                  </w:tcMar>
                  <w:vAlign w:val="center"/>
                </w:tcPr>
                <w:p>
                  <w:pPr>
                    <w:contextualSpacing/>
                    <w:jc w:val="center"/>
                    <w:rPr>
                      <w:color w:val="auto"/>
                      <w:szCs w:val="21"/>
                    </w:rPr>
                  </w:pPr>
                  <w:r>
                    <w:rPr>
                      <w:rFonts w:hint="eastAsia"/>
                      <w:color w:val="auto"/>
                      <w:szCs w:val="21"/>
                    </w:rPr>
                    <w:t>7</w:t>
                  </w:r>
                </w:p>
              </w:tc>
              <w:tc>
                <w:tcPr>
                  <w:tcW w:w="1251" w:type="pct"/>
                  <w:tcMar>
                    <w:left w:w="17" w:type="dxa"/>
                    <w:right w:w="17" w:type="dxa"/>
                  </w:tcMar>
                  <w:vAlign w:val="center"/>
                </w:tcPr>
                <w:p>
                  <w:pPr>
                    <w:contextualSpacing/>
                    <w:jc w:val="center"/>
                    <w:rPr>
                      <w:color w:val="auto"/>
                      <w:szCs w:val="21"/>
                    </w:rPr>
                  </w:pPr>
                  <w:r>
                    <w:rPr>
                      <w:rFonts w:hint="eastAsia"/>
                      <w:color w:val="auto"/>
                      <w:szCs w:val="21"/>
                    </w:rPr>
                    <w:t>无机堵水材料</w:t>
                  </w:r>
                </w:p>
              </w:tc>
              <w:tc>
                <w:tcPr>
                  <w:tcW w:w="581" w:type="pct"/>
                  <w:vAlign w:val="center"/>
                </w:tcPr>
                <w:p>
                  <w:pPr>
                    <w:contextualSpacing/>
                    <w:jc w:val="center"/>
                    <w:rPr>
                      <w:color w:val="auto"/>
                      <w:szCs w:val="21"/>
                    </w:rPr>
                  </w:pPr>
                  <w:r>
                    <w:rPr>
                      <w:rFonts w:hint="eastAsia"/>
                      <w:color w:val="auto"/>
                      <w:szCs w:val="21"/>
                    </w:rPr>
                    <w:t>1000</w:t>
                  </w:r>
                </w:p>
              </w:tc>
              <w:tc>
                <w:tcPr>
                  <w:tcW w:w="2822" w:type="pct"/>
                  <w:vAlign w:val="center"/>
                </w:tcPr>
                <w:p>
                  <w:pPr>
                    <w:contextualSpacing/>
                    <w:jc w:val="center"/>
                    <w:rPr>
                      <w:color w:val="auto"/>
                      <w:szCs w:val="21"/>
                    </w:rPr>
                  </w:pPr>
                  <w:r>
                    <w:rPr>
                      <w:rFonts w:hint="eastAsia"/>
                      <w:color w:val="auto"/>
                      <w:szCs w:val="21"/>
                    </w:rPr>
                    <w:t>遇水膨胀率：150~300%；凝结时间：20~30s。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595" w:type="pct"/>
                  <w:gridSpan w:val="2"/>
                  <w:tcMar>
                    <w:left w:w="17" w:type="dxa"/>
                    <w:right w:w="17" w:type="dxa"/>
                  </w:tcMar>
                  <w:vAlign w:val="center"/>
                </w:tcPr>
                <w:p>
                  <w:pPr>
                    <w:contextualSpacing/>
                    <w:jc w:val="center"/>
                    <w:rPr>
                      <w:color w:val="auto"/>
                      <w:szCs w:val="21"/>
                    </w:rPr>
                  </w:pPr>
                  <w:r>
                    <w:rPr>
                      <w:rFonts w:hint="eastAsia"/>
                      <w:color w:val="auto"/>
                      <w:szCs w:val="21"/>
                    </w:rPr>
                    <w:t>合计</w:t>
                  </w:r>
                </w:p>
              </w:tc>
              <w:tc>
                <w:tcPr>
                  <w:tcW w:w="581" w:type="pct"/>
                  <w:vAlign w:val="center"/>
                </w:tcPr>
                <w:p>
                  <w:pPr>
                    <w:contextualSpacing/>
                    <w:jc w:val="center"/>
                    <w:rPr>
                      <w:color w:val="auto"/>
                      <w:szCs w:val="21"/>
                    </w:rPr>
                  </w:pPr>
                  <w:r>
                    <w:rPr>
                      <w:rFonts w:hint="eastAsia"/>
                      <w:color w:val="auto"/>
                      <w:szCs w:val="21"/>
                    </w:rPr>
                    <w:t>20000</w:t>
                  </w:r>
                </w:p>
              </w:tc>
              <w:tc>
                <w:tcPr>
                  <w:tcW w:w="2822" w:type="pct"/>
                  <w:vAlign w:val="center"/>
                </w:tcPr>
                <w:p>
                  <w:pPr>
                    <w:contextualSpacing/>
                    <w:jc w:val="center"/>
                    <w:rPr>
                      <w:color w:val="auto"/>
                      <w:szCs w:val="21"/>
                    </w:rPr>
                  </w:pPr>
                  <w:r>
                    <w:rPr>
                      <w:rFonts w:hint="eastAsia"/>
                      <w:color w:val="auto"/>
                      <w:szCs w:val="21"/>
                    </w:rPr>
                    <w:t>/</w:t>
                  </w:r>
                </w:p>
              </w:tc>
            </w:tr>
          </w:tbl>
          <w:p>
            <w:pPr>
              <w:spacing w:before="120" w:beforeLines="50" w:line="360" w:lineRule="auto"/>
              <w:ind w:firstLine="482" w:firstLineChars="200"/>
              <w:jc w:val="left"/>
              <w:rPr>
                <w:b/>
                <w:color w:val="auto"/>
                <w:sz w:val="24"/>
              </w:rPr>
            </w:pPr>
            <w:r>
              <w:rPr>
                <w:rFonts w:hint="eastAsia"/>
                <w:b/>
                <w:color w:val="auto"/>
                <w:sz w:val="24"/>
              </w:rPr>
              <w:t>5、物料平衡</w:t>
            </w:r>
          </w:p>
          <w:p>
            <w:pPr>
              <w:spacing w:line="360" w:lineRule="auto"/>
              <w:ind w:firstLine="480" w:firstLineChars="200"/>
              <w:rPr>
                <w:color w:val="auto"/>
                <w:sz w:val="24"/>
              </w:rPr>
            </w:pPr>
            <w:r>
              <w:rPr>
                <w:color w:val="auto"/>
                <w:sz w:val="24"/>
              </w:rPr>
              <w:t>项目生产过程物料平衡见表2-5。</w:t>
            </w:r>
          </w:p>
          <w:p>
            <w:pPr>
              <w:adjustRightInd w:val="0"/>
              <w:spacing w:after="48" w:afterLines="20"/>
              <w:ind w:firstLine="472" w:firstLineChars="196"/>
              <w:jc w:val="center"/>
              <w:rPr>
                <w:b/>
                <w:snapToGrid w:val="0"/>
                <w:color w:val="auto"/>
                <w:sz w:val="24"/>
                <w:highlight w:val="none"/>
              </w:rPr>
            </w:pPr>
            <w:r>
              <w:rPr>
                <w:b/>
                <w:snapToGrid w:val="0"/>
                <w:color w:val="auto"/>
                <w:sz w:val="24"/>
                <w:highlight w:val="none"/>
              </w:rPr>
              <w:t xml:space="preserve">表2-5  </w:t>
            </w:r>
            <w:r>
              <w:rPr>
                <w:rFonts w:hint="eastAsia"/>
                <w:b/>
                <w:snapToGrid w:val="0"/>
                <w:color w:val="auto"/>
                <w:sz w:val="24"/>
                <w:highlight w:val="none"/>
              </w:rPr>
              <w:t xml:space="preserve"> </w:t>
            </w:r>
            <w:r>
              <w:rPr>
                <w:b/>
                <w:snapToGrid w:val="0"/>
                <w:color w:val="auto"/>
                <w:sz w:val="24"/>
                <w:highlight w:val="none"/>
              </w:rPr>
              <w:t>项目物料平衡表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942"/>
              <w:gridCol w:w="1275"/>
              <w:gridCol w:w="793"/>
              <w:gridCol w:w="2528"/>
              <w:gridCol w:w="15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0" w:hRule="atLeast"/>
              </w:trPr>
              <w:tc>
                <w:tcPr>
                  <w:tcW w:w="1988" w:type="pct"/>
                  <w:gridSpan w:val="2"/>
                  <w:vAlign w:val="center"/>
                </w:tcPr>
                <w:p>
                  <w:pPr>
                    <w:jc w:val="center"/>
                    <w:rPr>
                      <w:color w:val="auto"/>
                      <w:szCs w:val="21"/>
                    </w:rPr>
                  </w:pPr>
                  <w:r>
                    <w:rPr>
                      <w:color w:val="auto"/>
                      <w:szCs w:val="21"/>
                    </w:rPr>
                    <w:t>投入</w:t>
                  </w:r>
                </w:p>
              </w:tc>
              <w:tc>
                <w:tcPr>
                  <w:tcW w:w="3011" w:type="pct"/>
                  <w:gridSpan w:val="3"/>
                  <w:vAlign w:val="center"/>
                </w:tcPr>
                <w:p>
                  <w:pPr>
                    <w:jc w:val="center"/>
                    <w:rPr>
                      <w:color w:val="auto"/>
                      <w:szCs w:val="21"/>
                    </w:rPr>
                  </w:pPr>
                  <w:r>
                    <w:rPr>
                      <w:color w:val="auto"/>
                      <w:szCs w:val="21"/>
                    </w:rPr>
                    <w:t>产出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0" w:hRule="atLeast"/>
              </w:trPr>
              <w:tc>
                <w:tcPr>
                  <w:tcW w:w="5000" w:type="pct"/>
                  <w:gridSpan w:val="5"/>
                  <w:vAlign w:val="center"/>
                </w:tcPr>
                <w:p>
                  <w:pPr>
                    <w:jc w:val="center"/>
                    <w:rPr>
                      <w:color w:val="auto"/>
                      <w:szCs w:val="21"/>
                    </w:rPr>
                  </w:pPr>
                  <w:r>
                    <w:rPr>
                      <w:rFonts w:hint="eastAsia"/>
                      <w:b/>
                      <w:bCs/>
                      <w:color w:val="auto"/>
                      <w:szCs w:val="21"/>
                    </w:rPr>
                    <w:t>双组分无机加固材料A料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0" w:hRule="atLeast"/>
              </w:trPr>
              <w:tc>
                <w:tcPr>
                  <w:tcW w:w="1200" w:type="pct"/>
                  <w:vAlign w:val="center"/>
                </w:tcPr>
                <w:p>
                  <w:pPr>
                    <w:jc w:val="center"/>
                    <w:rPr>
                      <w:color w:val="auto"/>
                      <w:szCs w:val="21"/>
                    </w:rPr>
                  </w:pPr>
                  <w:r>
                    <w:rPr>
                      <w:color w:val="auto"/>
                      <w:szCs w:val="21"/>
                    </w:rPr>
                    <w:t>名称</w:t>
                  </w:r>
                </w:p>
              </w:tc>
              <w:tc>
                <w:tcPr>
                  <w:tcW w:w="787" w:type="pct"/>
                  <w:vAlign w:val="center"/>
                </w:tcPr>
                <w:p>
                  <w:pPr>
                    <w:jc w:val="center"/>
                    <w:rPr>
                      <w:color w:val="auto"/>
                      <w:szCs w:val="21"/>
                    </w:rPr>
                  </w:pPr>
                  <w:r>
                    <w:rPr>
                      <w:color w:val="auto"/>
                      <w:szCs w:val="21"/>
                    </w:rPr>
                    <w:t>数量（t/a）</w:t>
                  </w:r>
                </w:p>
              </w:tc>
              <w:tc>
                <w:tcPr>
                  <w:tcW w:w="2052" w:type="pct"/>
                  <w:gridSpan w:val="2"/>
                  <w:vAlign w:val="center"/>
                </w:tcPr>
                <w:p>
                  <w:pPr>
                    <w:jc w:val="center"/>
                    <w:rPr>
                      <w:color w:val="auto"/>
                      <w:szCs w:val="21"/>
                    </w:rPr>
                  </w:pPr>
                  <w:r>
                    <w:rPr>
                      <w:color w:val="auto"/>
                      <w:szCs w:val="21"/>
                    </w:rPr>
                    <w:t>去向</w:t>
                  </w:r>
                </w:p>
              </w:tc>
              <w:tc>
                <w:tcPr>
                  <w:tcW w:w="959" w:type="pct"/>
                  <w:vAlign w:val="center"/>
                </w:tcPr>
                <w:p>
                  <w:pPr>
                    <w:jc w:val="center"/>
                    <w:rPr>
                      <w:color w:val="auto"/>
                      <w:szCs w:val="21"/>
                    </w:rPr>
                  </w:pPr>
                  <w:r>
                    <w:rPr>
                      <w:color w:val="auto"/>
                      <w:szCs w:val="21"/>
                    </w:rPr>
                    <w:t>数量（t/a）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0"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硫铝酸盐水泥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1981.54935</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产品</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双组分无机加固材料A料</w:t>
                  </w:r>
                </w:p>
              </w:tc>
              <w:tc>
                <w:tcPr>
                  <w:tcW w:w="959" w:type="pct"/>
                  <w:vAlign w:val="center"/>
                </w:tcPr>
                <w:p>
                  <w:pPr>
                    <w:contextualSpacing/>
                    <w:jc w:val="center"/>
                    <w:rPr>
                      <w:rFonts w:hint="default"/>
                      <w:color w:val="auto"/>
                      <w:szCs w:val="21"/>
                      <w:lang w:val="en-US" w:eastAsia="zh-CN"/>
                    </w:rPr>
                  </w:pPr>
                  <w:r>
                    <w:rPr>
                      <w:rFonts w:hint="eastAsia"/>
                      <w:color w:val="auto"/>
                      <w:szCs w:val="21"/>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0"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铝酸盐水泥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275.158</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废气</w:t>
                  </w:r>
                </w:p>
              </w:tc>
              <w:tc>
                <w:tcPr>
                  <w:tcW w:w="1562" w:type="pct"/>
                  <w:vAlign w:val="center"/>
                </w:tcPr>
                <w:p>
                  <w:pPr>
                    <w:contextualSpacing/>
                    <w:jc w:val="center"/>
                    <w:rPr>
                      <w:rFonts w:hint="eastAsia"/>
                      <w:color w:val="auto"/>
                      <w:szCs w:val="21"/>
                      <w:lang w:val="zh-TW" w:eastAsia="zh-CN"/>
                    </w:rPr>
                  </w:pPr>
                  <w:r>
                    <w:rPr>
                      <w:rFonts w:hint="eastAsia"/>
                      <w:color w:val="auto"/>
                      <w:szCs w:val="21"/>
                      <w:lang w:val="zh-TW" w:eastAsia="zh-CN"/>
                    </w:rPr>
                    <w:t>废气排放粉尘量</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0.0046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0"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外加剂A</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21.36</w:t>
                  </w:r>
                </w:p>
              </w:tc>
              <w:tc>
                <w:tcPr>
                  <w:tcW w:w="490" w:type="pct"/>
                  <w:vMerge w:val="restart"/>
                  <w:vAlign w:val="center"/>
                </w:tcPr>
                <w:p>
                  <w:pPr>
                    <w:contextualSpacing/>
                    <w:jc w:val="center"/>
                    <w:rPr>
                      <w:rFonts w:hint="eastAsia"/>
                      <w:color w:val="auto"/>
                      <w:szCs w:val="21"/>
                      <w:lang w:val="en-US" w:eastAsia="zh-CN"/>
                    </w:rPr>
                  </w:pPr>
                  <w:r>
                    <w:rPr>
                      <w:rFonts w:hint="eastAsia"/>
                      <w:color w:val="auto"/>
                      <w:szCs w:val="21"/>
                      <w:lang w:val="en-US" w:eastAsia="zh-CN"/>
                    </w:rPr>
                    <w:t>固废</w:t>
                  </w:r>
                </w:p>
              </w:tc>
              <w:tc>
                <w:tcPr>
                  <w:tcW w:w="1562" w:type="pct"/>
                  <w:vAlign w:val="center"/>
                </w:tcPr>
                <w:p>
                  <w:pPr>
                    <w:contextualSpacing/>
                    <w:jc w:val="center"/>
                    <w:rPr>
                      <w:rFonts w:hint="eastAsia"/>
                      <w:color w:val="auto"/>
                      <w:szCs w:val="21"/>
                      <w:lang w:val="zh-TW" w:eastAsia="zh-CN"/>
                    </w:rPr>
                  </w:pPr>
                  <w:r>
                    <w:rPr>
                      <w:rFonts w:hint="eastAsia"/>
                      <w:color w:val="auto"/>
                      <w:szCs w:val="21"/>
                      <w:lang w:val="en-US" w:eastAsia="zh-CN"/>
                    </w:rPr>
                    <w:t>除尘器收集的粉尘</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4.2816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0"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外加剂B</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177.232</w:t>
                  </w:r>
                </w:p>
              </w:tc>
              <w:tc>
                <w:tcPr>
                  <w:tcW w:w="490" w:type="pct"/>
                  <w:vMerge w:val="continue"/>
                  <w:vAlign w:val="center"/>
                </w:tcPr>
                <w:p>
                  <w:pPr>
                    <w:contextualSpacing/>
                    <w:jc w:val="center"/>
                    <w:rPr>
                      <w:rFonts w:hint="eastAsia"/>
                      <w:color w:val="auto"/>
                      <w:szCs w:val="21"/>
                      <w:lang w:val="en-US" w:eastAsia="zh-CN"/>
                    </w:rPr>
                  </w:pP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0"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外加剂C</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5.02625</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6"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砂石</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39.679</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0"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除尘器收集的粉尘</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4.2816</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0"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12.5</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zh-TW"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0"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2516.7862</w:t>
                  </w:r>
                </w:p>
              </w:tc>
              <w:tc>
                <w:tcPr>
                  <w:tcW w:w="490" w:type="pct"/>
                  <w:vAlign w:val="center"/>
                </w:tcPr>
                <w:p>
                  <w:pPr>
                    <w:contextualSpacing/>
                    <w:jc w:val="center"/>
                    <w:rPr>
                      <w:rFonts w:hint="default"/>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2516.7862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0" w:hRule="atLeast"/>
              </w:trPr>
              <w:tc>
                <w:tcPr>
                  <w:tcW w:w="5000" w:type="pct"/>
                  <w:gridSpan w:val="5"/>
                  <w:vAlign w:val="center"/>
                </w:tcPr>
                <w:p>
                  <w:pPr>
                    <w:jc w:val="center"/>
                    <w:rPr>
                      <w:rFonts w:hint="eastAsia"/>
                      <w:color w:val="auto"/>
                      <w:szCs w:val="21"/>
                    </w:rPr>
                  </w:pPr>
                  <w:r>
                    <w:rPr>
                      <w:rFonts w:hint="eastAsia"/>
                      <w:b/>
                      <w:bCs/>
                      <w:color w:val="auto"/>
                      <w:szCs w:val="21"/>
                      <w:lang w:eastAsia="zh-CN"/>
                    </w:rPr>
                    <w:t>双组分无机加固材料B料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41"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硫铝酸盐水泥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691.51735</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产品</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双组分无机加固材料B料</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2500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41"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普通硅酸盐水泥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1662.435</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废气</w:t>
                  </w:r>
                </w:p>
              </w:tc>
              <w:tc>
                <w:tcPr>
                  <w:tcW w:w="1562" w:type="pct"/>
                  <w:vAlign w:val="center"/>
                </w:tcPr>
                <w:p>
                  <w:pPr>
                    <w:contextualSpacing/>
                    <w:jc w:val="center"/>
                    <w:rPr>
                      <w:rFonts w:hint="eastAsia"/>
                      <w:color w:val="auto"/>
                      <w:szCs w:val="21"/>
                      <w:lang w:val="en-US" w:eastAsia="zh-CN"/>
                    </w:rPr>
                  </w:pPr>
                  <w:r>
                    <w:rPr>
                      <w:rFonts w:hint="eastAsia"/>
                      <w:color w:val="auto"/>
                      <w:szCs w:val="21"/>
                      <w:lang w:val="zh-TW" w:eastAsia="zh-CN"/>
                    </w:rPr>
                    <w:t>废气排放粉尘量</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0.0046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41"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外加剂A</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21.36</w:t>
                  </w:r>
                </w:p>
              </w:tc>
              <w:tc>
                <w:tcPr>
                  <w:tcW w:w="490" w:type="pct"/>
                  <w:vMerge w:val="restart"/>
                  <w:vAlign w:val="center"/>
                </w:tcPr>
                <w:p>
                  <w:pPr>
                    <w:contextualSpacing/>
                    <w:jc w:val="center"/>
                    <w:rPr>
                      <w:rFonts w:hint="eastAsia"/>
                      <w:color w:val="auto"/>
                      <w:szCs w:val="21"/>
                      <w:lang w:val="en-US" w:eastAsia="zh-CN"/>
                    </w:rPr>
                  </w:pPr>
                  <w:r>
                    <w:rPr>
                      <w:rFonts w:hint="eastAsia"/>
                      <w:color w:val="auto"/>
                      <w:szCs w:val="21"/>
                      <w:lang w:val="en-US" w:eastAsia="zh-CN"/>
                    </w:rPr>
                    <w:t>固废</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除尘器收集的粉尘</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4.2816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41"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外加剂C</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5.02625</w:t>
                  </w:r>
                </w:p>
              </w:tc>
              <w:tc>
                <w:tcPr>
                  <w:tcW w:w="490" w:type="pct"/>
                  <w:vMerge w:val="continue"/>
                  <w:vAlign w:val="center"/>
                </w:tcPr>
                <w:p>
                  <w:pPr>
                    <w:contextualSpacing/>
                    <w:jc w:val="center"/>
                    <w:rPr>
                      <w:rFonts w:hint="eastAsia"/>
                      <w:color w:val="auto"/>
                      <w:szCs w:val="21"/>
                      <w:lang w:val="en-US" w:eastAsia="zh-CN"/>
                    </w:rPr>
                  </w:pP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41"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石灰</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23.933</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41"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石膏</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95.733</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41"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除尘器收集的粉尘</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4.2816</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41"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12.5</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41"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2516.7862</w:t>
                  </w:r>
                </w:p>
              </w:tc>
              <w:tc>
                <w:tcPr>
                  <w:tcW w:w="490" w:type="pct"/>
                  <w:vAlign w:val="center"/>
                </w:tcPr>
                <w:p>
                  <w:pPr>
                    <w:contextualSpacing/>
                    <w:jc w:val="center"/>
                    <w:rPr>
                      <w:rFonts w:hint="default"/>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2516.7862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5000" w:type="pct"/>
                  <w:gridSpan w:val="5"/>
                  <w:vAlign w:val="center"/>
                </w:tcPr>
                <w:p>
                  <w:pPr>
                    <w:jc w:val="center"/>
                    <w:rPr>
                      <w:b/>
                      <w:bCs/>
                      <w:color w:val="auto"/>
                      <w:szCs w:val="21"/>
                    </w:rPr>
                  </w:pPr>
                  <w:r>
                    <w:rPr>
                      <w:rFonts w:hint="eastAsia"/>
                      <w:b/>
                      <w:bCs/>
                      <w:color w:val="auto"/>
                      <w:szCs w:val="21"/>
                    </w:rPr>
                    <w:t>单组分无机加固材料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硫铝酸盐水泥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2377.861</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产品</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单组分无机加固材料</w:t>
                  </w:r>
                </w:p>
              </w:tc>
              <w:tc>
                <w:tcPr>
                  <w:tcW w:w="959" w:type="pct"/>
                  <w:vAlign w:val="center"/>
                </w:tcPr>
                <w:p>
                  <w:pPr>
                    <w:contextualSpacing/>
                    <w:jc w:val="center"/>
                    <w:rPr>
                      <w:rFonts w:hint="eastAsia"/>
                      <w:color w:val="auto"/>
                      <w:szCs w:val="21"/>
                      <w:lang w:val="en-US" w:eastAsia="zh-CN"/>
                    </w:rPr>
                  </w:pPr>
                  <w:r>
                    <w:rPr>
                      <w:rFonts w:hint="default"/>
                      <w:color w:val="auto"/>
                      <w:szCs w:val="21"/>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铝酸盐水泥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330.189</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废气</w:t>
                  </w:r>
                </w:p>
              </w:tc>
              <w:tc>
                <w:tcPr>
                  <w:tcW w:w="1562" w:type="pct"/>
                  <w:vAlign w:val="center"/>
                </w:tcPr>
                <w:p>
                  <w:pPr>
                    <w:contextualSpacing/>
                    <w:jc w:val="center"/>
                    <w:rPr>
                      <w:rFonts w:hint="eastAsia"/>
                      <w:color w:val="auto"/>
                      <w:szCs w:val="21"/>
                      <w:lang w:val="en-US" w:eastAsia="zh-CN"/>
                    </w:rPr>
                  </w:pPr>
                  <w:r>
                    <w:rPr>
                      <w:rFonts w:hint="eastAsia"/>
                      <w:color w:val="auto"/>
                      <w:szCs w:val="21"/>
                      <w:lang w:val="zh-TW" w:eastAsia="zh-CN"/>
                    </w:rPr>
                    <w:t>废气排放粉尘量</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0.0055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A</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25.632</w:t>
                  </w:r>
                </w:p>
              </w:tc>
              <w:tc>
                <w:tcPr>
                  <w:tcW w:w="490" w:type="pct"/>
                  <w:vMerge w:val="restart"/>
                  <w:vAlign w:val="center"/>
                </w:tcPr>
                <w:p>
                  <w:pPr>
                    <w:contextualSpacing/>
                    <w:jc w:val="center"/>
                    <w:rPr>
                      <w:rFonts w:hint="eastAsia"/>
                      <w:color w:val="auto"/>
                      <w:szCs w:val="21"/>
                      <w:lang w:val="en-US" w:eastAsia="zh-CN"/>
                    </w:rPr>
                  </w:pPr>
                  <w:r>
                    <w:rPr>
                      <w:rFonts w:hint="eastAsia"/>
                      <w:color w:val="auto"/>
                      <w:szCs w:val="21"/>
                      <w:lang w:val="en-US" w:eastAsia="zh-CN"/>
                    </w:rPr>
                    <w:t>固废</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除尘器收集的粉尘</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5.1379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B</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212.678</w:t>
                  </w:r>
                </w:p>
              </w:tc>
              <w:tc>
                <w:tcPr>
                  <w:tcW w:w="490" w:type="pct"/>
                  <w:vMerge w:val="continue"/>
                  <w:vAlign w:val="center"/>
                </w:tcPr>
                <w:p>
                  <w:pPr>
                    <w:contextualSpacing/>
                    <w:jc w:val="center"/>
                    <w:rPr>
                      <w:rFonts w:hint="eastAsia"/>
                      <w:color w:val="auto"/>
                      <w:szCs w:val="21"/>
                      <w:lang w:val="en-US" w:eastAsia="zh-CN"/>
                    </w:rPr>
                  </w:pP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C</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6.0315</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砂石</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47.614</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除尘器收集的粉尘</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5.1379</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15</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3020.1434</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3020.1434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5000" w:type="pct"/>
                  <w:gridSpan w:val="5"/>
                  <w:vAlign w:val="center"/>
                </w:tcPr>
                <w:p>
                  <w:pPr>
                    <w:jc w:val="center"/>
                    <w:rPr>
                      <w:b/>
                      <w:bCs/>
                      <w:color w:val="auto"/>
                      <w:szCs w:val="21"/>
                    </w:rPr>
                  </w:pPr>
                  <w:r>
                    <w:rPr>
                      <w:rFonts w:hint="eastAsia"/>
                      <w:b/>
                      <w:bCs/>
                      <w:color w:val="auto"/>
                      <w:szCs w:val="21"/>
                    </w:rPr>
                    <w:t>无机注浆封孔材料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硫铝酸盐水泥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1659.63813</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产品</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无机注浆封孔材料</w:t>
                  </w:r>
                </w:p>
              </w:tc>
              <w:tc>
                <w:tcPr>
                  <w:tcW w:w="959" w:type="pct"/>
                  <w:vAlign w:val="center"/>
                </w:tcPr>
                <w:p>
                  <w:pPr>
                    <w:contextualSpacing/>
                    <w:jc w:val="center"/>
                    <w:rPr>
                      <w:rFonts w:hint="eastAsia"/>
                      <w:color w:val="auto"/>
                      <w:szCs w:val="21"/>
                      <w:lang w:val="en-US" w:eastAsia="zh-CN"/>
                    </w:rPr>
                  </w:pPr>
                  <w:r>
                    <w:rPr>
                      <w:rFonts w:hint="default"/>
                      <w:color w:val="auto"/>
                      <w:szCs w:val="21"/>
                      <w:lang w:val="en-US" w:eastAsia="zh-CN"/>
                    </w:rPr>
                    <w:t>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普通硅酸盐水泥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3989.84387</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废气</w:t>
                  </w:r>
                </w:p>
              </w:tc>
              <w:tc>
                <w:tcPr>
                  <w:tcW w:w="1562" w:type="pct"/>
                  <w:vAlign w:val="center"/>
                </w:tcPr>
                <w:p>
                  <w:pPr>
                    <w:contextualSpacing/>
                    <w:jc w:val="center"/>
                    <w:rPr>
                      <w:rFonts w:hint="eastAsia"/>
                      <w:color w:val="auto"/>
                      <w:szCs w:val="21"/>
                      <w:lang w:val="zh-TW" w:eastAsia="zh-CN"/>
                    </w:rPr>
                  </w:pPr>
                  <w:r>
                    <w:rPr>
                      <w:rFonts w:hint="eastAsia"/>
                      <w:color w:val="auto"/>
                      <w:szCs w:val="21"/>
                      <w:lang w:val="zh-TW" w:eastAsia="zh-CN"/>
                    </w:rPr>
                    <w:t>废气排放粉尘量</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0.011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A</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51.264</w:t>
                  </w:r>
                </w:p>
              </w:tc>
              <w:tc>
                <w:tcPr>
                  <w:tcW w:w="490" w:type="pct"/>
                  <w:vMerge w:val="restart"/>
                  <w:vAlign w:val="center"/>
                </w:tcPr>
                <w:p>
                  <w:pPr>
                    <w:contextualSpacing/>
                    <w:jc w:val="center"/>
                    <w:rPr>
                      <w:rFonts w:hint="eastAsia"/>
                      <w:color w:val="auto"/>
                      <w:szCs w:val="21"/>
                      <w:lang w:val="en-US" w:eastAsia="zh-CN"/>
                    </w:rPr>
                  </w:pPr>
                  <w:r>
                    <w:rPr>
                      <w:rFonts w:hint="eastAsia"/>
                      <w:color w:val="auto"/>
                      <w:szCs w:val="21"/>
                      <w:lang w:val="en-US" w:eastAsia="zh-CN"/>
                    </w:rPr>
                    <w:t>固废</w:t>
                  </w:r>
                </w:p>
              </w:tc>
              <w:tc>
                <w:tcPr>
                  <w:tcW w:w="1562" w:type="pct"/>
                  <w:vAlign w:val="center"/>
                </w:tcPr>
                <w:p>
                  <w:pPr>
                    <w:contextualSpacing/>
                    <w:jc w:val="center"/>
                    <w:rPr>
                      <w:rFonts w:hint="eastAsia"/>
                      <w:color w:val="auto"/>
                      <w:szCs w:val="21"/>
                      <w:lang w:val="zh-TW" w:eastAsia="zh-CN"/>
                    </w:rPr>
                  </w:pPr>
                  <w:r>
                    <w:rPr>
                      <w:rFonts w:hint="eastAsia"/>
                      <w:color w:val="auto"/>
                      <w:szCs w:val="21"/>
                      <w:lang w:val="en-US" w:eastAsia="zh-CN"/>
                    </w:rPr>
                    <w:t>除尘器收集的粉尘</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10.2759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C</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12.063</w:t>
                  </w:r>
                </w:p>
              </w:tc>
              <w:tc>
                <w:tcPr>
                  <w:tcW w:w="490" w:type="pct"/>
                  <w:vMerge w:val="continue"/>
                  <w:vAlign w:val="center"/>
                </w:tcPr>
                <w:p>
                  <w:pPr>
                    <w:contextualSpacing/>
                    <w:jc w:val="center"/>
                    <w:rPr>
                      <w:rFonts w:hint="eastAsia"/>
                      <w:color w:val="auto"/>
                      <w:szCs w:val="21"/>
                      <w:lang w:val="en-US" w:eastAsia="zh-CN"/>
                    </w:rPr>
                  </w:pP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石灰</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57.441</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石膏</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229.761</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除尘器收集的粉尘</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10.2759</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30</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6040.2869</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6040.2869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5000" w:type="pct"/>
                  <w:gridSpan w:val="5"/>
                  <w:vAlign w:val="center"/>
                </w:tcPr>
                <w:p>
                  <w:pPr>
                    <w:jc w:val="center"/>
                    <w:rPr>
                      <w:color w:val="auto"/>
                      <w:szCs w:val="21"/>
                    </w:rPr>
                  </w:pPr>
                  <w:r>
                    <w:rPr>
                      <w:rFonts w:hint="eastAsia"/>
                      <w:b/>
                      <w:bCs/>
                      <w:color w:val="auto"/>
                      <w:szCs w:val="21"/>
                    </w:rPr>
                    <w:t>高水充填材料</w:t>
                  </w:r>
                  <w:r>
                    <w:rPr>
                      <w:rFonts w:hint="eastAsia"/>
                      <w:b/>
                      <w:bCs/>
                      <w:color w:val="auto"/>
                      <w:szCs w:val="21"/>
                      <w:lang w:val="en-US" w:eastAsia="zh-CN"/>
                    </w:rPr>
                    <w:t>A料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硫铝酸盐水泥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792.6193</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产品</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高水充填材料A料</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铝酸盐水泥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110.063</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废气</w:t>
                  </w:r>
                </w:p>
              </w:tc>
              <w:tc>
                <w:tcPr>
                  <w:tcW w:w="1562" w:type="pct"/>
                  <w:vAlign w:val="center"/>
                </w:tcPr>
                <w:p>
                  <w:pPr>
                    <w:contextualSpacing/>
                    <w:jc w:val="center"/>
                    <w:rPr>
                      <w:rFonts w:hint="eastAsia"/>
                      <w:color w:val="auto"/>
                      <w:szCs w:val="21"/>
                      <w:lang w:val="zh-TW" w:eastAsia="zh-CN"/>
                    </w:rPr>
                  </w:pPr>
                  <w:r>
                    <w:rPr>
                      <w:rFonts w:hint="eastAsia"/>
                      <w:color w:val="auto"/>
                      <w:szCs w:val="21"/>
                      <w:lang w:val="zh-TW" w:eastAsia="zh-CN"/>
                    </w:rPr>
                    <w:t>废气排放粉尘量</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0.0018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A</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8.544</w:t>
                  </w:r>
                </w:p>
              </w:tc>
              <w:tc>
                <w:tcPr>
                  <w:tcW w:w="490" w:type="pct"/>
                  <w:vMerge w:val="restart"/>
                  <w:vAlign w:val="center"/>
                </w:tcPr>
                <w:p>
                  <w:pPr>
                    <w:contextualSpacing/>
                    <w:jc w:val="center"/>
                    <w:rPr>
                      <w:rFonts w:hint="eastAsia"/>
                      <w:color w:val="auto"/>
                      <w:szCs w:val="21"/>
                      <w:lang w:val="en-US" w:eastAsia="zh-CN"/>
                    </w:rPr>
                  </w:pPr>
                  <w:r>
                    <w:rPr>
                      <w:rFonts w:hint="eastAsia"/>
                      <w:color w:val="auto"/>
                      <w:szCs w:val="21"/>
                      <w:lang w:val="en-US" w:eastAsia="zh-CN"/>
                    </w:rPr>
                    <w:t>固废</w:t>
                  </w:r>
                </w:p>
              </w:tc>
              <w:tc>
                <w:tcPr>
                  <w:tcW w:w="1562" w:type="pct"/>
                  <w:vAlign w:val="center"/>
                </w:tcPr>
                <w:p>
                  <w:pPr>
                    <w:contextualSpacing/>
                    <w:jc w:val="center"/>
                    <w:rPr>
                      <w:rFonts w:hint="eastAsia"/>
                      <w:color w:val="auto"/>
                      <w:szCs w:val="21"/>
                      <w:lang w:val="zh-TW" w:eastAsia="zh-CN"/>
                    </w:rPr>
                  </w:pPr>
                  <w:r>
                    <w:rPr>
                      <w:rFonts w:hint="eastAsia"/>
                      <w:color w:val="auto"/>
                      <w:szCs w:val="21"/>
                      <w:lang w:val="en-US" w:eastAsia="zh-CN"/>
                    </w:rPr>
                    <w:t>除尘器收集的粉尘</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1.7226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B</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70.893</w:t>
                  </w:r>
                </w:p>
              </w:tc>
              <w:tc>
                <w:tcPr>
                  <w:tcW w:w="490" w:type="pct"/>
                  <w:vMerge w:val="continue"/>
                  <w:vAlign w:val="center"/>
                </w:tcPr>
                <w:p>
                  <w:pPr>
                    <w:contextualSpacing/>
                    <w:jc w:val="center"/>
                    <w:rPr>
                      <w:rFonts w:hint="eastAsia"/>
                      <w:color w:val="auto"/>
                      <w:szCs w:val="21"/>
                      <w:lang w:val="en-US" w:eastAsia="zh-CN"/>
                    </w:rPr>
                  </w:pP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C</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2.0105</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砂石</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15.872</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除尘器收集的粉尘</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1.7226</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5</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1006.7244</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1006.7244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5000" w:type="pct"/>
                  <w:gridSpan w:val="5"/>
                  <w:vAlign w:val="center"/>
                </w:tcPr>
                <w:p>
                  <w:pPr>
                    <w:jc w:val="center"/>
                    <w:rPr>
                      <w:color w:val="auto"/>
                      <w:szCs w:val="21"/>
                    </w:rPr>
                  </w:pPr>
                  <w:r>
                    <w:rPr>
                      <w:rFonts w:hint="eastAsia"/>
                      <w:b/>
                      <w:bCs/>
                      <w:color w:val="auto"/>
                      <w:szCs w:val="21"/>
                    </w:rPr>
                    <w:t>高水充填材料</w:t>
                  </w:r>
                  <w:r>
                    <w:rPr>
                      <w:rFonts w:hint="eastAsia"/>
                      <w:b/>
                      <w:bCs/>
                      <w:color w:val="auto"/>
                      <w:szCs w:val="21"/>
                      <w:lang w:val="en-US" w:eastAsia="zh-CN"/>
                    </w:rPr>
                    <w:t>B料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硫铝酸盐水泥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276.6073</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产品</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高水充填材料B料</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普通硅酸盐水泥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664.974</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废气</w:t>
                  </w:r>
                </w:p>
              </w:tc>
              <w:tc>
                <w:tcPr>
                  <w:tcW w:w="1562" w:type="pct"/>
                  <w:vAlign w:val="center"/>
                </w:tcPr>
                <w:p>
                  <w:pPr>
                    <w:contextualSpacing/>
                    <w:jc w:val="center"/>
                    <w:rPr>
                      <w:rFonts w:hint="eastAsia"/>
                      <w:color w:val="auto"/>
                      <w:szCs w:val="21"/>
                      <w:lang w:val="zh-TW" w:eastAsia="zh-CN"/>
                    </w:rPr>
                  </w:pPr>
                  <w:r>
                    <w:rPr>
                      <w:rFonts w:hint="eastAsia"/>
                      <w:color w:val="auto"/>
                      <w:szCs w:val="21"/>
                      <w:lang w:val="zh-TW" w:eastAsia="zh-CN"/>
                    </w:rPr>
                    <w:t>废气排放粉尘量</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0.0018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A</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8.544</w:t>
                  </w:r>
                </w:p>
              </w:tc>
              <w:tc>
                <w:tcPr>
                  <w:tcW w:w="490" w:type="pct"/>
                  <w:vMerge w:val="restart"/>
                  <w:vAlign w:val="center"/>
                </w:tcPr>
                <w:p>
                  <w:pPr>
                    <w:contextualSpacing/>
                    <w:jc w:val="center"/>
                    <w:rPr>
                      <w:rFonts w:hint="eastAsia"/>
                      <w:color w:val="auto"/>
                      <w:szCs w:val="21"/>
                      <w:lang w:val="en-US" w:eastAsia="zh-CN"/>
                    </w:rPr>
                  </w:pPr>
                  <w:r>
                    <w:rPr>
                      <w:rFonts w:hint="eastAsia"/>
                      <w:color w:val="auto"/>
                      <w:szCs w:val="21"/>
                      <w:lang w:val="en-US" w:eastAsia="zh-CN"/>
                    </w:rPr>
                    <w:t>固废</w:t>
                  </w:r>
                </w:p>
              </w:tc>
              <w:tc>
                <w:tcPr>
                  <w:tcW w:w="1562" w:type="pct"/>
                  <w:vAlign w:val="center"/>
                </w:tcPr>
                <w:p>
                  <w:pPr>
                    <w:contextualSpacing/>
                    <w:jc w:val="center"/>
                    <w:rPr>
                      <w:rFonts w:hint="eastAsia"/>
                      <w:color w:val="auto"/>
                      <w:szCs w:val="21"/>
                      <w:lang w:val="zh-TW" w:eastAsia="zh-CN"/>
                    </w:rPr>
                  </w:pPr>
                  <w:r>
                    <w:rPr>
                      <w:rFonts w:hint="eastAsia"/>
                      <w:color w:val="auto"/>
                      <w:szCs w:val="21"/>
                      <w:lang w:val="en-US" w:eastAsia="zh-CN"/>
                    </w:rPr>
                    <w:t>除尘器收集的粉尘</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1.7226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C</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2.0105</w:t>
                  </w:r>
                </w:p>
              </w:tc>
              <w:tc>
                <w:tcPr>
                  <w:tcW w:w="490" w:type="pct"/>
                  <w:vMerge w:val="continue"/>
                  <w:vAlign w:val="center"/>
                </w:tcPr>
                <w:p>
                  <w:pPr>
                    <w:contextualSpacing/>
                    <w:jc w:val="center"/>
                    <w:rPr>
                      <w:rFonts w:hint="eastAsia"/>
                      <w:color w:val="auto"/>
                      <w:szCs w:val="21"/>
                      <w:lang w:val="en-US" w:eastAsia="zh-CN"/>
                    </w:rPr>
                  </w:pP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石灰</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9.573</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除尘器收集的粉尘</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1.7226</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5</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石膏</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38.293</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1006.7244</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1006.7244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5000" w:type="pct"/>
                  <w:gridSpan w:val="5"/>
                  <w:vAlign w:val="center"/>
                </w:tcPr>
                <w:p>
                  <w:pPr>
                    <w:jc w:val="center"/>
                    <w:rPr>
                      <w:color w:val="auto"/>
                      <w:szCs w:val="21"/>
                    </w:rPr>
                  </w:pPr>
                  <w:r>
                    <w:rPr>
                      <w:rFonts w:hint="eastAsia"/>
                      <w:b/>
                      <w:bCs/>
                      <w:color w:val="auto"/>
                      <w:szCs w:val="21"/>
                    </w:rPr>
                    <w:t>无机快速修补材料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硫铝酸盐水泥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1593.78497</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产品</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无机快速修补材料</w:t>
                  </w:r>
                </w:p>
              </w:tc>
              <w:tc>
                <w:tcPr>
                  <w:tcW w:w="959" w:type="pct"/>
                  <w:vAlign w:val="center"/>
                </w:tcPr>
                <w:p>
                  <w:pPr>
                    <w:contextualSpacing/>
                    <w:jc w:val="center"/>
                    <w:rPr>
                      <w:rFonts w:hint="eastAsia"/>
                      <w:color w:val="auto"/>
                      <w:szCs w:val="21"/>
                      <w:lang w:val="en-US" w:eastAsia="zh-CN"/>
                    </w:rPr>
                  </w:pPr>
                  <w:r>
                    <w:rPr>
                      <w:rFonts w:hint="default"/>
                      <w:color w:val="auto"/>
                      <w:szCs w:val="21"/>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铝酸盐水泥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220.127</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废气</w:t>
                  </w:r>
                </w:p>
              </w:tc>
              <w:tc>
                <w:tcPr>
                  <w:tcW w:w="1562" w:type="pct"/>
                  <w:vAlign w:val="center"/>
                </w:tcPr>
                <w:p>
                  <w:pPr>
                    <w:contextualSpacing/>
                    <w:jc w:val="center"/>
                    <w:rPr>
                      <w:rFonts w:hint="eastAsia"/>
                      <w:color w:val="auto"/>
                      <w:szCs w:val="21"/>
                      <w:lang w:val="zh-TW" w:eastAsia="zh-CN"/>
                    </w:rPr>
                  </w:pPr>
                  <w:r>
                    <w:rPr>
                      <w:rFonts w:hint="eastAsia"/>
                      <w:color w:val="auto"/>
                      <w:szCs w:val="21"/>
                      <w:lang w:val="zh-TW" w:eastAsia="zh-CN"/>
                    </w:rPr>
                    <w:t>废气排放粉尘量</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0.00397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A</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8.544</w:t>
                  </w:r>
                </w:p>
              </w:tc>
              <w:tc>
                <w:tcPr>
                  <w:tcW w:w="490" w:type="pct"/>
                  <w:vMerge w:val="restart"/>
                  <w:vAlign w:val="center"/>
                </w:tcPr>
                <w:p>
                  <w:pPr>
                    <w:contextualSpacing/>
                    <w:jc w:val="center"/>
                    <w:rPr>
                      <w:rFonts w:hint="eastAsia"/>
                      <w:color w:val="auto"/>
                      <w:szCs w:val="21"/>
                      <w:lang w:val="en-US" w:eastAsia="zh-CN"/>
                    </w:rPr>
                  </w:pPr>
                  <w:r>
                    <w:rPr>
                      <w:rFonts w:hint="eastAsia"/>
                      <w:color w:val="auto"/>
                      <w:szCs w:val="21"/>
                      <w:lang w:val="en-US" w:eastAsia="zh-CN"/>
                    </w:rPr>
                    <w:t>固废</w:t>
                  </w:r>
                </w:p>
              </w:tc>
              <w:tc>
                <w:tcPr>
                  <w:tcW w:w="1562" w:type="pct"/>
                  <w:vAlign w:val="center"/>
                </w:tcPr>
                <w:p>
                  <w:pPr>
                    <w:contextualSpacing/>
                    <w:jc w:val="center"/>
                    <w:rPr>
                      <w:rFonts w:hint="eastAsia"/>
                      <w:color w:val="auto"/>
                      <w:szCs w:val="21"/>
                      <w:lang w:val="zh-TW" w:eastAsia="zh-CN"/>
                    </w:rPr>
                  </w:pPr>
                  <w:r>
                    <w:rPr>
                      <w:rFonts w:hint="eastAsia"/>
                      <w:color w:val="auto"/>
                      <w:szCs w:val="21"/>
                      <w:lang w:val="en-US" w:eastAsia="zh-CN"/>
                    </w:rPr>
                    <w:t>除尘器收集的粉尘</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5.10653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B</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141.784</w:t>
                  </w:r>
                </w:p>
              </w:tc>
              <w:tc>
                <w:tcPr>
                  <w:tcW w:w="490" w:type="pct"/>
                  <w:vMerge w:val="continue"/>
                  <w:vAlign w:val="center"/>
                </w:tcPr>
                <w:p>
                  <w:pPr>
                    <w:contextualSpacing/>
                    <w:jc w:val="center"/>
                    <w:rPr>
                      <w:rFonts w:hint="eastAsia"/>
                      <w:color w:val="auto"/>
                      <w:szCs w:val="21"/>
                      <w:lang w:val="en-US" w:eastAsia="zh-CN"/>
                    </w:rPr>
                  </w:pP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C</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4.021</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砂石</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31.743</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除尘器收集的粉尘</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5.10653</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10</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2015.1105</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2015.1105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5000" w:type="pct"/>
                  <w:gridSpan w:val="5"/>
                  <w:vAlign w:val="center"/>
                </w:tcPr>
                <w:p>
                  <w:pPr>
                    <w:jc w:val="center"/>
                    <w:rPr>
                      <w:color w:val="auto"/>
                      <w:szCs w:val="21"/>
                    </w:rPr>
                  </w:pPr>
                  <w:r>
                    <w:rPr>
                      <w:rFonts w:hint="eastAsia"/>
                      <w:b/>
                      <w:bCs/>
                      <w:color w:val="auto"/>
                      <w:szCs w:val="21"/>
                    </w:rPr>
                    <w:t>无机喷涂材料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硫铝酸盐水泥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268.0633</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产品</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无机喷涂材料</w:t>
                  </w:r>
                </w:p>
              </w:tc>
              <w:tc>
                <w:tcPr>
                  <w:tcW w:w="959" w:type="pct"/>
                  <w:vAlign w:val="center"/>
                </w:tcPr>
                <w:p>
                  <w:pPr>
                    <w:contextualSpacing/>
                    <w:jc w:val="center"/>
                    <w:rPr>
                      <w:rFonts w:hint="eastAsia"/>
                      <w:color w:val="auto"/>
                      <w:szCs w:val="21"/>
                      <w:lang w:val="en-US" w:eastAsia="zh-CN"/>
                    </w:rPr>
                  </w:pPr>
                  <w:r>
                    <w:rPr>
                      <w:rFonts w:hint="default"/>
                      <w:color w:val="auto"/>
                      <w:szCs w:val="21"/>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普通硅酸盐水泥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664.974</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废气</w:t>
                  </w:r>
                </w:p>
              </w:tc>
              <w:tc>
                <w:tcPr>
                  <w:tcW w:w="1562" w:type="pct"/>
                  <w:vAlign w:val="center"/>
                </w:tcPr>
                <w:p>
                  <w:pPr>
                    <w:contextualSpacing/>
                    <w:jc w:val="center"/>
                    <w:rPr>
                      <w:rFonts w:hint="eastAsia"/>
                      <w:color w:val="auto"/>
                      <w:szCs w:val="21"/>
                      <w:lang w:val="zh-TW" w:eastAsia="zh-CN"/>
                    </w:rPr>
                  </w:pPr>
                  <w:r>
                    <w:rPr>
                      <w:rFonts w:hint="eastAsia"/>
                      <w:color w:val="auto"/>
                      <w:szCs w:val="21"/>
                      <w:lang w:val="zh-TW" w:eastAsia="zh-CN"/>
                    </w:rPr>
                    <w:t>废气排放粉尘量</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0.0018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A</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17.088</w:t>
                  </w:r>
                </w:p>
              </w:tc>
              <w:tc>
                <w:tcPr>
                  <w:tcW w:w="490" w:type="pct"/>
                  <w:vMerge w:val="restart"/>
                  <w:vAlign w:val="center"/>
                </w:tcPr>
                <w:p>
                  <w:pPr>
                    <w:contextualSpacing/>
                    <w:jc w:val="center"/>
                    <w:rPr>
                      <w:rFonts w:hint="eastAsia"/>
                      <w:color w:val="auto"/>
                      <w:szCs w:val="21"/>
                      <w:lang w:val="en-US" w:eastAsia="zh-CN"/>
                    </w:rPr>
                  </w:pPr>
                  <w:r>
                    <w:rPr>
                      <w:rFonts w:hint="eastAsia"/>
                      <w:color w:val="auto"/>
                      <w:szCs w:val="21"/>
                      <w:lang w:val="en-US" w:eastAsia="zh-CN"/>
                    </w:rPr>
                    <w:t>固废</w:t>
                  </w:r>
                </w:p>
              </w:tc>
              <w:tc>
                <w:tcPr>
                  <w:tcW w:w="1562" w:type="pct"/>
                  <w:vAlign w:val="center"/>
                </w:tcPr>
                <w:p>
                  <w:pPr>
                    <w:contextualSpacing/>
                    <w:jc w:val="center"/>
                    <w:rPr>
                      <w:rFonts w:hint="eastAsia"/>
                      <w:color w:val="auto"/>
                      <w:szCs w:val="21"/>
                      <w:lang w:val="zh-TW" w:eastAsia="zh-CN"/>
                    </w:rPr>
                  </w:pPr>
                  <w:r>
                    <w:rPr>
                      <w:rFonts w:hint="eastAsia"/>
                      <w:color w:val="auto"/>
                      <w:szCs w:val="21"/>
                      <w:lang w:val="en-US" w:eastAsia="zh-CN"/>
                    </w:rPr>
                    <w:t>除尘器收集的粉尘</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1.7226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C</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2.0105</w:t>
                  </w:r>
                </w:p>
              </w:tc>
              <w:tc>
                <w:tcPr>
                  <w:tcW w:w="490" w:type="pct"/>
                  <w:vMerge w:val="continue"/>
                  <w:vAlign w:val="center"/>
                </w:tcPr>
                <w:p>
                  <w:pPr>
                    <w:contextualSpacing/>
                    <w:jc w:val="center"/>
                    <w:rPr>
                      <w:rFonts w:hint="eastAsia"/>
                      <w:color w:val="auto"/>
                      <w:szCs w:val="21"/>
                      <w:lang w:val="en-US" w:eastAsia="zh-CN"/>
                    </w:rPr>
                  </w:pP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石灰</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9.573</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石膏</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38.293</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除尘器收集的粉尘</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1.7226</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5</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1006.7244</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1006.7244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5000" w:type="pct"/>
                  <w:gridSpan w:val="5"/>
                  <w:vAlign w:val="center"/>
                </w:tcPr>
                <w:p>
                  <w:pPr>
                    <w:jc w:val="center"/>
                    <w:rPr>
                      <w:color w:val="auto"/>
                      <w:szCs w:val="21"/>
                    </w:rPr>
                  </w:pPr>
                  <w:r>
                    <w:rPr>
                      <w:rFonts w:hint="eastAsia"/>
                      <w:b/>
                      <w:bCs/>
                      <w:color w:val="auto"/>
                      <w:szCs w:val="21"/>
                    </w:rPr>
                    <w:t>无机堵水材料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硫铝酸盐水泥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792.6193</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产品</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无机堵水材料</w:t>
                  </w:r>
                </w:p>
              </w:tc>
              <w:tc>
                <w:tcPr>
                  <w:tcW w:w="959" w:type="pct"/>
                  <w:vAlign w:val="center"/>
                </w:tcPr>
                <w:p>
                  <w:pPr>
                    <w:contextualSpacing/>
                    <w:jc w:val="center"/>
                    <w:rPr>
                      <w:rFonts w:hint="eastAsia"/>
                      <w:color w:val="auto"/>
                      <w:szCs w:val="21"/>
                      <w:lang w:val="en-US" w:eastAsia="zh-CN"/>
                    </w:rPr>
                  </w:pPr>
                  <w:r>
                    <w:rPr>
                      <w:rFonts w:hint="default"/>
                      <w:color w:val="auto"/>
                      <w:szCs w:val="21"/>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铝酸盐水泥</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110.063</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废气</w:t>
                  </w:r>
                </w:p>
              </w:tc>
              <w:tc>
                <w:tcPr>
                  <w:tcW w:w="1562" w:type="pct"/>
                  <w:vAlign w:val="center"/>
                </w:tcPr>
                <w:p>
                  <w:pPr>
                    <w:contextualSpacing/>
                    <w:jc w:val="center"/>
                    <w:rPr>
                      <w:rFonts w:hint="eastAsia"/>
                      <w:color w:val="auto"/>
                      <w:szCs w:val="21"/>
                      <w:lang w:val="zh-TW" w:eastAsia="zh-CN"/>
                    </w:rPr>
                  </w:pPr>
                  <w:r>
                    <w:rPr>
                      <w:rFonts w:hint="eastAsia"/>
                      <w:color w:val="auto"/>
                      <w:szCs w:val="21"/>
                      <w:lang w:val="zh-TW" w:eastAsia="zh-CN"/>
                    </w:rPr>
                    <w:t>废气排放粉尘量</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0.0018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A</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8.544</w:t>
                  </w:r>
                </w:p>
              </w:tc>
              <w:tc>
                <w:tcPr>
                  <w:tcW w:w="490" w:type="pct"/>
                  <w:vMerge w:val="restart"/>
                  <w:vAlign w:val="center"/>
                </w:tcPr>
                <w:p>
                  <w:pPr>
                    <w:contextualSpacing/>
                    <w:jc w:val="center"/>
                    <w:rPr>
                      <w:rFonts w:hint="eastAsia"/>
                      <w:color w:val="auto"/>
                      <w:szCs w:val="21"/>
                      <w:lang w:val="en-US" w:eastAsia="zh-CN"/>
                    </w:rPr>
                  </w:pPr>
                  <w:r>
                    <w:rPr>
                      <w:rFonts w:hint="eastAsia"/>
                      <w:color w:val="auto"/>
                      <w:szCs w:val="21"/>
                      <w:lang w:val="en-US" w:eastAsia="zh-CN"/>
                    </w:rPr>
                    <w:t>固废</w:t>
                  </w:r>
                </w:p>
              </w:tc>
              <w:tc>
                <w:tcPr>
                  <w:tcW w:w="1562" w:type="pct"/>
                  <w:vAlign w:val="center"/>
                </w:tcPr>
                <w:p>
                  <w:pPr>
                    <w:contextualSpacing/>
                    <w:jc w:val="center"/>
                    <w:rPr>
                      <w:rFonts w:hint="eastAsia"/>
                      <w:color w:val="auto"/>
                      <w:szCs w:val="21"/>
                      <w:lang w:val="zh-TW" w:eastAsia="zh-CN"/>
                    </w:rPr>
                  </w:pPr>
                  <w:r>
                    <w:rPr>
                      <w:rFonts w:hint="eastAsia"/>
                      <w:color w:val="auto"/>
                      <w:szCs w:val="21"/>
                      <w:lang w:val="en-US" w:eastAsia="zh-CN"/>
                    </w:rPr>
                    <w:t>除尘器收集的粉尘</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1.7226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B</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70.893</w:t>
                  </w:r>
                </w:p>
              </w:tc>
              <w:tc>
                <w:tcPr>
                  <w:tcW w:w="490" w:type="pct"/>
                  <w:vMerge w:val="continue"/>
                  <w:vAlign w:val="center"/>
                </w:tcPr>
                <w:p>
                  <w:pPr>
                    <w:contextualSpacing/>
                    <w:jc w:val="center"/>
                    <w:rPr>
                      <w:rFonts w:hint="eastAsia"/>
                      <w:color w:val="auto"/>
                      <w:szCs w:val="21"/>
                      <w:lang w:val="en-US" w:eastAsia="zh-CN"/>
                    </w:rPr>
                  </w:pP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外加剂</w:t>
                  </w:r>
                  <w:r>
                    <w:rPr>
                      <w:rFonts w:hint="default"/>
                      <w:color w:val="auto"/>
                      <w:szCs w:val="21"/>
                      <w:lang w:val="en-US" w:eastAsia="zh-CN"/>
                    </w:rPr>
                    <w:t>C</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2.0105</w:t>
                  </w:r>
                </w:p>
              </w:tc>
              <w:tc>
                <w:tcPr>
                  <w:tcW w:w="793" w:type="dxa"/>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2528" w:type="dxa"/>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53" w:type="dxa"/>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砂石</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15.872</w:t>
                  </w:r>
                </w:p>
              </w:tc>
              <w:tc>
                <w:tcPr>
                  <w:tcW w:w="793" w:type="dxa"/>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2528" w:type="dxa"/>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53" w:type="dxa"/>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除尘器收集的粉尘</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1.7226</w:t>
                  </w:r>
                </w:p>
              </w:tc>
              <w:tc>
                <w:tcPr>
                  <w:tcW w:w="793" w:type="dxa"/>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2528" w:type="dxa"/>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53" w:type="dxa"/>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不合格品</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5</w:t>
                  </w:r>
                </w:p>
              </w:tc>
              <w:tc>
                <w:tcPr>
                  <w:tcW w:w="793" w:type="dxa"/>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2528" w:type="dxa"/>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53" w:type="dxa"/>
                  <w:vAlign w:val="center"/>
                </w:tcPr>
                <w:p>
                  <w:pPr>
                    <w:contextualSpacing/>
                    <w:jc w:val="center"/>
                    <w:rPr>
                      <w:rFonts w:hint="eastAsia"/>
                      <w:color w:val="auto"/>
                      <w:szCs w:val="21"/>
                      <w:lang w:val="en-US" w:eastAsia="zh-CN"/>
                    </w:rPr>
                  </w:pPr>
                  <w:r>
                    <w:rPr>
                      <w:rFonts w:hint="eastAsia"/>
                      <w:color w:val="auto"/>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787" w:type="pct"/>
                  <w:vAlign w:val="center"/>
                </w:tcPr>
                <w:p>
                  <w:pPr>
                    <w:contextualSpacing/>
                    <w:jc w:val="center"/>
                    <w:rPr>
                      <w:rFonts w:hint="eastAsia"/>
                      <w:color w:val="auto"/>
                      <w:szCs w:val="21"/>
                      <w:lang w:val="en-US" w:eastAsia="zh-CN"/>
                    </w:rPr>
                  </w:pPr>
                  <w:r>
                    <w:rPr>
                      <w:rFonts w:hint="eastAsia"/>
                      <w:color w:val="auto"/>
                      <w:szCs w:val="21"/>
                      <w:lang w:val="en-US" w:eastAsia="zh-CN"/>
                    </w:rPr>
                    <w:t>1006.7244</w:t>
                  </w:r>
                </w:p>
              </w:tc>
              <w:tc>
                <w:tcPr>
                  <w:tcW w:w="490" w:type="pct"/>
                  <w:vAlign w:val="center"/>
                </w:tcPr>
                <w:p>
                  <w:pPr>
                    <w:contextualSpacing/>
                    <w:jc w:val="center"/>
                    <w:rPr>
                      <w:rFonts w:hint="eastAsia"/>
                      <w:color w:val="auto"/>
                      <w:szCs w:val="21"/>
                      <w:lang w:val="en-US" w:eastAsia="zh-CN"/>
                    </w:rPr>
                  </w:pPr>
                  <w:r>
                    <w:rPr>
                      <w:rFonts w:hint="eastAsia"/>
                      <w:color w:val="auto"/>
                      <w:szCs w:val="21"/>
                      <w:lang w:val="en-US" w:eastAsia="zh-CN"/>
                    </w:rPr>
                    <w:t>/</w:t>
                  </w:r>
                </w:p>
              </w:tc>
              <w:tc>
                <w:tcPr>
                  <w:tcW w:w="1562" w:type="pct"/>
                  <w:vAlign w:val="center"/>
                </w:tcPr>
                <w:p>
                  <w:pPr>
                    <w:contextualSpacing/>
                    <w:jc w:val="center"/>
                    <w:rPr>
                      <w:rFonts w:hint="eastAsia"/>
                      <w:color w:val="auto"/>
                      <w:szCs w:val="21"/>
                      <w:lang w:val="en-US" w:eastAsia="zh-CN"/>
                    </w:rPr>
                  </w:pPr>
                  <w:r>
                    <w:rPr>
                      <w:rFonts w:hint="eastAsia"/>
                      <w:color w:val="auto"/>
                      <w:szCs w:val="21"/>
                      <w:lang w:val="en-US" w:eastAsia="zh-CN"/>
                    </w:rPr>
                    <w:t>小计：</w:t>
                  </w:r>
                </w:p>
              </w:tc>
              <w:tc>
                <w:tcPr>
                  <w:tcW w:w="959" w:type="pct"/>
                  <w:vAlign w:val="center"/>
                </w:tcPr>
                <w:p>
                  <w:pPr>
                    <w:contextualSpacing/>
                    <w:jc w:val="center"/>
                    <w:rPr>
                      <w:rFonts w:hint="eastAsia"/>
                      <w:color w:val="auto"/>
                      <w:szCs w:val="21"/>
                      <w:lang w:val="en-US" w:eastAsia="zh-CN"/>
                    </w:rPr>
                  </w:pPr>
                  <w:r>
                    <w:rPr>
                      <w:rFonts w:hint="eastAsia"/>
                      <w:color w:val="auto"/>
                      <w:szCs w:val="21"/>
                      <w:lang w:val="en-US" w:eastAsia="zh-CN"/>
                    </w:rPr>
                    <w:t>1006.7244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8" w:hRule="atLeast"/>
              </w:trPr>
              <w:tc>
                <w:tcPr>
                  <w:tcW w:w="1200" w:type="pct"/>
                  <w:vAlign w:val="center"/>
                </w:tcPr>
                <w:p>
                  <w:pPr>
                    <w:contextualSpacing/>
                    <w:jc w:val="center"/>
                    <w:rPr>
                      <w:rFonts w:hint="eastAsia"/>
                      <w:b/>
                      <w:bCs/>
                      <w:color w:val="auto"/>
                      <w:szCs w:val="21"/>
                      <w:lang w:val="en-US" w:eastAsia="zh-CN"/>
                    </w:rPr>
                  </w:pPr>
                  <w:r>
                    <w:rPr>
                      <w:rFonts w:hint="eastAsia"/>
                      <w:b/>
                      <w:bCs/>
                      <w:color w:val="auto"/>
                      <w:szCs w:val="21"/>
                      <w:lang w:val="en-US" w:eastAsia="zh-CN"/>
                    </w:rPr>
                    <w:t>合计</w:t>
                  </w:r>
                </w:p>
              </w:tc>
              <w:tc>
                <w:tcPr>
                  <w:tcW w:w="787" w:type="pct"/>
                  <w:vAlign w:val="center"/>
                </w:tcPr>
                <w:p>
                  <w:pPr>
                    <w:contextualSpacing/>
                    <w:jc w:val="center"/>
                    <w:rPr>
                      <w:rFonts w:hint="eastAsia"/>
                      <w:b/>
                      <w:bCs/>
                      <w:color w:val="auto"/>
                      <w:szCs w:val="21"/>
                      <w:lang w:val="en-US" w:eastAsia="zh-CN"/>
                    </w:rPr>
                  </w:pPr>
                  <w:r>
                    <w:rPr>
                      <w:rFonts w:hint="eastAsia"/>
                      <w:b/>
                      <w:bCs/>
                      <w:color w:val="auto"/>
                      <w:szCs w:val="21"/>
                      <w:lang w:val="en-US" w:eastAsia="zh-CN"/>
                    </w:rPr>
                    <w:t>20134.2736</w:t>
                  </w:r>
                </w:p>
              </w:tc>
              <w:tc>
                <w:tcPr>
                  <w:tcW w:w="490" w:type="pct"/>
                  <w:vAlign w:val="center"/>
                </w:tcPr>
                <w:p>
                  <w:pPr>
                    <w:contextualSpacing/>
                    <w:jc w:val="center"/>
                    <w:rPr>
                      <w:rFonts w:hint="eastAsia"/>
                      <w:b/>
                      <w:bCs/>
                      <w:color w:val="auto"/>
                      <w:szCs w:val="21"/>
                      <w:lang w:val="en-US" w:eastAsia="zh-CN"/>
                    </w:rPr>
                  </w:pPr>
                  <w:r>
                    <w:rPr>
                      <w:rFonts w:hint="eastAsia"/>
                      <w:b/>
                      <w:bCs/>
                      <w:color w:val="auto"/>
                      <w:szCs w:val="21"/>
                      <w:lang w:val="en-US" w:eastAsia="zh-CN"/>
                    </w:rPr>
                    <w:t>/</w:t>
                  </w:r>
                </w:p>
              </w:tc>
              <w:tc>
                <w:tcPr>
                  <w:tcW w:w="1562" w:type="pct"/>
                  <w:vAlign w:val="center"/>
                </w:tcPr>
                <w:p>
                  <w:pPr>
                    <w:contextualSpacing/>
                    <w:jc w:val="center"/>
                    <w:rPr>
                      <w:rFonts w:hint="eastAsia"/>
                      <w:b/>
                      <w:bCs/>
                      <w:color w:val="auto"/>
                      <w:szCs w:val="21"/>
                      <w:lang w:val="en-US" w:eastAsia="zh-CN"/>
                    </w:rPr>
                  </w:pPr>
                  <w:r>
                    <w:rPr>
                      <w:rFonts w:hint="eastAsia"/>
                      <w:b/>
                      <w:bCs/>
                      <w:color w:val="auto"/>
                      <w:szCs w:val="21"/>
                      <w:lang w:val="en-US" w:eastAsia="zh-CN"/>
                    </w:rPr>
                    <w:t>合计</w:t>
                  </w:r>
                </w:p>
              </w:tc>
              <w:tc>
                <w:tcPr>
                  <w:tcW w:w="959" w:type="pct"/>
                  <w:vAlign w:val="center"/>
                </w:tcPr>
                <w:p>
                  <w:pPr>
                    <w:contextualSpacing/>
                    <w:jc w:val="center"/>
                    <w:rPr>
                      <w:rFonts w:hint="eastAsia"/>
                      <w:b/>
                      <w:bCs/>
                      <w:color w:val="auto"/>
                      <w:szCs w:val="21"/>
                      <w:lang w:val="en-US" w:eastAsia="zh-CN"/>
                    </w:rPr>
                  </w:pPr>
                  <w:r>
                    <w:rPr>
                      <w:rFonts w:hint="eastAsia"/>
                      <w:b/>
                      <w:bCs/>
                      <w:color w:val="auto"/>
                      <w:szCs w:val="21"/>
                      <w:lang w:val="en-US" w:eastAsia="zh-CN"/>
                    </w:rPr>
                    <w:t>20134.2736</w:t>
                  </w:r>
                </w:p>
              </w:tc>
            </w:tr>
          </w:tbl>
          <w:p>
            <w:pPr>
              <w:spacing w:before="120" w:beforeLines="50" w:line="360" w:lineRule="auto"/>
              <w:ind w:firstLine="482" w:firstLineChars="200"/>
              <w:jc w:val="left"/>
              <w:rPr>
                <w:b/>
                <w:color w:val="auto"/>
                <w:sz w:val="24"/>
              </w:rPr>
            </w:pPr>
            <w:r>
              <w:rPr>
                <w:rFonts w:hint="eastAsia"/>
                <w:b/>
                <w:color w:val="auto"/>
                <w:sz w:val="24"/>
              </w:rPr>
              <w:t>6、</w:t>
            </w:r>
            <w:r>
              <w:rPr>
                <w:b/>
                <w:color w:val="auto"/>
                <w:sz w:val="24"/>
              </w:rPr>
              <w:t>主要生产设备</w:t>
            </w:r>
          </w:p>
          <w:p>
            <w:pPr>
              <w:spacing w:line="360" w:lineRule="auto"/>
              <w:ind w:firstLine="480" w:firstLineChars="200"/>
              <w:jc w:val="left"/>
              <w:rPr>
                <w:color w:val="auto"/>
                <w:sz w:val="24"/>
              </w:rPr>
            </w:pPr>
            <w:r>
              <w:rPr>
                <w:color w:val="auto"/>
                <w:sz w:val="24"/>
              </w:rPr>
              <w:t>项目</w:t>
            </w:r>
            <w:r>
              <w:rPr>
                <w:rFonts w:hint="eastAsia"/>
                <w:color w:val="auto"/>
                <w:sz w:val="24"/>
              </w:rPr>
              <w:t>原料及产品运输车辆依托社会资源，</w:t>
            </w:r>
            <w:r>
              <w:rPr>
                <w:snapToGrid w:val="0"/>
                <w:color w:val="auto"/>
                <w:sz w:val="24"/>
              </w:rPr>
              <w:t>生产过程中涉及使用的主要设备情况见表2-6</w:t>
            </w:r>
            <w:r>
              <w:rPr>
                <w:color w:val="auto"/>
                <w:sz w:val="24"/>
              </w:rPr>
              <w:t>。</w:t>
            </w:r>
          </w:p>
          <w:p>
            <w:pPr>
              <w:jc w:val="center"/>
              <w:rPr>
                <w:b/>
                <w:color w:val="auto"/>
                <w:sz w:val="24"/>
              </w:rPr>
            </w:pPr>
            <w:r>
              <w:rPr>
                <w:b/>
                <w:color w:val="auto"/>
                <w:sz w:val="24"/>
              </w:rPr>
              <w:t>表</w:t>
            </w:r>
            <w:r>
              <w:rPr>
                <w:rFonts w:hint="eastAsia"/>
                <w:b/>
                <w:color w:val="auto"/>
                <w:sz w:val="24"/>
              </w:rPr>
              <w:t>2-6</w:t>
            </w:r>
            <w:r>
              <w:rPr>
                <w:b/>
                <w:color w:val="auto"/>
                <w:sz w:val="24"/>
              </w:rPr>
              <w:t xml:space="preserve">   项目设备情况一览表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60"/>
              <w:gridCol w:w="1900"/>
              <w:gridCol w:w="1228"/>
              <w:gridCol w:w="980"/>
              <w:gridCol w:w="705"/>
              <w:gridCol w:w="565"/>
              <w:gridCol w:w="21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7" w:type="pct"/>
                  <w:shd w:val="clear" w:color="auto" w:fill="auto"/>
                  <w:noWrap/>
                  <w:vAlign w:val="center"/>
                </w:tcPr>
                <w:p>
                  <w:pPr>
                    <w:widowControl/>
                    <w:spacing w:line="320" w:lineRule="exact"/>
                    <w:jc w:val="center"/>
                    <w:rPr>
                      <w:color w:val="auto"/>
                      <w:kern w:val="0"/>
                      <w:szCs w:val="21"/>
                    </w:rPr>
                  </w:pPr>
                  <w:r>
                    <w:rPr>
                      <w:rFonts w:hAnsi="宋体"/>
                      <w:color w:val="auto"/>
                      <w:kern w:val="0"/>
                      <w:szCs w:val="21"/>
                    </w:rPr>
                    <w:t>序号</w:t>
                  </w:r>
                </w:p>
              </w:tc>
              <w:tc>
                <w:tcPr>
                  <w:tcW w:w="1169" w:type="pct"/>
                  <w:shd w:val="clear" w:color="auto" w:fill="auto"/>
                  <w:noWrap/>
                  <w:vAlign w:val="center"/>
                </w:tcPr>
                <w:p>
                  <w:pPr>
                    <w:widowControl/>
                    <w:spacing w:line="320" w:lineRule="exact"/>
                    <w:jc w:val="center"/>
                    <w:rPr>
                      <w:color w:val="auto"/>
                      <w:kern w:val="0"/>
                      <w:szCs w:val="21"/>
                    </w:rPr>
                  </w:pPr>
                  <w:r>
                    <w:rPr>
                      <w:rFonts w:hAnsi="宋体"/>
                      <w:color w:val="auto"/>
                      <w:kern w:val="0"/>
                      <w:szCs w:val="21"/>
                    </w:rPr>
                    <w:t>设备名称</w:t>
                  </w:r>
                </w:p>
              </w:tc>
              <w:tc>
                <w:tcPr>
                  <w:tcW w:w="760" w:type="pct"/>
                  <w:shd w:val="clear" w:color="auto" w:fill="auto"/>
                  <w:noWrap/>
                  <w:vAlign w:val="center"/>
                </w:tcPr>
                <w:p>
                  <w:pPr>
                    <w:widowControl/>
                    <w:spacing w:line="320" w:lineRule="exact"/>
                    <w:jc w:val="center"/>
                    <w:rPr>
                      <w:color w:val="auto"/>
                      <w:kern w:val="0"/>
                      <w:szCs w:val="21"/>
                    </w:rPr>
                  </w:pPr>
                  <w:r>
                    <w:rPr>
                      <w:rFonts w:hint="eastAsia"/>
                      <w:color w:val="auto"/>
                      <w:kern w:val="0"/>
                      <w:szCs w:val="21"/>
                    </w:rPr>
                    <w:t>型号规格</w:t>
                  </w:r>
                </w:p>
              </w:tc>
              <w:tc>
                <w:tcPr>
                  <w:tcW w:w="607" w:type="pct"/>
                  <w:vAlign w:val="center"/>
                </w:tcPr>
                <w:p>
                  <w:pPr>
                    <w:widowControl/>
                    <w:spacing w:line="320" w:lineRule="exact"/>
                    <w:jc w:val="center"/>
                    <w:rPr>
                      <w:rFonts w:hAnsi="宋体"/>
                      <w:color w:val="auto"/>
                      <w:kern w:val="0"/>
                      <w:szCs w:val="21"/>
                    </w:rPr>
                  </w:pPr>
                  <w:r>
                    <w:rPr>
                      <w:rFonts w:hAnsi="宋体"/>
                      <w:color w:val="auto"/>
                      <w:kern w:val="0"/>
                      <w:szCs w:val="21"/>
                    </w:rPr>
                    <w:t>材质</w:t>
                  </w:r>
                </w:p>
              </w:tc>
              <w:tc>
                <w:tcPr>
                  <w:tcW w:w="436" w:type="pct"/>
                  <w:vAlign w:val="center"/>
                </w:tcPr>
                <w:p>
                  <w:pPr>
                    <w:widowControl/>
                    <w:spacing w:line="320" w:lineRule="exact"/>
                    <w:jc w:val="center"/>
                    <w:rPr>
                      <w:color w:val="auto"/>
                      <w:kern w:val="0"/>
                      <w:szCs w:val="21"/>
                    </w:rPr>
                  </w:pPr>
                  <w:r>
                    <w:rPr>
                      <w:rFonts w:hAnsi="宋体"/>
                      <w:color w:val="auto"/>
                      <w:kern w:val="0"/>
                      <w:szCs w:val="21"/>
                    </w:rPr>
                    <w:t>单位</w:t>
                  </w:r>
                </w:p>
              </w:tc>
              <w:tc>
                <w:tcPr>
                  <w:tcW w:w="350" w:type="pct"/>
                  <w:vAlign w:val="center"/>
                </w:tcPr>
                <w:p>
                  <w:pPr>
                    <w:widowControl/>
                    <w:spacing w:line="320" w:lineRule="exact"/>
                    <w:jc w:val="center"/>
                    <w:rPr>
                      <w:color w:val="auto"/>
                      <w:kern w:val="0"/>
                      <w:szCs w:val="21"/>
                    </w:rPr>
                  </w:pPr>
                  <w:r>
                    <w:rPr>
                      <w:rFonts w:hint="eastAsia"/>
                      <w:color w:val="auto"/>
                      <w:kern w:val="0"/>
                      <w:szCs w:val="21"/>
                    </w:rPr>
                    <w:t>数量</w:t>
                  </w:r>
                </w:p>
              </w:tc>
              <w:tc>
                <w:tcPr>
                  <w:tcW w:w="1331" w:type="pct"/>
                  <w:vAlign w:val="center"/>
                </w:tcPr>
                <w:p>
                  <w:pPr>
                    <w:widowControl/>
                    <w:spacing w:line="320" w:lineRule="exact"/>
                    <w:jc w:val="center"/>
                    <w:rPr>
                      <w:color w:val="auto"/>
                      <w:kern w:val="0"/>
                      <w:szCs w:val="21"/>
                    </w:rPr>
                  </w:pPr>
                  <w:r>
                    <w:rPr>
                      <w:rFonts w:hint="eastAsia"/>
                      <w:color w:val="auto"/>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7" w:type="pct"/>
                  <w:shd w:val="clear" w:color="auto" w:fill="auto"/>
                  <w:noWrap/>
                  <w:vAlign w:val="center"/>
                </w:tcPr>
                <w:p>
                  <w:pPr>
                    <w:widowControl/>
                    <w:spacing w:line="320" w:lineRule="exact"/>
                    <w:jc w:val="center"/>
                    <w:rPr>
                      <w:color w:val="auto"/>
                      <w:kern w:val="0"/>
                      <w:szCs w:val="21"/>
                    </w:rPr>
                  </w:pPr>
                  <w:r>
                    <w:rPr>
                      <w:color w:val="auto"/>
                      <w:kern w:val="0"/>
                      <w:szCs w:val="21"/>
                    </w:rPr>
                    <w:t>1</w:t>
                  </w:r>
                </w:p>
              </w:tc>
              <w:tc>
                <w:tcPr>
                  <w:tcW w:w="1169" w:type="pct"/>
                  <w:shd w:val="clear" w:color="auto" w:fill="auto"/>
                  <w:noWrap/>
                  <w:vAlign w:val="center"/>
                </w:tcPr>
                <w:p>
                  <w:pPr>
                    <w:jc w:val="center"/>
                    <w:rPr>
                      <w:color w:val="auto"/>
                      <w:szCs w:val="21"/>
                    </w:rPr>
                  </w:pPr>
                  <w:r>
                    <w:rPr>
                      <w:color w:val="auto"/>
                      <w:szCs w:val="21"/>
                    </w:rPr>
                    <w:t>原料筒仓</w:t>
                  </w:r>
                </w:p>
              </w:tc>
              <w:tc>
                <w:tcPr>
                  <w:tcW w:w="760" w:type="pct"/>
                  <w:shd w:val="clear" w:color="auto" w:fill="auto"/>
                  <w:noWrap/>
                  <w:vAlign w:val="center"/>
                </w:tcPr>
                <w:p>
                  <w:pPr>
                    <w:jc w:val="center"/>
                    <w:rPr>
                      <w:color w:val="auto"/>
                      <w:szCs w:val="21"/>
                    </w:rPr>
                  </w:pPr>
                  <w:r>
                    <w:rPr>
                      <w:rFonts w:hint="eastAsia"/>
                      <w:color w:val="auto"/>
                      <w:szCs w:val="21"/>
                    </w:rPr>
                    <w:t>60m</w:t>
                  </w:r>
                  <w:r>
                    <w:rPr>
                      <w:rFonts w:hint="eastAsia"/>
                      <w:color w:val="auto"/>
                      <w:szCs w:val="21"/>
                      <w:vertAlign w:val="superscript"/>
                    </w:rPr>
                    <w:t>3</w:t>
                  </w:r>
                </w:p>
              </w:tc>
              <w:tc>
                <w:tcPr>
                  <w:tcW w:w="607" w:type="pct"/>
                  <w:vAlign w:val="center"/>
                </w:tcPr>
                <w:p>
                  <w:pPr>
                    <w:jc w:val="center"/>
                    <w:rPr>
                      <w:color w:val="auto"/>
                      <w:szCs w:val="21"/>
                    </w:rPr>
                  </w:pPr>
                  <w:r>
                    <w:rPr>
                      <w:color w:val="auto"/>
                      <w:szCs w:val="21"/>
                    </w:rPr>
                    <w:t>碳钢</w:t>
                  </w:r>
                </w:p>
              </w:tc>
              <w:tc>
                <w:tcPr>
                  <w:tcW w:w="436" w:type="pct"/>
                  <w:vAlign w:val="center"/>
                </w:tcPr>
                <w:p>
                  <w:pPr>
                    <w:jc w:val="center"/>
                    <w:rPr>
                      <w:color w:val="auto"/>
                      <w:szCs w:val="21"/>
                    </w:rPr>
                  </w:pPr>
                  <w:r>
                    <w:rPr>
                      <w:color w:val="auto"/>
                      <w:szCs w:val="21"/>
                    </w:rPr>
                    <w:t>台</w:t>
                  </w:r>
                </w:p>
              </w:tc>
              <w:tc>
                <w:tcPr>
                  <w:tcW w:w="350" w:type="pct"/>
                  <w:vAlign w:val="center"/>
                </w:tcPr>
                <w:p>
                  <w:pPr>
                    <w:jc w:val="center"/>
                    <w:rPr>
                      <w:color w:val="auto"/>
                      <w:szCs w:val="21"/>
                    </w:rPr>
                  </w:pPr>
                  <w:r>
                    <w:rPr>
                      <w:rFonts w:hint="eastAsia"/>
                      <w:color w:val="auto"/>
                      <w:szCs w:val="21"/>
                    </w:rPr>
                    <w:t>6</w:t>
                  </w:r>
                </w:p>
              </w:tc>
              <w:tc>
                <w:tcPr>
                  <w:tcW w:w="1331" w:type="pct"/>
                  <w:vAlign w:val="center"/>
                </w:tcPr>
                <w:p>
                  <w:pPr>
                    <w:jc w:val="center"/>
                    <w:rPr>
                      <w:color w:val="auto"/>
                      <w:szCs w:val="21"/>
                    </w:rPr>
                  </w:pPr>
                  <w:r>
                    <w:rPr>
                      <w:rFonts w:hint="eastAsia"/>
                      <w:color w:val="auto"/>
                      <w:szCs w:val="21"/>
                    </w:rPr>
                    <w:t>2个硫铝酸盐水泥筒仓、1个砂石筒仓、1个铝酸盐水泥筒仓、2个普通硅酸盐水泥筒仓（一用一备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7" w:type="pct"/>
                  <w:shd w:val="clear" w:color="auto" w:fill="auto"/>
                  <w:noWrap/>
                  <w:vAlign w:val="center"/>
                </w:tcPr>
                <w:p>
                  <w:pPr>
                    <w:widowControl/>
                    <w:spacing w:line="320" w:lineRule="exact"/>
                    <w:jc w:val="center"/>
                    <w:rPr>
                      <w:color w:val="auto"/>
                      <w:kern w:val="0"/>
                      <w:szCs w:val="21"/>
                    </w:rPr>
                  </w:pPr>
                  <w:r>
                    <w:rPr>
                      <w:color w:val="auto"/>
                      <w:kern w:val="0"/>
                      <w:szCs w:val="21"/>
                    </w:rPr>
                    <w:t>2</w:t>
                  </w:r>
                </w:p>
              </w:tc>
              <w:tc>
                <w:tcPr>
                  <w:tcW w:w="1169" w:type="pct"/>
                  <w:shd w:val="clear" w:color="auto" w:fill="auto"/>
                  <w:noWrap/>
                  <w:vAlign w:val="center"/>
                </w:tcPr>
                <w:p>
                  <w:pPr>
                    <w:jc w:val="center"/>
                    <w:rPr>
                      <w:color w:val="auto"/>
                      <w:szCs w:val="21"/>
                    </w:rPr>
                  </w:pPr>
                  <w:r>
                    <w:rPr>
                      <w:color w:val="auto"/>
                      <w:szCs w:val="21"/>
                    </w:rPr>
                    <w:t>输料系统</w:t>
                  </w:r>
                </w:p>
              </w:tc>
              <w:tc>
                <w:tcPr>
                  <w:tcW w:w="760" w:type="pct"/>
                  <w:shd w:val="clear" w:color="auto" w:fill="auto"/>
                  <w:noWrap/>
                  <w:vAlign w:val="center"/>
                </w:tcPr>
                <w:p>
                  <w:pPr>
                    <w:jc w:val="center"/>
                    <w:rPr>
                      <w:color w:val="auto"/>
                      <w:szCs w:val="21"/>
                    </w:rPr>
                  </w:pPr>
                  <w:r>
                    <w:rPr>
                      <w:color w:val="auto"/>
                      <w:szCs w:val="21"/>
                    </w:rPr>
                    <w:t>螺旋输送机</w:t>
                  </w:r>
                </w:p>
              </w:tc>
              <w:tc>
                <w:tcPr>
                  <w:tcW w:w="607" w:type="pct"/>
                  <w:vAlign w:val="center"/>
                </w:tcPr>
                <w:p>
                  <w:pPr>
                    <w:jc w:val="center"/>
                    <w:rPr>
                      <w:color w:val="auto"/>
                      <w:szCs w:val="21"/>
                    </w:rPr>
                  </w:pPr>
                  <w:r>
                    <w:rPr>
                      <w:color w:val="auto"/>
                      <w:szCs w:val="21"/>
                    </w:rPr>
                    <w:t>组合件</w:t>
                  </w:r>
                </w:p>
              </w:tc>
              <w:tc>
                <w:tcPr>
                  <w:tcW w:w="436" w:type="pct"/>
                  <w:vAlign w:val="center"/>
                </w:tcPr>
                <w:p>
                  <w:pPr>
                    <w:jc w:val="center"/>
                    <w:rPr>
                      <w:color w:val="auto"/>
                      <w:szCs w:val="21"/>
                    </w:rPr>
                  </w:pPr>
                  <w:r>
                    <w:rPr>
                      <w:color w:val="auto"/>
                      <w:szCs w:val="21"/>
                    </w:rPr>
                    <w:t>台</w:t>
                  </w:r>
                </w:p>
              </w:tc>
              <w:tc>
                <w:tcPr>
                  <w:tcW w:w="350" w:type="pct"/>
                  <w:vAlign w:val="center"/>
                </w:tcPr>
                <w:p>
                  <w:pPr>
                    <w:jc w:val="center"/>
                    <w:rPr>
                      <w:color w:val="auto"/>
                      <w:szCs w:val="21"/>
                    </w:rPr>
                  </w:pPr>
                  <w:r>
                    <w:rPr>
                      <w:rFonts w:hint="eastAsia"/>
                      <w:color w:val="auto"/>
                      <w:szCs w:val="21"/>
                    </w:rPr>
                    <w:t>6</w:t>
                  </w:r>
                </w:p>
              </w:tc>
              <w:tc>
                <w:tcPr>
                  <w:tcW w:w="1331" w:type="pct"/>
                  <w:vAlign w:val="center"/>
                </w:tcPr>
                <w:p>
                  <w:pPr>
                    <w:jc w:val="center"/>
                    <w:rPr>
                      <w:color w:val="auto"/>
                      <w:szCs w:val="21"/>
                    </w:rPr>
                  </w:pPr>
                  <w:r>
                    <w:rPr>
                      <w:rFonts w:hint="eastAsia"/>
                      <w:color w:val="auto"/>
                      <w:szCs w:val="21"/>
                    </w:rPr>
                    <w:t>与筒仓对应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7" w:type="pct"/>
                  <w:shd w:val="clear" w:color="auto" w:fill="auto"/>
                  <w:noWrap/>
                  <w:vAlign w:val="center"/>
                </w:tcPr>
                <w:p>
                  <w:pPr>
                    <w:widowControl/>
                    <w:spacing w:line="320" w:lineRule="exact"/>
                    <w:jc w:val="center"/>
                    <w:rPr>
                      <w:color w:val="auto"/>
                      <w:kern w:val="0"/>
                      <w:szCs w:val="21"/>
                    </w:rPr>
                  </w:pPr>
                  <w:r>
                    <w:rPr>
                      <w:color w:val="auto"/>
                      <w:kern w:val="0"/>
                      <w:szCs w:val="21"/>
                    </w:rPr>
                    <w:t>3</w:t>
                  </w:r>
                </w:p>
              </w:tc>
              <w:tc>
                <w:tcPr>
                  <w:tcW w:w="1169" w:type="pct"/>
                  <w:shd w:val="clear" w:color="auto" w:fill="auto"/>
                  <w:noWrap/>
                  <w:vAlign w:val="center"/>
                </w:tcPr>
                <w:p>
                  <w:pPr>
                    <w:jc w:val="center"/>
                    <w:rPr>
                      <w:color w:val="auto"/>
                      <w:szCs w:val="21"/>
                    </w:rPr>
                  </w:pPr>
                  <w:r>
                    <w:rPr>
                      <w:color w:val="auto"/>
                      <w:szCs w:val="21"/>
                    </w:rPr>
                    <w:t>辅料提升系统</w:t>
                  </w:r>
                </w:p>
              </w:tc>
              <w:tc>
                <w:tcPr>
                  <w:tcW w:w="760" w:type="pct"/>
                  <w:shd w:val="clear" w:color="auto" w:fill="auto"/>
                  <w:noWrap/>
                  <w:vAlign w:val="center"/>
                </w:tcPr>
                <w:p>
                  <w:pPr>
                    <w:jc w:val="center"/>
                    <w:rPr>
                      <w:color w:val="auto"/>
                      <w:szCs w:val="21"/>
                    </w:rPr>
                  </w:pPr>
                  <w:r>
                    <w:rPr>
                      <w:color w:val="auto"/>
                      <w:szCs w:val="21"/>
                    </w:rPr>
                    <w:t>斗式提升机</w:t>
                  </w:r>
                </w:p>
              </w:tc>
              <w:tc>
                <w:tcPr>
                  <w:tcW w:w="607" w:type="pct"/>
                  <w:vAlign w:val="center"/>
                </w:tcPr>
                <w:p>
                  <w:pPr>
                    <w:jc w:val="center"/>
                    <w:rPr>
                      <w:color w:val="auto"/>
                      <w:szCs w:val="21"/>
                    </w:rPr>
                  </w:pPr>
                  <w:r>
                    <w:rPr>
                      <w:color w:val="auto"/>
                      <w:szCs w:val="21"/>
                    </w:rPr>
                    <w:t>组合件</w:t>
                  </w:r>
                </w:p>
              </w:tc>
              <w:tc>
                <w:tcPr>
                  <w:tcW w:w="436" w:type="pct"/>
                  <w:vAlign w:val="center"/>
                </w:tcPr>
                <w:p>
                  <w:pPr>
                    <w:jc w:val="center"/>
                    <w:rPr>
                      <w:color w:val="auto"/>
                      <w:szCs w:val="21"/>
                    </w:rPr>
                  </w:pPr>
                  <w:r>
                    <w:rPr>
                      <w:color w:val="auto"/>
                      <w:szCs w:val="21"/>
                    </w:rPr>
                    <w:t>台</w:t>
                  </w:r>
                </w:p>
              </w:tc>
              <w:tc>
                <w:tcPr>
                  <w:tcW w:w="350" w:type="pct"/>
                  <w:vAlign w:val="center"/>
                </w:tcPr>
                <w:p>
                  <w:pPr>
                    <w:jc w:val="center"/>
                    <w:rPr>
                      <w:color w:val="auto"/>
                      <w:szCs w:val="21"/>
                    </w:rPr>
                  </w:pPr>
                  <w:r>
                    <w:rPr>
                      <w:rFonts w:hint="eastAsia"/>
                      <w:color w:val="auto"/>
                      <w:szCs w:val="21"/>
                    </w:rPr>
                    <w:t>1</w:t>
                  </w:r>
                </w:p>
              </w:tc>
              <w:tc>
                <w:tcPr>
                  <w:tcW w:w="1331" w:type="pct"/>
                  <w:vAlign w:val="center"/>
                </w:tcPr>
                <w:p>
                  <w:pPr>
                    <w:jc w:val="center"/>
                    <w:rPr>
                      <w:color w:val="auto"/>
                      <w:szCs w:val="21"/>
                    </w:rPr>
                  </w:pPr>
                  <w:r>
                    <w:rPr>
                      <w:rFonts w:hint="eastAsia"/>
                      <w:color w:val="auto"/>
                      <w:szCs w:val="21"/>
                    </w:rPr>
                    <w:t>用于砂石筒仓进料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7" w:type="pct"/>
                  <w:shd w:val="clear" w:color="auto" w:fill="auto"/>
                  <w:noWrap/>
                  <w:vAlign w:val="center"/>
                </w:tcPr>
                <w:p>
                  <w:pPr>
                    <w:widowControl/>
                    <w:spacing w:line="320" w:lineRule="exact"/>
                    <w:jc w:val="center"/>
                    <w:rPr>
                      <w:color w:val="auto"/>
                      <w:kern w:val="0"/>
                      <w:szCs w:val="21"/>
                    </w:rPr>
                  </w:pPr>
                  <w:r>
                    <w:rPr>
                      <w:rFonts w:hint="eastAsia"/>
                      <w:color w:val="auto"/>
                      <w:kern w:val="0"/>
                      <w:szCs w:val="21"/>
                    </w:rPr>
                    <w:t>4</w:t>
                  </w:r>
                </w:p>
              </w:tc>
              <w:tc>
                <w:tcPr>
                  <w:tcW w:w="1169" w:type="pct"/>
                  <w:shd w:val="clear" w:color="auto" w:fill="auto"/>
                  <w:noWrap/>
                  <w:vAlign w:val="center"/>
                </w:tcPr>
                <w:p>
                  <w:pPr>
                    <w:jc w:val="center"/>
                    <w:rPr>
                      <w:color w:val="auto"/>
                      <w:szCs w:val="21"/>
                    </w:rPr>
                  </w:pPr>
                  <w:r>
                    <w:rPr>
                      <w:color w:val="auto"/>
                      <w:szCs w:val="21"/>
                    </w:rPr>
                    <w:t>主料配料仓</w:t>
                  </w:r>
                </w:p>
              </w:tc>
              <w:tc>
                <w:tcPr>
                  <w:tcW w:w="760" w:type="pct"/>
                  <w:shd w:val="clear" w:color="auto" w:fill="auto"/>
                  <w:noWrap/>
                  <w:vAlign w:val="center"/>
                </w:tcPr>
                <w:p>
                  <w:pPr>
                    <w:jc w:val="center"/>
                    <w:rPr>
                      <w:color w:val="auto"/>
                      <w:szCs w:val="21"/>
                    </w:rPr>
                  </w:pPr>
                  <w:r>
                    <w:rPr>
                      <w:rFonts w:hint="eastAsia"/>
                      <w:color w:val="auto"/>
                      <w:szCs w:val="21"/>
                    </w:rPr>
                    <w:t>2m</w:t>
                  </w:r>
                  <w:r>
                    <w:rPr>
                      <w:rFonts w:hint="eastAsia"/>
                      <w:color w:val="auto"/>
                      <w:szCs w:val="21"/>
                      <w:vertAlign w:val="superscript"/>
                    </w:rPr>
                    <w:t>3</w:t>
                  </w:r>
                </w:p>
              </w:tc>
              <w:tc>
                <w:tcPr>
                  <w:tcW w:w="607" w:type="pct"/>
                  <w:vAlign w:val="center"/>
                </w:tcPr>
                <w:p>
                  <w:pPr>
                    <w:jc w:val="center"/>
                    <w:rPr>
                      <w:color w:val="auto"/>
                      <w:szCs w:val="21"/>
                    </w:rPr>
                  </w:pPr>
                  <w:r>
                    <w:rPr>
                      <w:color w:val="auto"/>
                      <w:szCs w:val="21"/>
                    </w:rPr>
                    <w:t>碳钢</w:t>
                  </w:r>
                </w:p>
              </w:tc>
              <w:tc>
                <w:tcPr>
                  <w:tcW w:w="436" w:type="pct"/>
                  <w:vAlign w:val="center"/>
                </w:tcPr>
                <w:p>
                  <w:pPr>
                    <w:jc w:val="center"/>
                    <w:rPr>
                      <w:color w:val="auto"/>
                      <w:szCs w:val="21"/>
                    </w:rPr>
                  </w:pPr>
                  <w:r>
                    <w:rPr>
                      <w:color w:val="auto"/>
                      <w:szCs w:val="21"/>
                    </w:rPr>
                    <w:t>台</w:t>
                  </w:r>
                </w:p>
              </w:tc>
              <w:tc>
                <w:tcPr>
                  <w:tcW w:w="350" w:type="pct"/>
                  <w:vAlign w:val="center"/>
                </w:tcPr>
                <w:p>
                  <w:pPr>
                    <w:jc w:val="center"/>
                    <w:rPr>
                      <w:color w:val="auto"/>
                      <w:szCs w:val="21"/>
                    </w:rPr>
                  </w:pPr>
                  <w:r>
                    <w:rPr>
                      <w:rFonts w:hint="eastAsia"/>
                      <w:color w:val="auto"/>
                      <w:szCs w:val="21"/>
                    </w:rPr>
                    <w:t>3</w:t>
                  </w:r>
                </w:p>
              </w:tc>
              <w:tc>
                <w:tcPr>
                  <w:tcW w:w="1331" w:type="pct"/>
                  <w:vAlign w:val="center"/>
                </w:tcPr>
                <w:p>
                  <w:pPr>
                    <w:jc w:val="center"/>
                    <w:rPr>
                      <w:color w:val="auto"/>
                      <w:szCs w:val="21"/>
                    </w:rPr>
                  </w:pPr>
                  <w:r>
                    <w:rPr>
                      <w:rFonts w:hint="eastAsia"/>
                      <w:color w:val="auto"/>
                      <w:szCs w:val="21"/>
                    </w:rPr>
                    <w:t>A产线水泥配料仓、B产线水泥配料仓、砂石配料仓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7" w:type="pct"/>
                  <w:shd w:val="clear" w:color="auto" w:fill="auto"/>
                  <w:noWrap/>
                  <w:vAlign w:val="center"/>
                </w:tcPr>
                <w:p>
                  <w:pPr>
                    <w:widowControl/>
                    <w:spacing w:line="320" w:lineRule="exact"/>
                    <w:jc w:val="center"/>
                    <w:rPr>
                      <w:color w:val="auto"/>
                      <w:kern w:val="0"/>
                      <w:szCs w:val="21"/>
                    </w:rPr>
                  </w:pPr>
                  <w:r>
                    <w:rPr>
                      <w:rFonts w:hint="eastAsia"/>
                      <w:color w:val="auto"/>
                      <w:kern w:val="0"/>
                      <w:szCs w:val="21"/>
                    </w:rPr>
                    <w:t>5</w:t>
                  </w:r>
                </w:p>
              </w:tc>
              <w:tc>
                <w:tcPr>
                  <w:tcW w:w="1169" w:type="pct"/>
                  <w:shd w:val="clear" w:color="auto" w:fill="auto"/>
                  <w:noWrap/>
                  <w:vAlign w:val="center"/>
                </w:tcPr>
                <w:p>
                  <w:pPr>
                    <w:jc w:val="center"/>
                    <w:rPr>
                      <w:color w:val="auto"/>
                      <w:szCs w:val="21"/>
                    </w:rPr>
                  </w:pPr>
                  <w:r>
                    <w:rPr>
                      <w:color w:val="auto"/>
                      <w:szCs w:val="21"/>
                    </w:rPr>
                    <w:t>外加剂料仓及计量、</w:t>
                  </w:r>
                </w:p>
                <w:p>
                  <w:pPr>
                    <w:jc w:val="center"/>
                    <w:rPr>
                      <w:color w:val="auto"/>
                      <w:szCs w:val="21"/>
                    </w:rPr>
                  </w:pPr>
                  <w:r>
                    <w:rPr>
                      <w:color w:val="auto"/>
                      <w:szCs w:val="21"/>
                    </w:rPr>
                    <w:t>输送系统</w:t>
                  </w:r>
                </w:p>
              </w:tc>
              <w:tc>
                <w:tcPr>
                  <w:tcW w:w="760" w:type="pct"/>
                  <w:shd w:val="clear" w:color="auto" w:fill="auto"/>
                  <w:noWrap/>
                  <w:vAlign w:val="center"/>
                </w:tcPr>
                <w:p>
                  <w:pPr>
                    <w:jc w:val="center"/>
                    <w:rPr>
                      <w:color w:val="auto"/>
                      <w:szCs w:val="21"/>
                    </w:rPr>
                  </w:pPr>
                  <w:r>
                    <w:rPr>
                      <w:rFonts w:hint="eastAsia"/>
                      <w:color w:val="auto"/>
                      <w:szCs w:val="21"/>
                    </w:rPr>
                    <w:t>1m</w:t>
                  </w:r>
                  <w:r>
                    <w:rPr>
                      <w:rFonts w:hint="eastAsia"/>
                      <w:color w:val="auto"/>
                      <w:szCs w:val="21"/>
                      <w:vertAlign w:val="superscript"/>
                    </w:rPr>
                    <w:t>3</w:t>
                  </w:r>
                </w:p>
              </w:tc>
              <w:tc>
                <w:tcPr>
                  <w:tcW w:w="607" w:type="pct"/>
                  <w:vAlign w:val="center"/>
                </w:tcPr>
                <w:p>
                  <w:pPr>
                    <w:jc w:val="center"/>
                    <w:rPr>
                      <w:color w:val="auto"/>
                      <w:szCs w:val="21"/>
                    </w:rPr>
                  </w:pPr>
                  <w:r>
                    <w:rPr>
                      <w:color w:val="auto"/>
                      <w:szCs w:val="21"/>
                    </w:rPr>
                    <w:t>组合件</w:t>
                  </w:r>
                </w:p>
              </w:tc>
              <w:tc>
                <w:tcPr>
                  <w:tcW w:w="436" w:type="pct"/>
                  <w:vAlign w:val="center"/>
                </w:tcPr>
                <w:p>
                  <w:pPr>
                    <w:jc w:val="center"/>
                    <w:rPr>
                      <w:color w:val="auto"/>
                      <w:szCs w:val="21"/>
                    </w:rPr>
                  </w:pPr>
                  <w:r>
                    <w:rPr>
                      <w:color w:val="auto"/>
                      <w:szCs w:val="21"/>
                    </w:rPr>
                    <w:t>套</w:t>
                  </w:r>
                </w:p>
              </w:tc>
              <w:tc>
                <w:tcPr>
                  <w:tcW w:w="350" w:type="pct"/>
                  <w:vAlign w:val="center"/>
                </w:tcPr>
                <w:p>
                  <w:pPr>
                    <w:jc w:val="center"/>
                    <w:rPr>
                      <w:color w:val="auto"/>
                      <w:szCs w:val="21"/>
                    </w:rPr>
                  </w:pPr>
                  <w:r>
                    <w:rPr>
                      <w:rFonts w:hint="eastAsia"/>
                      <w:color w:val="auto"/>
                      <w:szCs w:val="21"/>
                    </w:rPr>
                    <w:t>2</w:t>
                  </w:r>
                </w:p>
              </w:tc>
              <w:tc>
                <w:tcPr>
                  <w:tcW w:w="1331" w:type="pct"/>
                  <w:vAlign w:val="center"/>
                </w:tcPr>
                <w:p>
                  <w:pPr>
                    <w:jc w:val="center"/>
                    <w:rPr>
                      <w:color w:val="auto"/>
                      <w:szCs w:val="21"/>
                    </w:rPr>
                  </w:pPr>
                  <w:r>
                    <w:rPr>
                      <w:rFonts w:hint="eastAsia"/>
                      <w:color w:val="auto"/>
                      <w:szCs w:val="21"/>
                    </w:rPr>
                    <w:t>A、B产线各1套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7" w:type="pct"/>
                  <w:shd w:val="clear" w:color="auto" w:fill="auto"/>
                  <w:noWrap/>
                  <w:vAlign w:val="center"/>
                </w:tcPr>
                <w:p>
                  <w:pPr>
                    <w:widowControl/>
                    <w:spacing w:line="320" w:lineRule="exact"/>
                    <w:jc w:val="center"/>
                    <w:rPr>
                      <w:color w:val="auto"/>
                      <w:kern w:val="0"/>
                      <w:szCs w:val="21"/>
                    </w:rPr>
                  </w:pPr>
                  <w:r>
                    <w:rPr>
                      <w:rFonts w:hint="eastAsia"/>
                      <w:color w:val="auto"/>
                      <w:kern w:val="0"/>
                      <w:szCs w:val="21"/>
                    </w:rPr>
                    <w:t>6</w:t>
                  </w:r>
                </w:p>
              </w:tc>
              <w:tc>
                <w:tcPr>
                  <w:tcW w:w="1169" w:type="pct"/>
                  <w:shd w:val="clear" w:color="auto" w:fill="auto"/>
                  <w:noWrap/>
                  <w:vAlign w:val="center"/>
                </w:tcPr>
                <w:p>
                  <w:pPr>
                    <w:jc w:val="center"/>
                    <w:rPr>
                      <w:color w:val="auto"/>
                      <w:szCs w:val="21"/>
                    </w:rPr>
                  </w:pPr>
                  <w:r>
                    <w:rPr>
                      <w:color w:val="auto"/>
                      <w:szCs w:val="21"/>
                    </w:rPr>
                    <w:t>混合搅拌装置</w:t>
                  </w:r>
                </w:p>
              </w:tc>
              <w:tc>
                <w:tcPr>
                  <w:tcW w:w="760" w:type="pct"/>
                  <w:shd w:val="clear" w:color="auto" w:fill="auto"/>
                  <w:noWrap/>
                  <w:vAlign w:val="center"/>
                </w:tcPr>
                <w:p>
                  <w:pPr>
                    <w:jc w:val="center"/>
                    <w:rPr>
                      <w:color w:val="auto"/>
                      <w:szCs w:val="21"/>
                    </w:rPr>
                  </w:pPr>
                  <w:r>
                    <w:rPr>
                      <w:rFonts w:hint="eastAsia"/>
                      <w:color w:val="auto"/>
                      <w:szCs w:val="21"/>
                    </w:rPr>
                    <w:t>2m</w:t>
                  </w:r>
                  <w:r>
                    <w:rPr>
                      <w:rFonts w:hint="eastAsia"/>
                      <w:color w:val="auto"/>
                      <w:szCs w:val="21"/>
                      <w:vertAlign w:val="superscript"/>
                    </w:rPr>
                    <w:t>3</w:t>
                  </w:r>
                </w:p>
              </w:tc>
              <w:tc>
                <w:tcPr>
                  <w:tcW w:w="607" w:type="pct"/>
                  <w:vAlign w:val="center"/>
                </w:tcPr>
                <w:p>
                  <w:pPr>
                    <w:jc w:val="center"/>
                    <w:rPr>
                      <w:color w:val="auto"/>
                      <w:szCs w:val="21"/>
                    </w:rPr>
                  </w:pPr>
                  <w:r>
                    <w:rPr>
                      <w:color w:val="auto"/>
                      <w:szCs w:val="21"/>
                    </w:rPr>
                    <w:t>组合件</w:t>
                  </w:r>
                </w:p>
              </w:tc>
              <w:tc>
                <w:tcPr>
                  <w:tcW w:w="436" w:type="pct"/>
                  <w:vAlign w:val="center"/>
                </w:tcPr>
                <w:p>
                  <w:pPr>
                    <w:jc w:val="center"/>
                    <w:rPr>
                      <w:color w:val="auto"/>
                      <w:szCs w:val="21"/>
                    </w:rPr>
                  </w:pPr>
                  <w:r>
                    <w:rPr>
                      <w:color w:val="auto"/>
                      <w:szCs w:val="21"/>
                    </w:rPr>
                    <w:t>台</w:t>
                  </w:r>
                </w:p>
              </w:tc>
              <w:tc>
                <w:tcPr>
                  <w:tcW w:w="350" w:type="pct"/>
                  <w:vAlign w:val="center"/>
                </w:tcPr>
                <w:p>
                  <w:pPr>
                    <w:jc w:val="center"/>
                    <w:rPr>
                      <w:color w:val="auto"/>
                      <w:szCs w:val="21"/>
                    </w:rPr>
                  </w:pPr>
                  <w:r>
                    <w:rPr>
                      <w:rFonts w:hint="eastAsia"/>
                      <w:color w:val="auto"/>
                      <w:szCs w:val="21"/>
                    </w:rPr>
                    <w:t>2</w:t>
                  </w:r>
                </w:p>
              </w:tc>
              <w:tc>
                <w:tcPr>
                  <w:tcW w:w="1331" w:type="pct"/>
                  <w:vAlign w:val="center"/>
                </w:tcPr>
                <w:p>
                  <w:pPr>
                    <w:jc w:val="center"/>
                    <w:rPr>
                      <w:color w:val="auto"/>
                      <w:szCs w:val="21"/>
                    </w:rPr>
                  </w:pPr>
                  <w:r>
                    <w:rPr>
                      <w:rFonts w:hint="eastAsia"/>
                      <w:color w:val="auto"/>
                      <w:szCs w:val="21"/>
                    </w:rPr>
                    <w:t>A、B产线各1套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7" w:type="pct"/>
                  <w:shd w:val="clear" w:color="auto" w:fill="auto"/>
                  <w:noWrap/>
                  <w:vAlign w:val="center"/>
                </w:tcPr>
                <w:p>
                  <w:pPr>
                    <w:widowControl/>
                    <w:spacing w:line="320" w:lineRule="exact"/>
                    <w:jc w:val="center"/>
                    <w:rPr>
                      <w:color w:val="auto"/>
                      <w:kern w:val="0"/>
                      <w:szCs w:val="21"/>
                    </w:rPr>
                  </w:pPr>
                  <w:r>
                    <w:rPr>
                      <w:rFonts w:hint="eastAsia"/>
                      <w:color w:val="auto"/>
                      <w:kern w:val="0"/>
                      <w:szCs w:val="21"/>
                    </w:rPr>
                    <w:t>7</w:t>
                  </w:r>
                </w:p>
              </w:tc>
              <w:tc>
                <w:tcPr>
                  <w:tcW w:w="1169" w:type="pct"/>
                  <w:shd w:val="clear" w:color="auto" w:fill="auto"/>
                  <w:noWrap/>
                  <w:vAlign w:val="center"/>
                </w:tcPr>
                <w:p>
                  <w:pPr>
                    <w:jc w:val="center"/>
                    <w:rPr>
                      <w:color w:val="auto"/>
                      <w:szCs w:val="21"/>
                    </w:rPr>
                  </w:pPr>
                  <w:r>
                    <w:rPr>
                      <w:color w:val="auto"/>
                      <w:szCs w:val="21"/>
                    </w:rPr>
                    <w:t>成品仓</w:t>
                  </w:r>
                </w:p>
              </w:tc>
              <w:tc>
                <w:tcPr>
                  <w:tcW w:w="760" w:type="pct"/>
                  <w:shd w:val="clear" w:color="auto" w:fill="auto"/>
                  <w:noWrap/>
                  <w:vAlign w:val="center"/>
                </w:tcPr>
                <w:p>
                  <w:pPr>
                    <w:jc w:val="center"/>
                    <w:rPr>
                      <w:color w:val="auto"/>
                      <w:szCs w:val="21"/>
                    </w:rPr>
                  </w:pPr>
                  <w:r>
                    <w:rPr>
                      <w:rFonts w:hint="eastAsia"/>
                      <w:color w:val="auto"/>
                      <w:szCs w:val="21"/>
                    </w:rPr>
                    <w:t>4m</w:t>
                  </w:r>
                  <w:r>
                    <w:rPr>
                      <w:rFonts w:hint="eastAsia"/>
                      <w:color w:val="auto"/>
                      <w:szCs w:val="21"/>
                      <w:vertAlign w:val="superscript"/>
                    </w:rPr>
                    <w:t>3</w:t>
                  </w:r>
                </w:p>
              </w:tc>
              <w:tc>
                <w:tcPr>
                  <w:tcW w:w="607" w:type="pct"/>
                  <w:vAlign w:val="center"/>
                </w:tcPr>
                <w:p>
                  <w:pPr>
                    <w:jc w:val="center"/>
                    <w:rPr>
                      <w:color w:val="auto"/>
                      <w:szCs w:val="21"/>
                    </w:rPr>
                  </w:pPr>
                  <w:r>
                    <w:rPr>
                      <w:color w:val="auto"/>
                      <w:szCs w:val="21"/>
                    </w:rPr>
                    <w:t>碳钢</w:t>
                  </w:r>
                </w:p>
              </w:tc>
              <w:tc>
                <w:tcPr>
                  <w:tcW w:w="436" w:type="pct"/>
                  <w:vAlign w:val="center"/>
                </w:tcPr>
                <w:p>
                  <w:pPr>
                    <w:jc w:val="center"/>
                    <w:rPr>
                      <w:color w:val="auto"/>
                      <w:szCs w:val="21"/>
                    </w:rPr>
                  </w:pPr>
                  <w:r>
                    <w:rPr>
                      <w:color w:val="auto"/>
                      <w:szCs w:val="21"/>
                    </w:rPr>
                    <w:t>台</w:t>
                  </w:r>
                </w:p>
              </w:tc>
              <w:tc>
                <w:tcPr>
                  <w:tcW w:w="350" w:type="pct"/>
                  <w:vAlign w:val="center"/>
                </w:tcPr>
                <w:p>
                  <w:pPr>
                    <w:jc w:val="center"/>
                    <w:rPr>
                      <w:color w:val="auto"/>
                      <w:szCs w:val="21"/>
                    </w:rPr>
                  </w:pPr>
                  <w:r>
                    <w:rPr>
                      <w:rFonts w:hint="eastAsia"/>
                      <w:color w:val="auto"/>
                      <w:szCs w:val="21"/>
                    </w:rPr>
                    <w:t>2</w:t>
                  </w:r>
                </w:p>
              </w:tc>
              <w:tc>
                <w:tcPr>
                  <w:tcW w:w="1331" w:type="pct"/>
                  <w:vAlign w:val="center"/>
                </w:tcPr>
                <w:p>
                  <w:pPr>
                    <w:jc w:val="center"/>
                    <w:rPr>
                      <w:color w:val="auto"/>
                      <w:szCs w:val="21"/>
                    </w:rPr>
                  </w:pPr>
                  <w:r>
                    <w:rPr>
                      <w:rFonts w:hint="eastAsia"/>
                      <w:color w:val="auto"/>
                      <w:szCs w:val="21"/>
                    </w:rPr>
                    <w:t>A、B产线各1套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7" w:type="pct"/>
                  <w:shd w:val="clear" w:color="auto" w:fill="auto"/>
                  <w:noWrap/>
                  <w:tcMar>
                    <w:left w:w="17" w:type="dxa"/>
                    <w:right w:w="17" w:type="dxa"/>
                  </w:tcMar>
                  <w:vAlign w:val="center"/>
                </w:tcPr>
                <w:p>
                  <w:pPr>
                    <w:widowControl/>
                    <w:spacing w:line="320" w:lineRule="exact"/>
                    <w:jc w:val="center"/>
                    <w:rPr>
                      <w:color w:val="auto"/>
                      <w:kern w:val="0"/>
                      <w:szCs w:val="21"/>
                    </w:rPr>
                  </w:pPr>
                  <w:r>
                    <w:rPr>
                      <w:rFonts w:hint="eastAsia"/>
                      <w:color w:val="auto"/>
                      <w:kern w:val="0"/>
                      <w:szCs w:val="21"/>
                    </w:rPr>
                    <w:t>8</w:t>
                  </w:r>
                </w:p>
              </w:tc>
              <w:tc>
                <w:tcPr>
                  <w:tcW w:w="1169" w:type="pct"/>
                  <w:shd w:val="clear" w:color="auto" w:fill="auto"/>
                  <w:noWrap/>
                  <w:tcMar>
                    <w:left w:w="17" w:type="dxa"/>
                    <w:right w:w="17" w:type="dxa"/>
                  </w:tcMar>
                  <w:vAlign w:val="center"/>
                </w:tcPr>
                <w:p>
                  <w:pPr>
                    <w:jc w:val="center"/>
                    <w:rPr>
                      <w:color w:val="auto"/>
                      <w:szCs w:val="21"/>
                    </w:rPr>
                  </w:pPr>
                  <w:r>
                    <w:rPr>
                      <w:color w:val="auto"/>
                      <w:szCs w:val="21"/>
                    </w:rPr>
                    <w:t>除尘系统风机</w:t>
                  </w:r>
                </w:p>
              </w:tc>
              <w:tc>
                <w:tcPr>
                  <w:tcW w:w="760" w:type="pct"/>
                  <w:shd w:val="clear" w:color="auto" w:fill="auto"/>
                  <w:noWrap/>
                  <w:vAlign w:val="center"/>
                </w:tcPr>
                <w:p>
                  <w:pPr>
                    <w:jc w:val="center"/>
                    <w:rPr>
                      <w:color w:val="auto"/>
                      <w:szCs w:val="21"/>
                    </w:rPr>
                  </w:pPr>
                  <w:r>
                    <w:rPr>
                      <w:rFonts w:hint="eastAsia"/>
                      <w:color w:val="auto"/>
                      <w:szCs w:val="21"/>
                    </w:rPr>
                    <w:t>/</w:t>
                  </w:r>
                </w:p>
              </w:tc>
              <w:tc>
                <w:tcPr>
                  <w:tcW w:w="607" w:type="pct"/>
                  <w:vAlign w:val="center"/>
                </w:tcPr>
                <w:p>
                  <w:pPr>
                    <w:jc w:val="center"/>
                    <w:rPr>
                      <w:color w:val="auto"/>
                      <w:szCs w:val="21"/>
                    </w:rPr>
                  </w:pPr>
                  <w:r>
                    <w:rPr>
                      <w:rFonts w:hint="eastAsia"/>
                      <w:color w:val="auto"/>
                      <w:szCs w:val="21"/>
                    </w:rPr>
                    <w:t>/</w:t>
                  </w:r>
                </w:p>
              </w:tc>
              <w:tc>
                <w:tcPr>
                  <w:tcW w:w="436" w:type="pct"/>
                  <w:vAlign w:val="center"/>
                </w:tcPr>
                <w:p>
                  <w:pPr>
                    <w:jc w:val="center"/>
                    <w:rPr>
                      <w:color w:val="auto"/>
                      <w:szCs w:val="21"/>
                    </w:rPr>
                  </w:pPr>
                  <w:r>
                    <w:rPr>
                      <w:color w:val="auto"/>
                      <w:szCs w:val="21"/>
                    </w:rPr>
                    <w:t>台</w:t>
                  </w:r>
                </w:p>
              </w:tc>
              <w:tc>
                <w:tcPr>
                  <w:tcW w:w="350" w:type="pct"/>
                  <w:vAlign w:val="center"/>
                </w:tcPr>
                <w:p>
                  <w:pPr>
                    <w:jc w:val="center"/>
                    <w:rPr>
                      <w:color w:val="auto"/>
                      <w:szCs w:val="21"/>
                    </w:rPr>
                  </w:pPr>
                  <w:r>
                    <w:rPr>
                      <w:rFonts w:hint="eastAsia"/>
                      <w:color w:val="auto"/>
                      <w:szCs w:val="21"/>
                    </w:rPr>
                    <w:t>2</w:t>
                  </w:r>
                </w:p>
              </w:tc>
              <w:tc>
                <w:tcPr>
                  <w:tcW w:w="1331" w:type="pct"/>
                  <w:vAlign w:val="center"/>
                </w:tcPr>
                <w:p>
                  <w:pPr>
                    <w:jc w:val="center"/>
                    <w:rPr>
                      <w:color w:val="auto"/>
                      <w:szCs w:val="21"/>
                    </w:rPr>
                  </w:pPr>
                  <w:r>
                    <w:rPr>
                      <w:rFonts w:hint="eastAsia"/>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7" w:type="pct"/>
                  <w:shd w:val="clear" w:color="auto" w:fill="auto"/>
                  <w:noWrap/>
                  <w:tcMar>
                    <w:left w:w="17" w:type="dxa"/>
                    <w:right w:w="17" w:type="dxa"/>
                  </w:tcMar>
                  <w:vAlign w:val="center"/>
                </w:tcPr>
                <w:p>
                  <w:pPr>
                    <w:widowControl/>
                    <w:spacing w:line="320" w:lineRule="exact"/>
                    <w:jc w:val="center"/>
                    <w:rPr>
                      <w:color w:val="auto"/>
                      <w:kern w:val="0"/>
                      <w:szCs w:val="21"/>
                    </w:rPr>
                  </w:pPr>
                  <w:r>
                    <w:rPr>
                      <w:rFonts w:hint="eastAsia"/>
                      <w:color w:val="auto"/>
                      <w:kern w:val="0"/>
                      <w:szCs w:val="21"/>
                    </w:rPr>
                    <w:t>9</w:t>
                  </w:r>
                </w:p>
              </w:tc>
              <w:tc>
                <w:tcPr>
                  <w:tcW w:w="1169" w:type="pct"/>
                  <w:shd w:val="clear" w:color="auto" w:fill="auto"/>
                  <w:noWrap/>
                  <w:tcMar>
                    <w:left w:w="17" w:type="dxa"/>
                    <w:right w:w="17" w:type="dxa"/>
                  </w:tcMar>
                  <w:vAlign w:val="center"/>
                </w:tcPr>
                <w:p>
                  <w:pPr>
                    <w:jc w:val="center"/>
                    <w:rPr>
                      <w:color w:val="auto"/>
                      <w:szCs w:val="21"/>
                    </w:rPr>
                  </w:pPr>
                  <w:r>
                    <w:rPr>
                      <w:color w:val="auto"/>
                      <w:szCs w:val="21"/>
                    </w:rPr>
                    <w:t>钢构平台</w:t>
                  </w:r>
                </w:p>
              </w:tc>
              <w:tc>
                <w:tcPr>
                  <w:tcW w:w="760" w:type="pct"/>
                  <w:shd w:val="clear" w:color="auto" w:fill="auto"/>
                  <w:noWrap/>
                  <w:vAlign w:val="center"/>
                </w:tcPr>
                <w:p>
                  <w:pPr>
                    <w:jc w:val="center"/>
                    <w:rPr>
                      <w:color w:val="auto"/>
                      <w:szCs w:val="21"/>
                    </w:rPr>
                  </w:pPr>
                  <w:r>
                    <w:rPr>
                      <w:rFonts w:hint="eastAsia"/>
                      <w:color w:val="auto"/>
                      <w:szCs w:val="21"/>
                    </w:rPr>
                    <w:t>/</w:t>
                  </w:r>
                </w:p>
              </w:tc>
              <w:tc>
                <w:tcPr>
                  <w:tcW w:w="607" w:type="pct"/>
                  <w:vAlign w:val="center"/>
                </w:tcPr>
                <w:p>
                  <w:pPr>
                    <w:jc w:val="center"/>
                    <w:rPr>
                      <w:color w:val="auto"/>
                      <w:szCs w:val="21"/>
                    </w:rPr>
                  </w:pPr>
                  <w:r>
                    <w:rPr>
                      <w:color w:val="auto"/>
                      <w:szCs w:val="21"/>
                    </w:rPr>
                    <w:t>碳钢</w:t>
                  </w:r>
                </w:p>
              </w:tc>
              <w:tc>
                <w:tcPr>
                  <w:tcW w:w="436" w:type="pct"/>
                  <w:vAlign w:val="center"/>
                </w:tcPr>
                <w:p>
                  <w:pPr>
                    <w:jc w:val="center"/>
                    <w:rPr>
                      <w:color w:val="auto"/>
                      <w:szCs w:val="21"/>
                    </w:rPr>
                  </w:pPr>
                  <w:r>
                    <w:rPr>
                      <w:color w:val="auto"/>
                      <w:szCs w:val="21"/>
                    </w:rPr>
                    <w:t>座</w:t>
                  </w:r>
                </w:p>
              </w:tc>
              <w:tc>
                <w:tcPr>
                  <w:tcW w:w="350" w:type="pct"/>
                  <w:vAlign w:val="center"/>
                </w:tcPr>
                <w:p>
                  <w:pPr>
                    <w:jc w:val="center"/>
                    <w:rPr>
                      <w:color w:val="auto"/>
                      <w:szCs w:val="21"/>
                    </w:rPr>
                  </w:pPr>
                  <w:r>
                    <w:rPr>
                      <w:rFonts w:hint="eastAsia"/>
                      <w:color w:val="auto"/>
                      <w:szCs w:val="21"/>
                    </w:rPr>
                    <w:t>2</w:t>
                  </w:r>
                </w:p>
              </w:tc>
              <w:tc>
                <w:tcPr>
                  <w:tcW w:w="1331" w:type="pct"/>
                  <w:vAlign w:val="center"/>
                </w:tcPr>
                <w:p>
                  <w:pPr>
                    <w:jc w:val="center"/>
                    <w:rPr>
                      <w:color w:val="auto"/>
                      <w:szCs w:val="21"/>
                    </w:rPr>
                  </w:pPr>
                  <w:r>
                    <w:rPr>
                      <w:rFonts w:hint="eastAsia"/>
                      <w:color w:val="auto"/>
                      <w:szCs w:val="21"/>
                    </w:rPr>
                    <w:t>A、B产线各1套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7" w:type="pct"/>
                  <w:shd w:val="clear" w:color="auto" w:fill="auto"/>
                  <w:noWrap/>
                  <w:tcMar>
                    <w:left w:w="17" w:type="dxa"/>
                    <w:right w:w="17" w:type="dxa"/>
                  </w:tcMar>
                  <w:vAlign w:val="center"/>
                </w:tcPr>
                <w:p>
                  <w:pPr>
                    <w:widowControl/>
                    <w:spacing w:line="320" w:lineRule="exact"/>
                    <w:jc w:val="center"/>
                    <w:rPr>
                      <w:color w:val="auto"/>
                      <w:kern w:val="0"/>
                      <w:szCs w:val="21"/>
                    </w:rPr>
                  </w:pPr>
                  <w:r>
                    <w:rPr>
                      <w:rFonts w:hint="eastAsia"/>
                      <w:color w:val="auto"/>
                      <w:kern w:val="0"/>
                      <w:szCs w:val="21"/>
                    </w:rPr>
                    <w:t>10</w:t>
                  </w:r>
                </w:p>
              </w:tc>
              <w:tc>
                <w:tcPr>
                  <w:tcW w:w="1169" w:type="pct"/>
                  <w:shd w:val="clear" w:color="auto" w:fill="auto"/>
                  <w:noWrap/>
                  <w:tcMar>
                    <w:left w:w="17" w:type="dxa"/>
                    <w:right w:w="17" w:type="dxa"/>
                  </w:tcMar>
                  <w:vAlign w:val="center"/>
                </w:tcPr>
                <w:p>
                  <w:pPr>
                    <w:jc w:val="center"/>
                    <w:rPr>
                      <w:color w:val="auto"/>
                      <w:szCs w:val="21"/>
                    </w:rPr>
                  </w:pPr>
                  <w:r>
                    <w:rPr>
                      <w:color w:val="auto"/>
                      <w:szCs w:val="21"/>
                    </w:rPr>
                    <w:t>缝线包装系统</w:t>
                  </w:r>
                </w:p>
              </w:tc>
              <w:tc>
                <w:tcPr>
                  <w:tcW w:w="760" w:type="pct"/>
                  <w:shd w:val="clear" w:color="auto" w:fill="auto"/>
                  <w:noWrap/>
                  <w:vAlign w:val="center"/>
                </w:tcPr>
                <w:p>
                  <w:pPr>
                    <w:jc w:val="center"/>
                    <w:rPr>
                      <w:color w:val="auto"/>
                      <w:szCs w:val="21"/>
                    </w:rPr>
                  </w:pPr>
                  <w:r>
                    <w:rPr>
                      <w:color w:val="auto"/>
                      <w:szCs w:val="21"/>
                    </w:rPr>
                    <w:t>自动</w:t>
                  </w:r>
                </w:p>
              </w:tc>
              <w:tc>
                <w:tcPr>
                  <w:tcW w:w="607" w:type="pct"/>
                  <w:vAlign w:val="center"/>
                </w:tcPr>
                <w:p>
                  <w:pPr>
                    <w:jc w:val="center"/>
                    <w:rPr>
                      <w:color w:val="auto"/>
                      <w:szCs w:val="21"/>
                    </w:rPr>
                  </w:pPr>
                  <w:r>
                    <w:rPr>
                      <w:color w:val="auto"/>
                      <w:szCs w:val="21"/>
                    </w:rPr>
                    <w:t>组合件</w:t>
                  </w:r>
                </w:p>
              </w:tc>
              <w:tc>
                <w:tcPr>
                  <w:tcW w:w="436" w:type="pct"/>
                  <w:vAlign w:val="center"/>
                </w:tcPr>
                <w:p>
                  <w:pPr>
                    <w:jc w:val="center"/>
                    <w:rPr>
                      <w:color w:val="auto"/>
                      <w:szCs w:val="21"/>
                    </w:rPr>
                  </w:pPr>
                  <w:r>
                    <w:rPr>
                      <w:color w:val="auto"/>
                      <w:szCs w:val="21"/>
                    </w:rPr>
                    <w:t>套</w:t>
                  </w:r>
                </w:p>
              </w:tc>
              <w:tc>
                <w:tcPr>
                  <w:tcW w:w="350" w:type="pct"/>
                  <w:vAlign w:val="center"/>
                </w:tcPr>
                <w:p>
                  <w:pPr>
                    <w:jc w:val="center"/>
                    <w:rPr>
                      <w:color w:val="auto"/>
                      <w:szCs w:val="21"/>
                    </w:rPr>
                  </w:pPr>
                  <w:r>
                    <w:rPr>
                      <w:rFonts w:hint="eastAsia"/>
                      <w:color w:val="auto"/>
                      <w:szCs w:val="21"/>
                    </w:rPr>
                    <w:t>2</w:t>
                  </w:r>
                </w:p>
              </w:tc>
              <w:tc>
                <w:tcPr>
                  <w:tcW w:w="1331" w:type="pct"/>
                  <w:vAlign w:val="center"/>
                </w:tcPr>
                <w:p>
                  <w:pPr>
                    <w:jc w:val="center"/>
                    <w:rPr>
                      <w:color w:val="auto"/>
                      <w:szCs w:val="21"/>
                    </w:rPr>
                  </w:pPr>
                  <w:r>
                    <w:rPr>
                      <w:rFonts w:hint="eastAsia"/>
                      <w:color w:val="auto"/>
                      <w:szCs w:val="21"/>
                    </w:rPr>
                    <w:t>A、B产线各1套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7" w:type="pct"/>
                  <w:shd w:val="clear" w:color="auto" w:fill="auto"/>
                  <w:noWrap/>
                  <w:tcMar>
                    <w:left w:w="17" w:type="dxa"/>
                    <w:right w:w="17" w:type="dxa"/>
                  </w:tcMar>
                  <w:vAlign w:val="center"/>
                </w:tcPr>
                <w:p>
                  <w:pPr>
                    <w:widowControl/>
                    <w:spacing w:line="320" w:lineRule="exact"/>
                    <w:jc w:val="center"/>
                    <w:rPr>
                      <w:color w:val="auto"/>
                      <w:kern w:val="0"/>
                      <w:szCs w:val="21"/>
                    </w:rPr>
                  </w:pPr>
                  <w:r>
                    <w:rPr>
                      <w:rFonts w:hint="eastAsia"/>
                      <w:color w:val="auto"/>
                      <w:kern w:val="0"/>
                      <w:szCs w:val="21"/>
                    </w:rPr>
                    <w:t>11</w:t>
                  </w:r>
                </w:p>
              </w:tc>
              <w:tc>
                <w:tcPr>
                  <w:tcW w:w="1169" w:type="pct"/>
                  <w:shd w:val="clear" w:color="auto" w:fill="auto"/>
                  <w:noWrap/>
                  <w:tcMar>
                    <w:left w:w="17" w:type="dxa"/>
                    <w:right w:w="17" w:type="dxa"/>
                  </w:tcMar>
                  <w:vAlign w:val="center"/>
                </w:tcPr>
                <w:p>
                  <w:pPr>
                    <w:jc w:val="center"/>
                    <w:rPr>
                      <w:color w:val="auto"/>
                      <w:szCs w:val="21"/>
                    </w:rPr>
                  </w:pPr>
                  <w:r>
                    <w:rPr>
                      <w:color w:val="auto"/>
                      <w:szCs w:val="21"/>
                    </w:rPr>
                    <w:t>码垛和缠膜系统</w:t>
                  </w:r>
                </w:p>
              </w:tc>
              <w:tc>
                <w:tcPr>
                  <w:tcW w:w="760" w:type="pct"/>
                  <w:shd w:val="clear" w:color="auto" w:fill="auto"/>
                  <w:noWrap/>
                  <w:vAlign w:val="center"/>
                </w:tcPr>
                <w:p>
                  <w:pPr>
                    <w:jc w:val="center"/>
                    <w:rPr>
                      <w:color w:val="auto"/>
                      <w:szCs w:val="21"/>
                    </w:rPr>
                  </w:pPr>
                  <w:r>
                    <w:rPr>
                      <w:color w:val="auto"/>
                      <w:szCs w:val="21"/>
                    </w:rPr>
                    <w:t>自动</w:t>
                  </w:r>
                </w:p>
              </w:tc>
              <w:tc>
                <w:tcPr>
                  <w:tcW w:w="607" w:type="pct"/>
                  <w:vAlign w:val="center"/>
                </w:tcPr>
                <w:p>
                  <w:pPr>
                    <w:jc w:val="center"/>
                    <w:rPr>
                      <w:color w:val="auto"/>
                      <w:szCs w:val="21"/>
                    </w:rPr>
                  </w:pPr>
                  <w:r>
                    <w:rPr>
                      <w:color w:val="auto"/>
                      <w:szCs w:val="21"/>
                    </w:rPr>
                    <w:t>组合件</w:t>
                  </w:r>
                </w:p>
              </w:tc>
              <w:tc>
                <w:tcPr>
                  <w:tcW w:w="436" w:type="pct"/>
                  <w:vAlign w:val="center"/>
                </w:tcPr>
                <w:p>
                  <w:pPr>
                    <w:jc w:val="center"/>
                    <w:rPr>
                      <w:color w:val="auto"/>
                      <w:szCs w:val="21"/>
                    </w:rPr>
                  </w:pPr>
                  <w:r>
                    <w:rPr>
                      <w:color w:val="auto"/>
                      <w:szCs w:val="21"/>
                    </w:rPr>
                    <w:t>套</w:t>
                  </w:r>
                </w:p>
              </w:tc>
              <w:tc>
                <w:tcPr>
                  <w:tcW w:w="350" w:type="pct"/>
                  <w:vAlign w:val="center"/>
                </w:tcPr>
                <w:p>
                  <w:pPr>
                    <w:jc w:val="center"/>
                    <w:rPr>
                      <w:color w:val="auto"/>
                      <w:szCs w:val="21"/>
                    </w:rPr>
                  </w:pPr>
                  <w:r>
                    <w:rPr>
                      <w:rFonts w:hint="eastAsia"/>
                      <w:color w:val="auto"/>
                      <w:szCs w:val="21"/>
                    </w:rPr>
                    <w:t>2</w:t>
                  </w:r>
                </w:p>
              </w:tc>
              <w:tc>
                <w:tcPr>
                  <w:tcW w:w="1331" w:type="pct"/>
                  <w:vAlign w:val="center"/>
                </w:tcPr>
                <w:p>
                  <w:pPr>
                    <w:jc w:val="center"/>
                    <w:rPr>
                      <w:color w:val="auto"/>
                      <w:szCs w:val="21"/>
                    </w:rPr>
                  </w:pPr>
                  <w:r>
                    <w:rPr>
                      <w:rFonts w:hint="eastAsia"/>
                      <w:color w:val="auto"/>
                      <w:szCs w:val="21"/>
                    </w:rPr>
                    <w:t>A、B产线各1套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7" w:type="pct"/>
                  <w:shd w:val="clear" w:color="auto" w:fill="auto"/>
                  <w:noWrap/>
                  <w:tcMar>
                    <w:left w:w="17" w:type="dxa"/>
                    <w:right w:w="17" w:type="dxa"/>
                  </w:tcMar>
                  <w:vAlign w:val="center"/>
                </w:tcPr>
                <w:p>
                  <w:pPr>
                    <w:widowControl/>
                    <w:spacing w:line="320" w:lineRule="exact"/>
                    <w:jc w:val="center"/>
                    <w:rPr>
                      <w:color w:val="auto"/>
                      <w:kern w:val="0"/>
                      <w:szCs w:val="21"/>
                    </w:rPr>
                  </w:pPr>
                  <w:r>
                    <w:rPr>
                      <w:rFonts w:hint="eastAsia"/>
                      <w:color w:val="auto"/>
                      <w:kern w:val="0"/>
                      <w:szCs w:val="21"/>
                    </w:rPr>
                    <w:t>12</w:t>
                  </w:r>
                </w:p>
              </w:tc>
              <w:tc>
                <w:tcPr>
                  <w:tcW w:w="1169" w:type="pct"/>
                  <w:shd w:val="clear" w:color="auto" w:fill="auto"/>
                  <w:noWrap/>
                  <w:tcMar>
                    <w:left w:w="17" w:type="dxa"/>
                    <w:right w:w="17" w:type="dxa"/>
                  </w:tcMar>
                  <w:vAlign w:val="center"/>
                </w:tcPr>
                <w:p>
                  <w:pPr>
                    <w:jc w:val="center"/>
                    <w:rPr>
                      <w:color w:val="auto"/>
                      <w:szCs w:val="21"/>
                    </w:rPr>
                  </w:pPr>
                  <w:r>
                    <w:rPr>
                      <w:color w:val="auto"/>
                      <w:szCs w:val="21"/>
                    </w:rPr>
                    <w:t>升降机</w:t>
                  </w:r>
                </w:p>
              </w:tc>
              <w:tc>
                <w:tcPr>
                  <w:tcW w:w="760" w:type="pct"/>
                  <w:shd w:val="clear" w:color="auto" w:fill="auto"/>
                  <w:noWrap/>
                  <w:vAlign w:val="center"/>
                </w:tcPr>
                <w:p>
                  <w:pPr>
                    <w:jc w:val="center"/>
                    <w:rPr>
                      <w:color w:val="auto"/>
                      <w:szCs w:val="21"/>
                    </w:rPr>
                  </w:pPr>
                  <w:r>
                    <w:rPr>
                      <w:color w:val="auto"/>
                      <w:szCs w:val="21"/>
                    </w:rPr>
                    <w:t>起重量</w:t>
                  </w:r>
                  <w:r>
                    <w:rPr>
                      <w:rFonts w:hint="eastAsia"/>
                      <w:color w:val="auto"/>
                      <w:szCs w:val="21"/>
                    </w:rPr>
                    <w:t>2t</w:t>
                  </w:r>
                </w:p>
              </w:tc>
              <w:tc>
                <w:tcPr>
                  <w:tcW w:w="607" w:type="pct"/>
                  <w:vAlign w:val="center"/>
                </w:tcPr>
                <w:p>
                  <w:pPr>
                    <w:jc w:val="center"/>
                    <w:rPr>
                      <w:color w:val="auto"/>
                      <w:szCs w:val="21"/>
                    </w:rPr>
                  </w:pPr>
                  <w:r>
                    <w:rPr>
                      <w:color w:val="auto"/>
                      <w:szCs w:val="21"/>
                    </w:rPr>
                    <w:t>组合件</w:t>
                  </w:r>
                </w:p>
              </w:tc>
              <w:tc>
                <w:tcPr>
                  <w:tcW w:w="436" w:type="pct"/>
                  <w:vAlign w:val="center"/>
                </w:tcPr>
                <w:p>
                  <w:pPr>
                    <w:jc w:val="center"/>
                    <w:rPr>
                      <w:color w:val="auto"/>
                      <w:szCs w:val="21"/>
                    </w:rPr>
                  </w:pPr>
                  <w:r>
                    <w:rPr>
                      <w:color w:val="auto"/>
                      <w:szCs w:val="21"/>
                    </w:rPr>
                    <w:t>台</w:t>
                  </w:r>
                </w:p>
              </w:tc>
              <w:tc>
                <w:tcPr>
                  <w:tcW w:w="350" w:type="pct"/>
                  <w:vAlign w:val="center"/>
                </w:tcPr>
                <w:p>
                  <w:pPr>
                    <w:jc w:val="center"/>
                    <w:rPr>
                      <w:color w:val="auto"/>
                      <w:szCs w:val="21"/>
                    </w:rPr>
                  </w:pPr>
                  <w:r>
                    <w:rPr>
                      <w:rFonts w:hint="eastAsia"/>
                      <w:color w:val="auto"/>
                      <w:szCs w:val="21"/>
                    </w:rPr>
                    <w:t>2</w:t>
                  </w:r>
                </w:p>
              </w:tc>
              <w:tc>
                <w:tcPr>
                  <w:tcW w:w="1331" w:type="pct"/>
                  <w:vAlign w:val="center"/>
                </w:tcPr>
                <w:p>
                  <w:pPr>
                    <w:jc w:val="center"/>
                    <w:rPr>
                      <w:color w:val="auto"/>
                      <w:szCs w:val="21"/>
                    </w:rPr>
                  </w:pPr>
                  <w:r>
                    <w:rPr>
                      <w:rFonts w:hint="eastAsia"/>
                      <w:color w:val="auto"/>
                      <w:szCs w:val="21"/>
                    </w:rPr>
                    <w:t>A、B产线各1套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7" w:type="pct"/>
                  <w:shd w:val="clear" w:color="auto" w:fill="auto"/>
                  <w:noWrap/>
                  <w:tcMar>
                    <w:left w:w="17" w:type="dxa"/>
                    <w:right w:w="17" w:type="dxa"/>
                  </w:tcMar>
                  <w:vAlign w:val="center"/>
                </w:tcPr>
                <w:p>
                  <w:pPr>
                    <w:widowControl/>
                    <w:spacing w:line="320" w:lineRule="exact"/>
                    <w:jc w:val="center"/>
                    <w:rPr>
                      <w:color w:val="auto"/>
                      <w:kern w:val="0"/>
                      <w:szCs w:val="21"/>
                    </w:rPr>
                  </w:pPr>
                  <w:r>
                    <w:rPr>
                      <w:rFonts w:hint="eastAsia"/>
                      <w:color w:val="auto"/>
                      <w:kern w:val="0"/>
                      <w:szCs w:val="21"/>
                    </w:rPr>
                    <w:t>13</w:t>
                  </w:r>
                </w:p>
              </w:tc>
              <w:tc>
                <w:tcPr>
                  <w:tcW w:w="1169" w:type="pct"/>
                  <w:shd w:val="clear" w:color="auto" w:fill="auto"/>
                  <w:noWrap/>
                  <w:tcMar>
                    <w:left w:w="17" w:type="dxa"/>
                    <w:right w:w="17" w:type="dxa"/>
                  </w:tcMar>
                  <w:vAlign w:val="center"/>
                </w:tcPr>
                <w:p>
                  <w:pPr>
                    <w:jc w:val="center"/>
                    <w:rPr>
                      <w:color w:val="auto"/>
                      <w:szCs w:val="21"/>
                    </w:rPr>
                  </w:pPr>
                  <w:r>
                    <w:rPr>
                      <w:color w:val="auto"/>
                      <w:szCs w:val="21"/>
                    </w:rPr>
                    <w:t>叉车</w:t>
                  </w:r>
                </w:p>
              </w:tc>
              <w:tc>
                <w:tcPr>
                  <w:tcW w:w="760" w:type="pct"/>
                  <w:shd w:val="clear" w:color="auto" w:fill="auto"/>
                  <w:noWrap/>
                  <w:vAlign w:val="center"/>
                </w:tcPr>
                <w:p>
                  <w:pPr>
                    <w:jc w:val="center"/>
                    <w:rPr>
                      <w:color w:val="auto"/>
                      <w:szCs w:val="21"/>
                    </w:rPr>
                  </w:pPr>
                  <w:r>
                    <w:rPr>
                      <w:rFonts w:hint="eastAsia"/>
                      <w:color w:val="auto"/>
                      <w:szCs w:val="21"/>
                    </w:rPr>
                    <w:t>2t</w:t>
                  </w:r>
                </w:p>
              </w:tc>
              <w:tc>
                <w:tcPr>
                  <w:tcW w:w="607" w:type="pct"/>
                  <w:vAlign w:val="center"/>
                </w:tcPr>
                <w:p>
                  <w:pPr>
                    <w:jc w:val="center"/>
                    <w:rPr>
                      <w:color w:val="auto"/>
                      <w:szCs w:val="21"/>
                    </w:rPr>
                  </w:pPr>
                  <w:r>
                    <w:rPr>
                      <w:color w:val="auto"/>
                      <w:szCs w:val="21"/>
                    </w:rPr>
                    <w:t>组合件</w:t>
                  </w:r>
                </w:p>
              </w:tc>
              <w:tc>
                <w:tcPr>
                  <w:tcW w:w="436" w:type="pct"/>
                  <w:vAlign w:val="center"/>
                </w:tcPr>
                <w:p>
                  <w:pPr>
                    <w:jc w:val="center"/>
                    <w:rPr>
                      <w:color w:val="auto"/>
                      <w:szCs w:val="21"/>
                    </w:rPr>
                  </w:pPr>
                  <w:r>
                    <w:rPr>
                      <w:color w:val="auto"/>
                      <w:szCs w:val="21"/>
                    </w:rPr>
                    <w:t>台</w:t>
                  </w:r>
                </w:p>
              </w:tc>
              <w:tc>
                <w:tcPr>
                  <w:tcW w:w="350" w:type="pct"/>
                  <w:vAlign w:val="center"/>
                </w:tcPr>
                <w:p>
                  <w:pPr>
                    <w:jc w:val="center"/>
                    <w:rPr>
                      <w:color w:val="auto"/>
                      <w:szCs w:val="21"/>
                    </w:rPr>
                  </w:pPr>
                  <w:r>
                    <w:rPr>
                      <w:rFonts w:hint="eastAsia"/>
                      <w:color w:val="auto"/>
                      <w:szCs w:val="21"/>
                    </w:rPr>
                    <w:t>4</w:t>
                  </w:r>
                </w:p>
              </w:tc>
              <w:tc>
                <w:tcPr>
                  <w:tcW w:w="1331" w:type="pct"/>
                  <w:vAlign w:val="center"/>
                </w:tcPr>
                <w:p>
                  <w:pPr>
                    <w:jc w:val="center"/>
                    <w:rPr>
                      <w:color w:val="auto"/>
                      <w:szCs w:val="21"/>
                    </w:rPr>
                  </w:pPr>
                  <w:r>
                    <w:rPr>
                      <w:rFonts w:hint="eastAsia"/>
                      <w:color w:val="auto"/>
                      <w:szCs w:val="21"/>
                    </w:rPr>
                    <w:t>/</w:t>
                  </w:r>
                </w:p>
              </w:tc>
            </w:tr>
          </w:tbl>
          <w:p>
            <w:pPr>
              <w:spacing w:line="360" w:lineRule="auto"/>
              <w:ind w:firstLine="482" w:firstLineChars="200"/>
              <w:jc w:val="left"/>
              <w:rPr>
                <w:b/>
                <w:bCs/>
                <w:color w:val="auto"/>
                <w:sz w:val="24"/>
              </w:rPr>
            </w:pPr>
            <w:r>
              <w:rPr>
                <w:rFonts w:hint="eastAsia"/>
                <w:b/>
                <w:bCs/>
                <w:color w:val="auto"/>
                <w:sz w:val="24"/>
              </w:rPr>
              <w:t>7、</w:t>
            </w:r>
            <w:r>
              <w:rPr>
                <w:b/>
                <w:bCs/>
                <w:color w:val="auto"/>
                <w:sz w:val="24"/>
              </w:rPr>
              <w:t>公用工程</w:t>
            </w:r>
          </w:p>
          <w:p>
            <w:pPr>
              <w:spacing w:line="360" w:lineRule="auto"/>
              <w:ind w:firstLine="480" w:firstLineChars="200"/>
              <w:rPr>
                <w:snapToGrid w:val="0"/>
                <w:color w:val="auto"/>
                <w:sz w:val="24"/>
              </w:rPr>
            </w:pPr>
            <w:r>
              <w:rPr>
                <w:snapToGrid w:val="0"/>
                <w:color w:val="auto"/>
                <w:sz w:val="24"/>
              </w:rPr>
              <w:t>（1）给排水系统</w:t>
            </w:r>
          </w:p>
          <w:p>
            <w:pPr>
              <w:spacing w:line="360" w:lineRule="auto"/>
              <w:ind w:firstLine="480" w:firstLineChars="200"/>
              <w:rPr>
                <w:color w:val="auto"/>
                <w:sz w:val="24"/>
              </w:rPr>
            </w:pPr>
            <w:r>
              <w:rPr>
                <w:color w:val="auto"/>
                <w:sz w:val="24"/>
              </w:rPr>
              <w:t>项目用水单元主要为生活用水。项目水平衡图见图2-</w:t>
            </w:r>
            <w:r>
              <w:rPr>
                <w:rFonts w:hint="eastAsia"/>
                <w:color w:val="auto"/>
                <w:sz w:val="24"/>
                <w:lang w:val="en-US" w:eastAsia="zh-CN"/>
              </w:rPr>
              <w:t>1</w:t>
            </w:r>
            <w:r>
              <w:rPr>
                <w:color w:val="auto"/>
                <w:sz w:val="24"/>
              </w:rPr>
              <w:t>。</w:t>
            </w:r>
          </w:p>
          <w:p>
            <w:pPr>
              <w:spacing w:line="360" w:lineRule="auto"/>
              <w:ind w:firstLine="480" w:firstLineChars="200"/>
              <w:rPr>
                <w:color w:val="auto"/>
                <w:sz w:val="24"/>
              </w:rPr>
            </w:pPr>
            <w:r>
              <w:rPr>
                <w:color w:val="auto"/>
                <w:sz w:val="24"/>
              </w:rPr>
              <w:t>根据本项目实际情况并参考《陕西省行业用水定额》（修订稿）（DB61/T943-2020），项目设食宿，生活用水按</w:t>
            </w:r>
            <w:r>
              <w:rPr>
                <w:rFonts w:hint="eastAsia"/>
                <w:color w:val="auto"/>
                <w:sz w:val="24"/>
              </w:rPr>
              <w:t>100</w:t>
            </w:r>
            <w:r>
              <w:rPr>
                <w:color w:val="auto"/>
                <w:sz w:val="24"/>
              </w:rPr>
              <w:t>L/人·d计，本项目劳动人员共计</w:t>
            </w:r>
            <w:r>
              <w:rPr>
                <w:rFonts w:hint="eastAsia"/>
                <w:color w:val="auto"/>
                <w:sz w:val="24"/>
              </w:rPr>
              <w:t>90</w:t>
            </w:r>
            <w:r>
              <w:rPr>
                <w:color w:val="auto"/>
                <w:sz w:val="24"/>
              </w:rPr>
              <w:t>人，则生活用水量为</w:t>
            </w:r>
            <w:r>
              <w:rPr>
                <w:rFonts w:hint="eastAsia"/>
                <w:color w:val="auto"/>
                <w:sz w:val="24"/>
              </w:rPr>
              <w:t>9</w:t>
            </w:r>
            <w:r>
              <w:rPr>
                <w:color w:val="auto"/>
                <w:sz w:val="24"/>
              </w:rPr>
              <w:t>m</w:t>
            </w:r>
            <w:r>
              <w:rPr>
                <w:color w:val="auto"/>
                <w:sz w:val="24"/>
                <w:vertAlign w:val="superscript"/>
              </w:rPr>
              <w:t>3</w:t>
            </w:r>
            <w:r>
              <w:rPr>
                <w:color w:val="auto"/>
                <w:sz w:val="24"/>
              </w:rPr>
              <w:t>/d、</w:t>
            </w:r>
            <w:r>
              <w:rPr>
                <w:rFonts w:hint="eastAsia"/>
                <w:color w:val="auto"/>
                <w:sz w:val="24"/>
              </w:rPr>
              <w:t>2700</w:t>
            </w:r>
            <w:r>
              <w:rPr>
                <w:color w:val="auto"/>
                <w:sz w:val="24"/>
              </w:rPr>
              <w:t>m</w:t>
            </w:r>
            <w:r>
              <w:rPr>
                <w:color w:val="auto"/>
                <w:sz w:val="24"/>
                <w:vertAlign w:val="superscript"/>
              </w:rPr>
              <w:t>3</w:t>
            </w:r>
            <w:r>
              <w:rPr>
                <w:color w:val="auto"/>
                <w:sz w:val="24"/>
              </w:rPr>
              <w:t>/a（按300d/a计）。生活污水按用水量的80%计，则生活污水产生量为</w:t>
            </w:r>
            <w:r>
              <w:rPr>
                <w:rFonts w:hint="eastAsia"/>
                <w:color w:val="auto"/>
                <w:sz w:val="24"/>
              </w:rPr>
              <w:t>7.2</w:t>
            </w:r>
            <w:r>
              <w:rPr>
                <w:color w:val="auto"/>
                <w:sz w:val="24"/>
              </w:rPr>
              <w:t>m</w:t>
            </w:r>
            <w:r>
              <w:rPr>
                <w:color w:val="auto"/>
                <w:sz w:val="24"/>
                <w:vertAlign w:val="superscript"/>
              </w:rPr>
              <w:t>3</w:t>
            </w:r>
            <w:r>
              <w:rPr>
                <w:color w:val="auto"/>
                <w:sz w:val="24"/>
              </w:rPr>
              <w:t>/d、</w:t>
            </w:r>
            <w:r>
              <w:rPr>
                <w:rFonts w:hint="eastAsia"/>
                <w:color w:val="auto"/>
                <w:sz w:val="24"/>
              </w:rPr>
              <w:t>2160</w:t>
            </w:r>
            <w:r>
              <w:rPr>
                <w:color w:val="auto"/>
                <w:sz w:val="24"/>
              </w:rPr>
              <w:t>m</w:t>
            </w:r>
            <w:r>
              <w:rPr>
                <w:color w:val="auto"/>
                <w:sz w:val="24"/>
                <w:vertAlign w:val="superscript"/>
              </w:rPr>
              <w:t>3</w:t>
            </w:r>
            <w:r>
              <w:rPr>
                <w:color w:val="auto"/>
                <w:sz w:val="24"/>
              </w:rPr>
              <w:t>/a（按300d/a计），通过厂区污水管网排至厂区现有化粪池内，之后进入高新区市政污水管网，最终由高新区污水处理厂处理。</w:t>
            </w:r>
          </w:p>
          <w:p>
            <w:pPr>
              <w:pStyle w:val="48"/>
              <w:spacing w:line="360" w:lineRule="auto"/>
              <w:jc w:val="center"/>
              <w:rPr>
                <w:rFonts w:ascii="Times New Roman" w:cs="Times New Roman"/>
                <w:color w:val="auto"/>
              </w:rPr>
            </w:pPr>
            <w:r>
              <w:rPr>
                <w:color w:val="auto"/>
              </w:rPr>
              <w:object>
                <v:shape id="_x0000_i1025" o:spt="75" type="#_x0000_t75" style="height:67pt;width:377.6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spacing w:line="360" w:lineRule="auto"/>
              <w:ind w:firstLine="482" w:firstLineChars="200"/>
              <w:jc w:val="center"/>
              <w:rPr>
                <w:b/>
                <w:snapToGrid w:val="0"/>
                <w:color w:val="auto"/>
                <w:sz w:val="24"/>
              </w:rPr>
            </w:pPr>
            <w:r>
              <w:rPr>
                <w:b/>
                <w:snapToGrid w:val="0"/>
                <w:color w:val="auto"/>
                <w:sz w:val="24"/>
              </w:rPr>
              <w:t>图2-</w:t>
            </w:r>
            <w:r>
              <w:rPr>
                <w:rFonts w:hint="eastAsia"/>
                <w:b/>
                <w:snapToGrid w:val="0"/>
                <w:color w:val="auto"/>
                <w:sz w:val="24"/>
                <w:lang w:val="en-US" w:eastAsia="zh-CN"/>
              </w:rPr>
              <w:t>1</w:t>
            </w:r>
            <w:r>
              <w:rPr>
                <w:b/>
                <w:snapToGrid w:val="0"/>
                <w:color w:val="auto"/>
                <w:sz w:val="24"/>
              </w:rPr>
              <w:t xml:space="preserve">   水平衡图（m</w:t>
            </w:r>
            <w:r>
              <w:rPr>
                <w:b/>
                <w:snapToGrid w:val="0"/>
                <w:color w:val="auto"/>
                <w:sz w:val="24"/>
                <w:vertAlign w:val="superscript"/>
              </w:rPr>
              <w:t>3</w:t>
            </w:r>
            <w:r>
              <w:rPr>
                <w:b/>
                <w:snapToGrid w:val="0"/>
                <w:color w:val="auto"/>
                <w:sz w:val="24"/>
              </w:rPr>
              <w:t>/a）</w:t>
            </w:r>
          </w:p>
          <w:p>
            <w:pPr>
              <w:spacing w:line="360" w:lineRule="auto"/>
              <w:ind w:firstLine="480" w:firstLineChars="200"/>
              <w:rPr>
                <w:snapToGrid w:val="0"/>
                <w:color w:val="auto"/>
                <w:sz w:val="24"/>
              </w:rPr>
            </w:pPr>
            <w:r>
              <w:rPr>
                <w:snapToGrid w:val="0"/>
                <w:color w:val="auto"/>
                <w:sz w:val="24"/>
              </w:rPr>
              <w:t>（</w:t>
            </w:r>
            <w:r>
              <w:rPr>
                <w:rFonts w:hint="eastAsia"/>
                <w:snapToGrid w:val="0"/>
                <w:color w:val="auto"/>
                <w:sz w:val="24"/>
              </w:rPr>
              <w:t>2</w:t>
            </w:r>
            <w:r>
              <w:rPr>
                <w:snapToGrid w:val="0"/>
                <w:color w:val="auto"/>
                <w:sz w:val="24"/>
              </w:rPr>
              <w:t>）供电</w:t>
            </w:r>
          </w:p>
          <w:p>
            <w:pPr>
              <w:spacing w:line="360" w:lineRule="auto"/>
              <w:ind w:firstLine="480" w:firstLineChars="200"/>
              <w:rPr>
                <w:color w:val="auto"/>
                <w:sz w:val="24"/>
              </w:rPr>
            </w:pPr>
            <w:r>
              <w:rPr>
                <w:rFonts w:hint="eastAsia"/>
                <w:color w:val="auto"/>
                <w:sz w:val="24"/>
              </w:rPr>
              <w:t>依托厂区已建设联合站房，本次所用的0.4kV 供电电源、1.14kV 供电电源均由联合站房内变压器提供，联合站房内设有1000kVA-10/0.4kV 干式变压器1 台、630kVA-10/1.14kV 干式变压器1 台。经核实， 1000kVA-10/0.4kV 使用容量约223kVA，剩余700kVA 容量可满足本次0.22/0.38kV 设备使用，630kVA-10/1.14kV 干式变压器专供本期1.14kV 预留装配设备用电，亦可满足需求。</w:t>
            </w:r>
          </w:p>
          <w:p>
            <w:pPr>
              <w:spacing w:line="360" w:lineRule="auto"/>
              <w:ind w:left="480"/>
              <w:rPr>
                <w:color w:val="auto"/>
                <w:sz w:val="24"/>
              </w:rPr>
            </w:pPr>
            <w:r>
              <w:rPr>
                <w:snapToGrid w:val="0"/>
                <w:color w:val="auto"/>
                <w:sz w:val="24"/>
              </w:rPr>
              <w:t>（3）制冷及供暖</w:t>
            </w:r>
          </w:p>
          <w:p>
            <w:pPr>
              <w:spacing w:line="360" w:lineRule="auto"/>
              <w:ind w:right="28" w:firstLine="480" w:firstLineChars="200"/>
              <w:rPr>
                <w:color w:val="auto"/>
                <w:sz w:val="24"/>
              </w:rPr>
            </w:pPr>
            <w:r>
              <w:rPr>
                <w:rFonts w:hint="eastAsia"/>
                <w:color w:val="auto"/>
                <w:sz w:val="24"/>
              </w:rPr>
              <w:t>①制冷</w:t>
            </w:r>
          </w:p>
          <w:p>
            <w:pPr>
              <w:spacing w:line="360" w:lineRule="auto"/>
              <w:ind w:right="28" w:firstLine="480" w:firstLineChars="200"/>
              <w:rPr>
                <w:color w:val="auto"/>
                <w:sz w:val="24"/>
              </w:rPr>
            </w:pPr>
            <w:r>
              <w:rPr>
                <w:rFonts w:hint="eastAsia"/>
                <w:color w:val="auto"/>
                <w:sz w:val="24"/>
              </w:rPr>
              <w:t>车间控制室、工人临时休息室设置分体空调进行夏季制冷。</w:t>
            </w:r>
          </w:p>
          <w:p>
            <w:pPr>
              <w:spacing w:line="360" w:lineRule="auto"/>
              <w:ind w:right="28" w:firstLine="480" w:firstLineChars="200"/>
              <w:rPr>
                <w:color w:val="auto"/>
                <w:sz w:val="24"/>
              </w:rPr>
            </w:pPr>
            <w:r>
              <w:rPr>
                <w:rFonts w:hint="eastAsia"/>
                <w:color w:val="auto"/>
                <w:sz w:val="24"/>
              </w:rPr>
              <w:t>②供暖</w:t>
            </w:r>
          </w:p>
          <w:p>
            <w:pPr>
              <w:spacing w:line="360" w:lineRule="auto"/>
              <w:ind w:right="28" w:firstLine="480" w:firstLineChars="200"/>
              <w:rPr>
                <w:color w:val="auto"/>
                <w:sz w:val="24"/>
              </w:rPr>
            </w:pPr>
            <w:r>
              <w:rPr>
                <w:rFonts w:hint="eastAsia"/>
                <w:color w:val="auto"/>
                <w:sz w:val="24"/>
              </w:rPr>
              <w:t>依托厂区现有供暖设施，厂区已安装2 台2.1MW 常压燃气热水锅炉，额定总供热量4.2MW，满足热负荷设计要求。</w:t>
            </w:r>
          </w:p>
          <w:p>
            <w:pPr>
              <w:spacing w:before="120" w:beforeLines="50" w:line="360" w:lineRule="auto"/>
              <w:ind w:firstLine="506" w:firstLineChars="200"/>
              <w:rPr>
                <w:color w:val="auto"/>
                <w:spacing w:val="6"/>
                <w:sz w:val="24"/>
              </w:rPr>
            </w:pPr>
            <w:r>
              <w:rPr>
                <w:b/>
                <w:bCs/>
                <w:color w:val="auto"/>
                <w:spacing w:val="6"/>
                <w:sz w:val="24"/>
              </w:rPr>
              <w:t>8、劳动定员及工作制度</w:t>
            </w:r>
          </w:p>
          <w:p>
            <w:pPr>
              <w:spacing w:line="360" w:lineRule="auto"/>
              <w:ind w:firstLine="504" w:firstLineChars="200"/>
              <w:rPr>
                <w:color w:val="auto"/>
                <w:spacing w:val="6"/>
                <w:sz w:val="24"/>
              </w:rPr>
            </w:pPr>
            <w:r>
              <w:rPr>
                <w:color w:val="auto"/>
                <w:spacing w:val="6"/>
                <w:sz w:val="24"/>
              </w:rPr>
              <w:t>本项目劳动定员</w:t>
            </w:r>
            <w:r>
              <w:rPr>
                <w:rFonts w:hint="eastAsia"/>
                <w:color w:val="auto"/>
                <w:spacing w:val="6"/>
                <w:sz w:val="24"/>
              </w:rPr>
              <w:t>90</w:t>
            </w:r>
            <w:r>
              <w:rPr>
                <w:color w:val="auto"/>
                <w:spacing w:val="6"/>
                <w:sz w:val="24"/>
              </w:rPr>
              <w:t>人，每班工作8小时，年工作天数为300d，</w:t>
            </w:r>
            <w:r>
              <w:rPr>
                <w:rFonts w:hint="eastAsia"/>
                <w:color w:val="auto"/>
                <w:spacing w:val="6"/>
                <w:sz w:val="24"/>
              </w:rPr>
              <w:t>采用连续化生产方式，生产岗位的操作人员四班三运制。</w:t>
            </w:r>
            <w:r>
              <w:rPr>
                <w:color w:val="auto"/>
                <w:sz w:val="24"/>
              </w:rPr>
              <w:t>厂内食宿依托现有。</w:t>
            </w:r>
          </w:p>
          <w:p>
            <w:pPr>
              <w:spacing w:line="360" w:lineRule="auto"/>
              <w:ind w:firstLine="482" w:firstLineChars="200"/>
              <w:rPr>
                <w:b/>
                <w:snapToGrid w:val="0"/>
                <w:color w:val="auto"/>
                <w:sz w:val="24"/>
              </w:rPr>
            </w:pPr>
            <w:r>
              <w:rPr>
                <w:b/>
                <w:snapToGrid w:val="0"/>
                <w:color w:val="auto"/>
                <w:sz w:val="24"/>
              </w:rPr>
              <w:t>9、厂区总体布置</w:t>
            </w:r>
          </w:p>
          <w:p>
            <w:pPr>
              <w:spacing w:line="360" w:lineRule="auto"/>
              <w:ind w:firstLine="480" w:firstLineChars="200"/>
              <w:rPr>
                <w:snapToGrid w:val="0"/>
                <w:color w:val="auto"/>
                <w:sz w:val="24"/>
              </w:rPr>
            </w:pPr>
            <w:r>
              <w:rPr>
                <w:snapToGrid w:val="0"/>
                <w:color w:val="auto"/>
                <w:sz w:val="24"/>
              </w:rPr>
              <w:t>项目在渭南陕煤启辰科技有限公司东北角的预留空地上进行建设。本项目新建</w:t>
            </w:r>
            <w:r>
              <w:rPr>
                <w:rFonts w:hint="eastAsia"/>
                <w:snapToGrid w:val="0"/>
                <w:color w:val="auto"/>
                <w:sz w:val="24"/>
              </w:rPr>
              <w:t>1座无机材料生产车间及1座辅助仓库。</w:t>
            </w:r>
          </w:p>
          <w:p>
            <w:pPr>
              <w:spacing w:line="360" w:lineRule="auto"/>
              <w:ind w:firstLine="480" w:firstLineChars="200"/>
              <w:rPr>
                <w:snapToGrid w:val="0"/>
                <w:color w:val="auto"/>
                <w:sz w:val="24"/>
              </w:rPr>
            </w:pPr>
            <w:r>
              <w:rPr>
                <w:rFonts w:hint="eastAsia"/>
                <w:snapToGrid w:val="0"/>
                <w:color w:val="auto"/>
                <w:sz w:val="24"/>
              </w:rPr>
              <w:t>（1）厂区总体布置</w:t>
            </w:r>
          </w:p>
          <w:p>
            <w:pPr>
              <w:spacing w:line="360" w:lineRule="auto"/>
              <w:ind w:firstLine="480" w:firstLineChars="200"/>
              <w:rPr>
                <w:snapToGrid w:val="0"/>
                <w:color w:val="auto"/>
                <w:sz w:val="24"/>
              </w:rPr>
            </w:pPr>
            <w:r>
              <w:rPr>
                <w:snapToGrid w:val="0"/>
                <w:color w:val="auto"/>
                <w:sz w:val="24"/>
              </w:rPr>
              <w:t>项目建成后</w:t>
            </w:r>
            <w:r>
              <w:rPr>
                <w:rFonts w:hint="eastAsia"/>
                <w:snapToGrid w:val="0"/>
                <w:color w:val="auto"/>
                <w:sz w:val="24"/>
              </w:rPr>
              <w:t>厂区总体布置为：无机材料生产车间位于厂区东北角，筒仓紧邻无机材料生产车间北侧，辅助仓库位于筒仓北侧，车间南侧为事故及初期雨水收集池；高分子材料生产车间位于厂区西北角，其西侧紧邻储罐区；综合楼位于厂区东南角；联合站房位于无机材料生产车间西侧。</w:t>
            </w:r>
          </w:p>
          <w:p>
            <w:pPr>
              <w:spacing w:line="360" w:lineRule="auto"/>
              <w:ind w:firstLine="480" w:firstLineChars="200"/>
              <w:rPr>
                <w:snapToGrid w:val="0"/>
                <w:color w:val="auto"/>
                <w:sz w:val="24"/>
              </w:rPr>
            </w:pPr>
            <w:r>
              <w:rPr>
                <w:rFonts w:hint="eastAsia"/>
                <w:snapToGrid w:val="0"/>
                <w:color w:val="auto"/>
                <w:sz w:val="24"/>
              </w:rPr>
              <w:t>（2）项目总体布置</w:t>
            </w:r>
          </w:p>
          <w:p>
            <w:pPr>
              <w:spacing w:line="360" w:lineRule="auto"/>
              <w:ind w:firstLine="480" w:firstLineChars="200"/>
              <w:rPr>
                <w:snapToGrid w:val="0"/>
                <w:color w:val="auto"/>
                <w:sz w:val="24"/>
              </w:rPr>
            </w:pPr>
            <w:r>
              <w:rPr>
                <w:rFonts w:hint="eastAsia"/>
                <w:snapToGrid w:val="0"/>
                <w:color w:val="auto"/>
                <w:sz w:val="24"/>
              </w:rPr>
              <w:t>辅助仓库位于无机材料生产车间北侧。</w:t>
            </w:r>
          </w:p>
          <w:p>
            <w:pPr>
              <w:spacing w:line="360" w:lineRule="auto"/>
              <w:ind w:firstLine="480" w:firstLineChars="200"/>
              <w:rPr>
                <w:snapToGrid w:val="0"/>
                <w:color w:val="auto"/>
                <w:sz w:val="24"/>
              </w:rPr>
            </w:pPr>
            <w:r>
              <w:rPr>
                <w:rFonts w:hint="eastAsia"/>
                <w:snapToGrid w:val="0"/>
                <w:color w:val="auto"/>
                <w:sz w:val="24"/>
              </w:rPr>
              <w:t>无机材料生产车间主要功能分区包括矿用无机材料生产区、预留矿用无机材料配套设备装配区、中间仓库、预留矿用无机材料配套智能化装备组装生产区和辅助用房。其中矿用无机材料生产区和预留矿用无机材料配套设备装配区布置在车间的北侧，主要进行无机材料的原料暂存、混料和包装，矿用无机材料配套设备的装配；中间仓库布置在车间的中部，主要暂存原辅材料和产品；预留矿用无机材料配套智能化装备组装生产区布置在车间中部的二层，主要用于组装智能钻孔轨迹仪、气动注浆泵、气动喷涂泵、喷浆机器人等；辅助用房布置在车间的南侧，主要设置车间化验室、车间检测室、工人休息室和卫生间等。</w:t>
            </w:r>
          </w:p>
          <w:p>
            <w:pPr>
              <w:spacing w:line="360" w:lineRule="auto"/>
              <w:ind w:firstLine="480" w:firstLineChars="200"/>
              <w:rPr>
                <w:snapToGrid w:val="0"/>
                <w:color w:val="auto"/>
                <w:sz w:val="24"/>
              </w:rPr>
            </w:pPr>
            <w:r>
              <w:rPr>
                <w:rFonts w:hint="eastAsia"/>
                <w:snapToGrid w:val="0"/>
                <w:color w:val="auto"/>
                <w:sz w:val="24"/>
              </w:rPr>
              <w:t>辅助仓库分为辅料间、危废间和一般固废暂存间，辅料间储存外加剂A、外加剂B和外加剂C，危废间暂存危险废物，一般固废暂存间暂存一般固废，如废包装材料等。</w:t>
            </w:r>
            <w:r>
              <w:rPr>
                <w:snapToGrid w:val="0"/>
                <w:color w:val="auto"/>
                <w:sz w:val="24"/>
              </w:rPr>
              <w:t>厂区平面布置图详见附图</w:t>
            </w:r>
            <w:r>
              <w:rPr>
                <w:rFonts w:hint="eastAsia"/>
                <w:snapToGrid w:val="0"/>
                <w:color w:val="auto"/>
                <w:sz w:val="24"/>
              </w:rPr>
              <w:t>4</w:t>
            </w:r>
            <w:r>
              <w:rPr>
                <w:snapToGrid w:val="0"/>
                <w:color w:val="auto"/>
                <w:sz w:val="24"/>
              </w:rPr>
              <w:t>，本项目平面布置图详见附图</w:t>
            </w:r>
            <w:r>
              <w:rPr>
                <w:rFonts w:hint="eastAsia"/>
                <w:snapToGrid w:val="0"/>
                <w:color w:val="auto"/>
                <w:sz w:val="24"/>
              </w:rPr>
              <w:t>5、6</w:t>
            </w:r>
            <w:r>
              <w:rPr>
                <w:snapToGrid w:val="0"/>
                <w:color w:val="auto"/>
                <w:sz w:val="24"/>
              </w:rPr>
              <w:t>。</w:t>
            </w:r>
          </w:p>
          <w:p>
            <w:pPr>
              <w:spacing w:line="360" w:lineRule="auto"/>
              <w:ind w:firstLine="482" w:firstLineChars="200"/>
              <w:rPr>
                <w:b/>
                <w:snapToGrid w:val="0"/>
                <w:color w:val="auto"/>
                <w:sz w:val="24"/>
              </w:rPr>
            </w:pPr>
            <w:r>
              <w:rPr>
                <w:b/>
                <w:snapToGrid w:val="0"/>
                <w:color w:val="auto"/>
                <w:sz w:val="24"/>
              </w:rPr>
              <w:t>10、项目总投资及资金来源</w:t>
            </w:r>
          </w:p>
          <w:p>
            <w:pPr>
              <w:adjustRightInd w:val="0"/>
              <w:snapToGrid w:val="0"/>
              <w:spacing w:line="360" w:lineRule="auto"/>
              <w:ind w:firstLine="480"/>
              <w:rPr>
                <w:color w:val="auto"/>
                <w:sz w:val="24"/>
                <w:lang w:val="zh-CN"/>
              </w:rPr>
            </w:pPr>
            <w:r>
              <w:rPr>
                <w:color w:val="auto"/>
                <w:sz w:val="24"/>
                <w:lang w:val="zh-CN"/>
              </w:rPr>
              <w:t>项目总投资</w:t>
            </w:r>
            <w:r>
              <w:rPr>
                <w:rFonts w:hint="eastAsia"/>
                <w:color w:val="auto"/>
                <w:sz w:val="24"/>
                <w:lang w:val="zh-CN"/>
              </w:rPr>
              <w:t>5748</w:t>
            </w:r>
            <w:r>
              <w:rPr>
                <w:color w:val="auto"/>
                <w:sz w:val="24"/>
                <w:lang w:val="zh-CN"/>
              </w:rPr>
              <w:t>万元，</w:t>
            </w:r>
            <w:r>
              <w:rPr>
                <w:rFonts w:hint="eastAsia"/>
                <w:color w:val="auto"/>
                <w:sz w:val="24"/>
                <w:lang w:val="zh-CN"/>
              </w:rPr>
              <w:t>资金来源为企业自筹</w:t>
            </w:r>
            <w:r>
              <w:rPr>
                <w:color w:val="auto"/>
                <w:sz w:val="24"/>
                <w:lang w:val="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88" w:hRule="atLeast"/>
          <w:jc w:val="center"/>
        </w:trPr>
        <w:tc>
          <w:tcPr>
            <w:tcW w:w="823" w:type="dxa"/>
            <w:vAlign w:val="center"/>
          </w:tcPr>
          <w:p>
            <w:pPr>
              <w:pStyle w:val="15"/>
              <w:adjustRightInd w:val="0"/>
              <w:snapToGrid w:val="0"/>
              <w:spacing w:before="0" w:beforeAutospacing="0" w:after="0" w:afterAutospacing="0"/>
              <w:jc w:val="center"/>
              <w:rPr>
                <w:rFonts w:cs="宋体"/>
                <w:color w:val="auto"/>
                <w:szCs w:val="24"/>
              </w:rPr>
            </w:pPr>
            <w:r>
              <w:rPr>
                <w:rFonts w:hint="eastAsia" w:cs="宋体"/>
                <w:color w:val="auto"/>
                <w:szCs w:val="24"/>
              </w:rPr>
              <w:t>工艺流程和产排污环节</w:t>
            </w:r>
          </w:p>
        </w:tc>
        <w:tc>
          <w:tcPr>
            <w:tcW w:w="8161" w:type="dxa"/>
          </w:tcPr>
          <w:p>
            <w:pPr>
              <w:spacing w:line="360" w:lineRule="auto"/>
              <w:ind w:firstLine="482" w:firstLineChars="200"/>
              <w:jc w:val="left"/>
              <w:rPr>
                <w:rFonts w:ascii="宋体" w:hAnsi="宋体"/>
                <w:b/>
                <w:color w:val="auto"/>
                <w:sz w:val="24"/>
              </w:rPr>
            </w:pPr>
            <w:r>
              <w:rPr>
                <w:rFonts w:hint="eastAsia"/>
                <w:b/>
                <w:color w:val="auto"/>
                <w:sz w:val="24"/>
              </w:rPr>
              <w:t>1</w:t>
            </w:r>
            <w:r>
              <w:rPr>
                <w:rFonts w:hAnsi="宋体"/>
                <w:b/>
                <w:color w:val="auto"/>
                <w:sz w:val="24"/>
              </w:rPr>
              <w:t>、</w:t>
            </w:r>
            <w:r>
              <w:rPr>
                <w:rFonts w:hint="eastAsia" w:ascii="宋体" w:hAnsi="宋体"/>
                <w:b/>
                <w:color w:val="auto"/>
                <w:sz w:val="24"/>
              </w:rPr>
              <w:t>施工期</w:t>
            </w:r>
          </w:p>
          <w:p>
            <w:pPr>
              <w:spacing w:line="360" w:lineRule="auto"/>
              <w:ind w:firstLine="480" w:firstLineChars="200"/>
              <w:jc w:val="left"/>
              <w:rPr>
                <w:color w:val="auto"/>
                <w:sz w:val="24"/>
                <w:szCs w:val="20"/>
              </w:rPr>
            </w:pPr>
            <w:r>
              <w:rPr>
                <w:color w:val="auto"/>
                <w:sz w:val="24"/>
                <w:szCs w:val="20"/>
              </w:rPr>
              <w:t>项目工程建设</w:t>
            </w:r>
            <w:r>
              <w:rPr>
                <w:rFonts w:hint="eastAsia"/>
                <w:color w:val="auto"/>
                <w:sz w:val="24"/>
                <w:szCs w:val="20"/>
              </w:rPr>
              <w:t>包括生产车间、辅助仓库，施工阶段主要包括基础工程、主体工程以及设备安装、调试等，至竣工验收完成施工期结束。</w:t>
            </w:r>
          </w:p>
          <w:p>
            <w:pPr>
              <w:spacing w:line="360" w:lineRule="auto"/>
              <w:ind w:firstLine="480" w:firstLineChars="200"/>
              <w:jc w:val="left"/>
              <w:rPr>
                <w:rFonts w:hAnsi="宋体"/>
                <w:color w:val="auto"/>
                <w:sz w:val="24"/>
                <w:szCs w:val="20"/>
              </w:rPr>
            </w:pPr>
            <w:r>
              <w:rPr>
                <w:rFonts w:hint="eastAsia" w:hAnsi="宋体"/>
                <w:color w:val="auto"/>
                <w:sz w:val="24"/>
                <w:szCs w:val="20"/>
              </w:rPr>
              <w:t>期间主要产生施工扬尘、施工机械和运输车辆废气、施工废水和生活污水、施工噪声、建筑垃圾和生活垃圾等污染。施工期工艺流程及产物环节见图2-</w:t>
            </w:r>
            <w:r>
              <w:rPr>
                <w:rFonts w:hint="eastAsia" w:hAnsi="宋体"/>
                <w:color w:val="auto"/>
                <w:sz w:val="24"/>
                <w:szCs w:val="20"/>
                <w:lang w:val="en-US" w:eastAsia="zh-CN"/>
              </w:rPr>
              <w:t>2</w:t>
            </w:r>
            <w:r>
              <w:rPr>
                <w:rFonts w:hint="eastAsia" w:hAnsi="宋体"/>
                <w:color w:val="auto"/>
                <w:sz w:val="24"/>
                <w:szCs w:val="20"/>
              </w:rPr>
              <w:t>。</w:t>
            </w:r>
          </w:p>
          <w:p>
            <w:pPr>
              <w:spacing w:line="360" w:lineRule="auto"/>
              <w:rPr>
                <w:rFonts w:hAnsi="宋体"/>
                <w:color w:val="auto"/>
                <w:sz w:val="24"/>
                <w:szCs w:val="20"/>
              </w:rPr>
            </w:pPr>
            <w:r>
              <w:rPr>
                <w:color w:val="auto"/>
              </w:rPr>
              <w:object>
                <v:shape id="_x0000_i1026" o:spt="75" type="#_x0000_t75" style="height:66.15pt;width:406.05pt;" o:ole="t" filled="f" o:preferrelative="t" stroked="f" coordsize="21600,21600">
                  <v:path/>
                  <v:fill on="f" focussize="0,0"/>
                  <v:stroke on="f" joinstyle="miter"/>
                  <v:imagedata r:id="rId12" o:title=""/>
                  <o:lock v:ext="edit" aspectratio="t"/>
                  <w10:wrap type="none"/>
                  <w10:anchorlock/>
                </v:shape>
                <o:OLEObject Type="Embed" ProgID="Visio.Drawing.11" ShapeID="_x0000_i1026" DrawAspect="Content" ObjectID="_1468075726" r:id="rId11">
                  <o:LockedField>false</o:LockedField>
                </o:OLEObject>
              </w:object>
            </w:r>
          </w:p>
          <w:p>
            <w:pPr>
              <w:adjustRightInd w:val="0"/>
              <w:snapToGrid w:val="0"/>
              <w:spacing w:line="360" w:lineRule="auto"/>
              <w:jc w:val="center"/>
              <w:rPr>
                <w:b/>
                <w:bCs/>
                <w:color w:val="auto"/>
                <w:sz w:val="24"/>
                <w:szCs w:val="28"/>
              </w:rPr>
            </w:pPr>
            <w:r>
              <w:rPr>
                <w:b/>
                <w:bCs/>
                <w:color w:val="auto"/>
                <w:sz w:val="24"/>
                <w:szCs w:val="28"/>
              </w:rPr>
              <w:t>图</w:t>
            </w:r>
            <w:r>
              <w:rPr>
                <w:rFonts w:hint="eastAsia"/>
                <w:b/>
                <w:bCs/>
                <w:color w:val="auto"/>
                <w:sz w:val="24"/>
                <w:szCs w:val="28"/>
              </w:rPr>
              <w:t>2-</w:t>
            </w:r>
            <w:r>
              <w:rPr>
                <w:rFonts w:hint="eastAsia"/>
                <w:b/>
                <w:bCs/>
                <w:color w:val="auto"/>
                <w:sz w:val="24"/>
                <w:szCs w:val="28"/>
                <w:lang w:val="en-US" w:eastAsia="zh-CN"/>
              </w:rPr>
              <w:t>2</w:t>
            </w:r>
            <w:r>
              <w:rPr>
                <w:b/>
                <w:bCs/>
                <w:color w:val="auto"/>
                <w:sz w:val="24"/>
                <w:szCs w:val="28"/>
              </w:rPr>
              <w:t xml:space="preserve">   施工期工艺流程及产污环节示意图</w:t>
            </w:r>
          </w:p>
          <w:p>
            <w:pPr>
              <w:spacing w:line="360" w:lineRule="auto"/>
              <w:ind w:firstLine="482" w:firstLineChars="200"/>
              <w:jc w:val="left"/>
              <w:rPr>
                <w:rFonts w:ascii="宋体" w:hAnsi="宋体"/>
                <w:b/>
                <w:color w:val="auto"/>
                <w:sz w:val="24"/>
              </w:rPr>
            </w:pPr>
            <w:r>
              <w:rPr>
                <w:rFonts w:hint="eastAsia"/>
                <w:b/>
                <w:color w:val="auto"/>
                <w:sz w:val="24"/>
              </w:rPr>
              <w:t>2</w:t>
            </w:r>
            <w:r>
              <w:rPr>
                <w:rFonts w:hAnsi="宋体"/>
                <w:b/>
                <w:color w:val="auto"/>
                <w:sz w:val="24"/>
              </w:rPr>
              <w:t>、</w:t>
            </w:r>
            <w:r>
              <w:rPr>
                <w:rFonts w:hint="eastAsia" w:ascii="宋体" w:hAnsi="宋体"/>
                <w:b/>
                <w:color w:val="auto"/>
                <w:sz w:val="24"/>
              </w:rPr>
              <w:t>运营期</w:t>
            </w:r>
          </w:p>
          <w:p>
            <w:pPr>
              <w:spacing w:line="360" w:lineRule="auto"/>
              <w:ind w:firstLine="480" w:firstLineChars="200"/>
              <w:rPr>
                <w:color w:val="auto"/>
                <w:sz w:val="24"/>
              </w:rPr>
            </w:pPr>
            <w:r>
              <w:rPr>
                <w:rFonts w:hint="eastAsia"/>
                <w:color w:val="auto"/>
                <w:sz w:val="24"/>
              </w:rPr>
              <w:t>项目根据产品性质及主料差异将生产线分为A、B两组，通过改变原料配比形成不同性能的产品。其中A产线的原料为硫铝酸盐水泥、铝酸盐水泥主料和外加剂A、外加剂B、外加剂C、砂石，产品为快速修补材料、无机堵水材料、</w:t>
            </w:r>
            <w:r>
              <w:rPr>
                <w:rFonts w:hint="eastAsia"/>
                <w:color w:val="auto"/>
                <w:sz w:val="24"/>
              </w:rPr>
              <w:t>单组分无机加固材料</w:t>
            </w:r>
            <w:r>
              <w:rPr>
                <w:rFonts w:hint="eastAsia"/>
                <w:color w:val="auto"/>
                <w:sz w:val="24"/>
                <w:lang w:eastAsia="zh-CN"/>
              </w:rPr>
              <w:t>、</w:t>
            </w:r>
            <w:r>
              <w:rPr>
                <w:rFonts w:hint="eastAsia"/>
                <w:color w:val="auto"/>
                <w:sz w:val="24"/>
              </w:rPr>
              <w:t>双组分无机加固材料A料和高水充填材料A料；B产线的原料为普通硅酸盐水泥、硫铝酸盐水泥主料和石灰、石膏、外加剂A、外加剂C，产品为双组份无机加固材料B料、无机注浆封孔材料、高水充填材料B料和无机喷涂材料。</w:t>
            </w:r>
          </w:p>
          <w:p>
            <w:pPr>
              <w:spacing w:line="360" w:lineRule="auto"/>
              <w:ind w:firstLine="480" w:firstLineChars="200"/>
              <w:rPr>
                <w:color w:val="auto"/>
                <w:sz w:val="24"/>
              </w:rPr>
            </w:pPr>
            <w:r>
              <w:rPr>
                <w:color w:val="auto"/>
                <w:sz w:val="24"/>
              </w:rPr>
              <w:t>项目运营期主要生产工艺流程及排污环节详见图2-</w:t>
            </w:r>
            <w:r>
              <w:rPr>
                <w:rFonts w:hint="eastAsia"/>
                <w:color w:val="auto"/>
                <w:sz w:val="24"/>
                <w:lang w:val="en-US" w:eastAsia="zh-CN"/>
              </w:rPr>
              <w:t>3</w:t>
            </w:r>
            <w:r>
              <w:rPr>
                <w:color w:val="auto"/>
                <w:sz w:val="24"/>
              </w:rPr>
              <w:t>、</w:t>
            </w:r>
            <w:r>
              <w:rPr>
                <w:rFonts w:hint="eastAsia"/>
                <w:color w:val="auto"/>
                <w:sz w:val="24"/>
              </w:rPr>
              <w:t>2-</w:t>
            </w:r>
            <w:r>
              <w:rPr>
                <w:rFonts w:hint="eastAsia"/>
                <w:color w:val="auto"/>
                <w:sz w:val="24"/>
                <w:lang w:val="en-US" w:eastAsia="zh-CN"/>
              </w:rPr>
              <w:t>4</w:t>
            </w:r>
            <w:r>
              <w:rPr>
                <w:rFonts w:hint="eastAsia"/>
                <w:color w:val="auto"/>
                <w:sz w:val="24"/>
              </w:rPr>
              <w:t>。</w:t>
            </w:r>
          </w:p>
          <w:p>
            <w:pPr>
              <w:spacing w:line="360" w:lineRule="auto"/>
              <w:ind w:firstLine="482" w:firstLineChars="200"/>
              <w:rPr>
                <w:b/>
                <w:bCs/>
                <w:color w:val="auto"/>
                <w:sz w:val="24"/>
              </w:rPr>
            </w:pPr>
            <w:r>
              <w:rPr>
                <w:rFonts w:hint="eastAsia"/>
                <w:b/>
                <w:bCs/>
                <w:color w:val="auto"/>
                <w:sz w:val="24"/>
              </w:rPr>
              <w:t>A产线</w:t>
            </w:r>
            <w:r>
              <w:rPr>
                <w:b/>
                <w:bCs/>
                <w:color w:val="auto"/>
                <w:sz w:val="24"/>
              </w:rPr>
              <w:t>工艺流程说明如下：</w:t>
            </w:r>
          </w:p>
          <w:p>
            <w:pPr>
              <w:spacing w:line="360" w:lineRule="auto"/>
              <w:ind w:firstLine="480" w:firstLineChars="200"/>
              <w:rPr>
                <w:bCs/>
                <w:color w:val="auto"/>
                <w:sz w:val="24"/>
              </w:rPr>
            </w:pPr>
            <w:r>
              <w:rPr>
                <w:rFonts w:hint="eastAsia"/>
                <w:bCs/>
                <w:color w:val="auto"/>
                <w:sz w:val="24"/>
              </w:rPr>
              <w:t>（1）称重配料</w:t>
            </w:r>
          </w:p>
          <w:p>
            <w:pPr>
              <w:spacing w:line="360" w:lineRule="auto"/>
              <w:ind w:firstLine="480" w:firstLineChars="200"/>
              <w:rPr>
                <w:bCs/>
                <w:color w:val="auto"/>
                <w:sz w:val="24"/>
              </w:rPr>
            </w:pPr>
            <w:r>
              <w:rPr>
                <w:rFonts w:hint="eastAsia"/>
                <w:bCs/>
                <w:color w:val="auto"/>
                <w:sz w:val="24"/>
              </w:rPr>
              <w:t>外购的铝酸盐水泥和硫铝酸盐水泥分别由水泥罐车运至厂内，通过压力分别打入铝酸盐水泥筒仓和硫铝酸盐水泥筒仓，筒仓中的水泥分别由密闭式螺旋输送机送至配料仓进行称重和配料；外购的砂石由自卸式汽车运至厂内，</w:t>
            </w:r>
            <w:r>
              <w:rPr>
                <w:rFonts w:hint="eastAsia"/>
                <w:bCs/>
                <w:color w:val="auto"/>
                <w:sz w:val="24"/>
                <w:lang w:eastAsia="zh-CN"/>
              </w:rPr>
              <w:t>直接卸至地下</w:t>
            </w:r>
            <w:r>
              <w:rPr>
                <w:rFonts w:hint="eastAsia"/>
                <w:bCs/>
                <w:color w:val="auto"/>
                <w:sz w:val="24"/>
              </w:rPr>
              <w:t>砂石料斗</w:t>
            </w:r>
            <w:r>
              <w:rPr>
                <w:rFonts w:hint="eastAsia"/>
                <w:bCs/>
                <w:color w:val="auto"/>
                <w:sz w:val="24"/>
                <w:lang w:eastAsia="zh-CN"/>
              </w:rPr>
              <w:t>进料</w:t>
            </w:r>
            <w:r>
              <w:rPr>
                <w:rFonts w:hint="eastAsia"/>
                <w:bCs/>
                <w:color w:val="auto"/>
                <w:sz w:val="24"/>
              </w:rPr>
              <w:t>，再通过辅料提升系统（斗式提升机）输送至砂石筒仓，筒仓内的砂石由密闭式螺旋输送机送至配料仓进行称重和配料；外购的袋装外加剂（A、B、C）暂存于辅助仓库，由叉车运至生产车间内，之后由升降机提升至外加剂料仓的设备平台进行人工破袋上料，再由密闭式螺旋输送机输送至配料仓进行称重和配料。该工序在原料运输、装卸及上料仓口进料过程中会产生粉尘及噪声，输送机运行时也会产生噪声，还会产生废包装材料。</w:t>
            </w:r>
          </w:p>
          <w:p>
            <w:pPr>
              <w:spacing w:line="360" w:lineRule="auto"/>
              <w:ind w:firstLine="480" w:firstLineChars="200"/>
              <w:rPr>
                <w:bCs/>
                <w:color w:val="auto"/>
                <w:sz w:val="24"/>
              </w:rPr>
            </w:pPr>
            <w:r>
              <w:rPr>
                <w:rFonts w:hint="eastAsia"/>
                <w:bCs/>
                <w:color w:val="auto"/>
                <w:sz w:val="24"/>
              </w:rPr>
              <w:t>（2）混合搅拌</w:t>
            </w:r>
          </w:p>
          <w:p>
            <w:pPr>
              <w:spacing w:line="360" w:lineRule="auto"/>
              <w:ind w:firstLine="480" w:firstLineChars="200"/>
              <w:rPr>
                <w:bCs/>
                <w:color w:val="auto"/>
                <w:sz w:val="24"/>
              </w:rPr>
            </w:pPr>
            <w:r>
              <w:rPr>
                <w:rFonts w:hint="eastAsia"/>
                <w:bCs/>
                <w:color w:val="auto"/>
                <w:sz w:val="24"/>
              </w:rPr>
              <w:t>称重配料后的水泥、砂石和外加剂经密闭管道及重力作用送至密闭式混料机进行搅拌。该工序在原料投入搅拌机槽的过程中会产生粉尘、噪声，搅拌机运行时会产生噪声。</w:t>
            </w:r>
          </w:p>
          <w:p>
            <w:pPr>
              <w:spacing w:line="360" w:lineRule="auto"/>
              <w:ind w:firstLine="480" w:firstLineChars="200"/>
              <w:rPr>
                <w:bCs/>
                <w:color w:val="auto"/>
                <w:sz w:val="24"/>
              </w:rPr>
            </w:pPr>
            <w:r>
              <w:rPr>
                <w:rFonts w:hint="eastAsia"/>
                <w:bCs/>
                <w:color w:val="auto"/>
                <w:sz w:val="24"/>
              </w:rPr>
              <w:t>（3）检测</w:t>
            </w:r>
          </w:p>
          <w:p>
            <w:pPr>
              <w:spacing w:line="360" w:lineRule="auto"/>
              <w:ind w:firstLine="480" w:firstLineChars="200"/>
              <w:rPr>
                <w:bCs/>
                <w:color w:val="auto"/>
                <w:sz w:val="24"/>
              </w:rPr>
            </w:pPr>
            <w:r>
              <w:rPr>
                <w:rFonts w:hint="eastAsia"/>
                <w:bCs/>
                <w:color w:val="auto"/>
                <w:sz w:val="24"/>
              </w:rPr>
              <w:t>混合搅拌后的物料需取样进行检测，检测合格之后由密闭式螺旋输送机输送至成品仓暂存。该工序会产生粉尘、噪声及不合格产品。</w:t>
            </w:r>
          </w:p>
          <w:p>
            <w:pPr>
              <w:spacing w:line="360" w:lineRule="auto"/>
              <w:ind w:firstLine="480" w:firstLineChars="200"/>
              <w:rPr>
                <w:bCs/>
                <w:color w:val="auto"/>
                <w:sz w:val="24"/>
              </w:rPr>
            </w:pPr>
            <w:r>
              <w:rPr>
                <w:rFonts w:hint="eastAsia"/>
                <w:bCs/>
                <w:color w:val="auto"/>
                <w:sz w:val="24"/>
              </w:rPr>
              <w:t>（4）缝线包装</w:t>
            </w:r>
          </w:p>
          <w:p>
            <w:pPr>
              <w:spacing w:line="360" w:lineRule="auto"/>
              <w:ind w:firstLine="480" w:firstLineChars="200"/>
              <w:rPr>
                <w:bCs/>
                <w:color w:val="auto"/>
                <w:sz w:val="24"/>
              </w:rPr>
            </w:pPr>
            <w:r>
              <w:rPr>
                <w:rFonts w:hint="eastAsia"/>
                <w:bCs/>
                <w:color w:val="auto"/>
                <w:sz w:val="24"/>
              </w:rPr>
              <w:t>成品仓中的物料经密闭管道输送至缝线包装系统进行自动包装。该工序会产生粉尘、噪声及废包装材料。</w:t>
            </w:r>
          </w:p>
          <w:p>
            <w:pPr>
              <w:spacing w:line="360" w:lineRule="auto"/>
              <w:rPr>
                <w:color w:val="auto"/>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2579370</wp:posOffset>
                      </wp:positionH>
                      <wp:positionV relativeFrom="paragraph">
                        <wp:posOffset>298450</wp:posOffset>
                      </wp:positionV>
                      <wp:extent cx="970280" cy="209550"/>
                      <wp:effectExtent l="0" t="0" r="1270" b="0"/>
                      <wp:wrapNone/>
                      <wp:docPr id="5" name="文本框 5"/>
                      <wp:cNvGraphicFramePr/>
                      <a:graphic xmlns:a="http://schemas.openxmlformats.org/drawingml/2006/main">
                        <a:graphicData uri="http://schemas.microsoft.com/office/word/2010/wordprocessingShape">
                          <wps:wsp>
                            <wps:cNvSpPr txBox="1"/>
                            <wps:spPr>
                              <a:xfrm>
                                <a:off x="4072255" y="3767455"/>
                                <a:ext cx="970280"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eastAsia="zh-CN"/>
                                    </w:rPr>
                                  </w:pPr>
                                  <w:r>
                                    <w:rPr>
                                      <w:rFonts w:hint="eastAsia"/>
                                      <w:sz w:val="15"/>
                                      <w:szCs w:val="15"/>
                                      <w:lang w:eastAsia="zh-CN"/>
                                    </w:rPr>
                                    <w:t>自卸式汽车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1pt;margin-top:23.5pt;height:16.5pt;width:76.4pt;z-index:251661312;mso-width-relative:page;mso-height-relative:page;" fillcolor="#FFFFFF [3201]" filled="t" stroked="f" coordsize="21600,21600" o:gfxdata="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e9mj31AAA&#10;AAkBAAAPAAAAAAAAAAEAIAAAACIAAABkcnMvZG93bnJldi54bWxQSwECFAAUAAAACACHTuJAshuq&#10;4FsCAACaBAAADgAAAAAAAAABACAAAAAjAQAAZHJzL2Uyb0RvYy54bWxQSwUGAAAAAAYABgBZAQAA&#10;8AUAAAAA&#10;">
                      <v:fill on="t" focussize="0,0"/>
                      <v:stroke on="f" weight="0.5pt"/>
                      <v:imagedata o:title=""/>
                      <o:lock v:ext="edit" aspectratio="f"/>
                      <v:textbox>
                        <w:txbxContent>
                          <w:p>
                            <w:pPr>
                              <w:rPr>
                                <w:rFonts w:hint="eastAsia" w:eastAsia="宋体"/>
                                <w:sz w:val="15"/>
                                <w:szCs w:val="15"/>
                                <w:lang w:eastAsia="zh-CN"/>
                              </w:rPr>
                            </w:pPr>
                            <w:r>
                              <w:rPr>
                                <w:rFonts w:hint="eastAsia"/>
                                <w:sz w:val="15"/>
                                <w:szCs w:val="15"/>
                                <w:lang w:eastAsia="zh-CN"/>
                              </w:rPr>
                              <w:t>自卸式汽车</w:t>
                            </w:r>
                          </w:p>
                        </w:txbxContent>
                      </v:textbox>
                    </v:shape>
                  </w:pict>
                </mc:Fallback>
              </mc:AlternateContent>
            </w:r>
            <w:r>
              <w:rPr>
                <w:color w:val="auto"/>
              </w:rPr>
              <w:object>
                <v:shape id="_x0000_i1027" o:spt="75" type="#_x0000_t75" style="height:468pt;width:406.05pt;" o:ole="t" filled="f" o:preferrelative="t" stroked="f" coordsize="21600,21600">
                  <v:path/>
                  <v:fill on="f" focussize="0,0"/>
                  <v:stroke on="f" joinstyle="miter"/>
                  <v:imagedata r:id="rId14" o:title=""/>
                  <o:lock v:ext="edit" aspectratio="t"/>
                  <w10:wrap type="none"/>
                  <w10:anchorlock/>
                </v:shape>
                <o:OLEObject Type="Embed" ProgID="Visio.Drawing.11" ShapeID="_x0000_i1027" DrawAspect="Content" ObjectID="_1468075727" r:id="rId13">
                  <o:LockedField>false</o:LockedField>
                </o:OLEObject>
              </w:object>
            </w:r>
          </w:p>
          <w:p>
            <w:pPr>
              <w:spacing w:line="360" w:lineRule="auto"/>
              <w:ind w:firstLine="482" w:firstLineChars="200"/>
              <w:jc w:val="center"/>
              <w:rPr>
                <w:bCs/>
                <w:color w:val="auto"/>
                <w:sz w:val="24"/>
                <w:highlight w:val="none"/>
              </w:rPr>
            </w:pPr>
            <w:r>
              <w:rPr>
                <w:b/>
                <w:bCs/>
                <w:color w:val="auto"/>
                <w:sz w:val="24"/>
                <w:szCs w:val="28"/>
                <w:highlight w:val="none"/>
              </w:rPr>
              <w:t>图</w:t>
            </w:r>
            <w:r>
              <w:rPr>
                <w:rFonts w:hint="eastAsia"/>
                <w:b/>
                <w:bCs/>
                <w:color w:val="auto"/>
                <w:sz w:val="24"/>
                <w:szCs w:val="28"/>
                <w:highlight w:val="none"/>
              </w:rPr>
              <w:t>2-</w:t>
            </w:r>
            <w:r>
              <w:rPr>
                <w:rFonts w:hint="eastAsia"/>
                <w:b/>
                <w:bCs/>
                <w:color w:val="auto"/>
                <w:sz w:val="24"/>
                <w:szCs w:val="28"/>
                <w:highlight w:val="none"/>
                <w:lang w:val="en-US" w:eastAsia="zh-CN"/>
              </w:rPr>
              <w:t>3</w:t>
            </w:r>
            <w:r>
              <w:rPr>
                <w:b/>
                <w:bCs/>
                <w:color w:val="auto"/>
                <w:sz w:val="24"/>
                <w:szCs w:val="28"/>
                <w:highlight w:val="none"/>
              </w:rPr>
              <w:t xml:space="preserve">   </w:t>
            </w:r>
            <w:r>
              <w:rPr>
                <w:rFonts w:hint="eastAsia"/>
                <w:b/>
                <w:bCs/>
                <w:color w:val="auto"/>
                <w:sz w:val="24"/>
                <w:szCs w:val="28"/>
                <w:highlight w:val="none"/>
              </w:rPr>
              <w:t>项目运营</w:t>
            </w:r>
            <w:r>
              <w:rPr>
                <w:b/>
                <w:bCs/>
                <w:color w:val="auto"/>
                <w:sz w:val="24"/>
                <w:szCs w:val="28"/>
                <w:highlight w:val="none"/>
              </w:rPr>
              <w:t>期</w:t>
            </w:r>
            <w:r>
              <w:rPr>
                <w:rFonts w:hint="eastAsia"/>
                <w:b/>
                <w:bCs/>
                <w:color w:val="auto"/>
                <w:sz w:val="24"/>
                <w:szCs w:val="28"/>
                <w:highlight w:val="none"/>
              </w:rPr>
              <w:t>A</w:t>
            </w:r>
            <w:r>
              <w:rPr>
                <w:b/>
                <w:bCs/>
                <w:color w:val="auto"/>
                <w:sz w:val="24"/>
                <w:szCs w:val="28"/>
                <w:highlight w:val="none"/>
              </w:rPr>
              <w:t>产线工艺流程及产污环节示意图</w:t>
            </w:r>
          </w:p>
          <w:p>
            <w:pPr>
              <w:spacing w:line="360" w:lineRule="auto"/>
              <w:ind w:firstLine="480" w:firstLineChars="200"/>
              <w:rPr>
                <w:bCs/>
                <w:color w:val="auto"/>
                <w:sz w:val="24"/>
              </w:rPr>
            </w:pPr>
            <w:r>
              <w:rPr>
                <w:rFonts w:hint="eastAsia"/>
                <w:bCs/>
                <w:color w:val="auto"/>
                <w:sz w:val="24"/>
              </w:rPr>
              <w:t>（5）码垛、缠膜</w:t>
            </w:r>
          </w:p>
          <w:p>
            <w:pPr>
              <w:spacing w:line="360" w:lineRule="auto"/>
              <w:ind w:firstLine="480" w:firstLineChars="200"/>
              <w:rPr>
                <w:bCs/>
                <w:color w:val="auto"/>
                <w:sz w:val="24"/>
              </w:rPr>
            </w:pPr>
            <w:r>
              <w:rPr>
                <w:rFonts w:hint="eastAsia"/>
                <w:bCs/>
                <w:color w:val="auto"/>
                <w:sz w:val="24"/>
              </w:rPr>
              <w:t>缝线包装后的成品由输送带运至码垛和缠膜系统进一步进行包装。</w:t>
            </w:r>
            <w:r>
              <w:rPr>
                <w:rFonts w:hint="eastAsia"/>
                <w:bCs/>
                <w:color w:val="auto"/>
                <w:sz w:val="24"/>
                <w:lang w:eastAsia="zh-CN"/>
              </w:rPr>
              <w:t>成品采用袋装形式，为了进一步防潮采用</w:t>
            </w:r>
            <w:r>
              <w:rPr>
                <w:rFonts w:hint="eastAsia"/>
                <w:bCs/>
                <w:color w:val="auto"/>
                <w:sz w:val="24"/>
                <w:lang w:val="en-US" w:eastAsia="zh-CN"/>
              </w:rPr>
              <w:t>PE材质薄膜进行缠膜。</w:t>
            </w:r>
            <w:r>
              <w:rPr>
                <w:rFonts w:hint="eastAsia"/>
                <w:bCs/>
                <w:color w:val="auto"/>
                <w:sz w:val="24"/>
              </w:rPr>
              <w:t>该工序会产生噪声及废包装材料。</w:t>
            </w:r>
          </w:p>
          <w:p>
            <w:pPr>
              <w:spacing w:line="360" w:lineRule="auto"/>
              <w:ind w:firstLine="480" w:firstLineChars="200"/>
              <w:rPr>
                <w:bCs/>
                <w:color w:val="auto"/>
                <w:sz w:val="24"/>
              </w:rPr>
            </w:pPr>
            <w:r>
              <w:rPr>
                <w:rFonts w:hint="eastAsia"/>
                <w:bCs/>
                <w:color w:val="auto"/>
                <w:sz w:val="24"/>
              </w:rPr>
              <w:t>（6）入库待售</w:t>
            </w:r>
          </w:p>
          <w:p>
            <w:pPr>
              <w:spacing w:line="360" w:lineRule="auto"/>
              <w:ind w:firstLine="480" w:firstLineChars="200"/>
              <w:rPr>
                <w:bCs/>
                <w:color w:val="auto"/>
                <w:sz w:val="24"/>
              </w:rPr>
            </w:pPr>
            <w:r>
              <w:rPr>
                <w:rFonts w:hint="eastAsia"/>
                <w:bCs/>
                <w:color w:val="auto"/>
                <w:sz w:val="24"/>
              </w:rPr>
              <w:t>码垛、缠膜后的产品，由叉车运至中间仓库的成品区暂存待售。该工序会产生噪声。</w:t>
            </w:r>
          </w:p>
          <w:p>
            <w:pPr>
              <w:spacing w:line="360" w:lineRule="auto"/>
              <w:ind w:firstLine="482" w:firstLineChars="200"/>
              <w:rPr>
                <w:b/>
                <w:bCs/>
                <w:color w:val="auto"/>
                <w:sz w:val="24"/>
              </w:rPr>
            </w:pPr>
            <w:r>
              <w:rPr>
                <w:rFonts w:hint="eastAsia"/>
                <w:b/>
                <w:bCs/>
                <w:color w:val="auto"/>
                <w:sz w:val="24"/>
              </w:rPr>
              <w:t>B产线</w:t>
            </w:r>
            <w:r>
              <w:rPr>
                <w:b/>
                <w:bCs/>
                <w:color w:val="auto"/>
                <w:sz w:val="24"/>
              </w:rPr>
              <w:t>工艺流程说明如下：</w:t>
            </w:r>
          </w:p>
          <w:p>
            <w:pPr>
              <w:spacing w:line="360" w:lineRule="auto"/>
              <w:ind w:firstLine="480" w:firstLineChars="200"/>
              <w:rPr>
                <w:bCs/>
                <w:color w:val="auto"/>
                <w:sz w:val="24"/>
              </w:rPr>
            </w:pPr>
            <w:r>
              <w:rPr>
                <w:rFonts w:hint="eastAsia"/>
                <w:bCs/>
                <w:color w:val="auto"/>
                <w:sz w:val="24"/>
              </w:rPr>
              <w:t>（1）称重配料</w:t>
            </w:r>
          </w:p>
          <w:p>
            <w:pPr>
              <w:spacing w:line="360" w:lineRule="auto"/>
              <w:ind w:firstLine="480" w:firstLineChars="200"/>
              <w:rPr>
                <w:bCs/>
                <w:color w:val="auto"/>
                <w:sz w:val="24"/>
              </w:rPr>
            </w:pPr>
            <w:r>
              <w:rPr>
                <w:rFonts w:hint="eastAsia"/>
                <w:bCs/>
                <w:color w:val="auto"/>
                <w:sz w:val="24"/>
              </w:rPr>
              <w:t>外购的普通硅酸盐水泥和硫铝酸盐水泥分别由水泥罐车运至厂内，通过压力分别打入普通硅酸盐水泥筒仓和硫铝酸盐水泥筒仓，筒仓中的水泥分别由密闭式螺旋输送机送至配料仓进行称重和配料；外购的袋装外加剂（A、B、C）和石灰、石膏分别暂存于辅助仓库和中间仓库的原料区，均由叉车运至生产线附近，之后由升降机提升至外加剂料仓的设备平台进行人工破袋上料，再由密闭式螺旋输送机输送至配料仓进行称重和配料。该工序在原料运输、装卸及上料仓口进料过程中会产生粉尘及噪声，输送机运行时也会产生噪声，还会产生废包装材料。</w:t>
            </w:r>
          </w:p>
          <w:p>
            <w:pPr>
              <w:spacing w:line="360" w:lineRule="auto"/>
              <w:ind w:firstLine="480" w:firstLineChars="200"/>
              <w:rPr>
                <w:bCs/>
                <w:color w:val="auto"/>
                <w:sz w:val="24"/>
              </w:rPr>
            </w:pPr>
            <w:r>
              <w:rPr>
                <w:rFonts w:hint="eastAsia"/>
                <w:bCs/>
                <w:color w:val="auto"/>
                <w:sz w:val="24"/>
              </w:rPr>
              <w:t>（2）混合搅拌</w:t>
            </w:r>
          </w:p>
          <w:p>
            <w:pPr>
              <w:spacing w:line="360" w:lineRule="auto"/>
              <w:ind w:firstLine="480" w:firstLineChars="200"/>
              <w:rPr>
                <w:bCs/>
                <w:color w:val="auto"/>
                <w:sz w:val="24"/>
              </w:rPr>
            </w:pPr>
            <w:r>
              <w:rPr>
                <w:rFonts w:hint="eastAsia"/>
                <w:bCs/>
                <w:color w:val="auto"/>
                <w:sz w:val="24"/>
              </w:rPr>
              <w:t>称重配料后的水泥、石灰、石膏和外加剂经密闭管道及重力作用送至密闭式混料机进行搅拌。该工序在原料投入搅拌机槽的过程中会产生粉尘、噪声，搅拌机运行时会产生噪声。</w:t>
            </w:r>
          </w:p>
          <w:p>
            <w:pPr>
              <w:spacing w:line="360" w:lineRule="auto"/>
              <w:ind w:firstLine="480" w:firstLineChars="200"/>
              <w:rPr>
                <w:bCs/>
                <w:color w:val="auto"/>
                <w:sz w:val="24"/>
              </w:rPr>
            </w:pPr>
            <w:r>
              <w:rPr>
                <w:rFonts w:hint="eastAsia"/>
                <w:bCs/>
                <w:color w:val="auto"/>
                <w:sz w:val="24"/>
              </w:rPr>
              <w:t>（3）检测</w:t>
            </w:r>
          </w:p>
          <w:p>
            <w:pPr>
              <w:spacing w:line="360" w:lineRule="auto"/>
              <w:ind w:firstLine="480" w:firstLineChars="200"/>
              <w:rPr>
                <w:bCs/>
                <w:color w:val="auto"/>
                <w:sz w:val="24"/>
              </w:rPr>
            </w:pPr>
            <w:r>
              <w:rPr>
                <w:rFonts w:hint="eastAsia"/>
                <w:bCs/>
                <w:color w:val="auto"/>
                <w:sz w:val="24"/>
              </w:rPr>
              <w:t>混合搅拌后的物料需取样进行检测，检测合格之后由密闭式螺旋输送机输送至成品仓暂存。该工序会产生粉尘、噪声及不合格产品。</w:t>
            </w:r>
          </w:p>
          <w:p>
            <w:pPr>
              <w:spacing w:line="360" w:lineRule="auto"/>
              <w:ind w:firstLine="480" w:firstLineChars="200"/>
              <w:rPr>
                <w:bCs/>
                <w:color w:val="auto"/>
                <w:sz w:val="24"/>
              </w:rPr>
            </w:pPr>
            <w:r>
              <w:rPr>
                <w:rFonts w:hint="eastAsia"/>
                <w:bCs/>
                <w:color w:val="auto"/>
                <w:sz w:val="24"/>
              </w:rPr>
              <w:t>（4）缝线包装</w:t>
            </w:r>
          </w:p>
          <w:p>
            <w:pPr>
              <w:spacing w:line="360" w:lineRule="auto"/>
              <w:ind w:firstLine="480" w:firstLineChars="200"/>
              <w:rPr>
                <w:bCs/>
                <w:color w:val="auto"/>
                <w:sz w:val="24"/>
              </w:rPr>
            </w:pPr>
            <w:r>
              <w:rPr>
                <w:rFonts w:hint="eastAsia"/>
                <w:bCs/>
                <w:color w:val="auto"/>
                <w:sz w:val="24"/>
              </w:rPr>
              <w:t>成品仓中的物料经密闭管道输送至缝线包装系统进行自动包装。该工序会产生粉尘、噪声及废包装材料。</w:t>
            </w:r>
          </w:p>
          <w:p>
            <w:pPr>
              <w:spacing w:line="360" w:lineRule="auto"/>
              <w:ind w:firstLine="480" w:firstLineChars="200"/>
              <w:rPr>
                <w:bCs/>
                <w:color w:val="auto"/>
                <w:sz w:val="24"/>
              </w:rPr>
            </w:pPr>
            <w:r>
              <w:rPr>
                <w:rFonts w:hint="eastAsia"/>
                <w:bCs/>
                <w:color w:val="auto"/>
                <w:sz w:val="24"/>
              </w:rPr>
              <w:t>（5）码垛、缠膜</w:t>
            </w:r>
          </w:p>
          <w:p>
            <w:pPr>
              <w:spacing w:line="360" w:lineRule="auto"/>
              <w:ind w:firstLine="480" w:firstLineChars="200"/>
              <w:rPr>
                <w:bCs/>
                <w:color w:val="auto"/>
                <w:sz w:val="24"/>
              </w:rPr>
            </w:pPr>
            <w:r>
              <w:rPr>
                <w:rFonts w:hint="eastAsia"/>
                <w:bCs/>
                <w:color w:val="auto"/>
                <w:sz w:val="24"/>
              </w:rPr>
              <w:t>缝线包装后的成品由输送带运至码垛和缠膜系统进一步进行包装。</w:t>
            </w:r>
            <w:r>
              <w:rPr>
                <w:rFonts w:hint="eastAsia"/>
                <w:bCs/>
                <w:color w:val="auto"/>
                <w:sz w:val="24"/>
                <w:lang w:eastAsia="zh-CN"/>
              </w:rPr>
              <w:t>成品采用袋装形式，为了进一步防潮采用</w:t>
            </w:r>
            <w:r>
              <w:rPr>
                <w:rFonts w:hint="eastAsia"/>
                <w:bCs/>
                <w:color w:val="auto"/>
                <w:sz w:val="24"/>
                <w:lang w:val="en-US" w:eastAsia="zh-CN"/>
              </w:rPr>
              <w:t>PE材质薄膜进行缠膜。</w:t>
            </w:r>
            <w:r>
              <w:rPr>
                <w:rFonts w:hint="eastAsia"/>
                <w:bCs/>
                <w:color w:val="auto"/>
                <w:sz w:val="24"/>
              </w:rPr>
              <w:t>该工序会产生噪声及废包装材料。</w:t>
            </w:r>
          </w:p>
          <w:p>
            <w:pPr>
              <w:spacing w:line="360" w:lineRule="auto"/>
              <w:ind w:firstLine="480" w:firstLineChars="200"/>
              <w:rPr>
                <w:bCs/>
                <w:color w:val="auto"/>
                <w:sz w:val="24"/>
              </w:rPr>
            </w:pPr>
            <w:r>
              <w:rPr>
                <w:rFonts w:hint="eastAsia"/>
                <w:bCs/>
                <w:color w:val="auto"/>
                <w:sz w:val="24"/>
              </w:rPr>
              <w:t>（6）入库待售</w:t>
            </w:r>
          </w:p>
          <w:p>
            <w:pPr>
              <w:spacing w:line="360" w:lineRule="auto"/>
              <w:ind w:firstLine="480" w:firstLineChars="200"/>
              <w:rPr>
                <w:bCs/>
                <w:color w:val="auto"/>
                <w:sz w:val="24"/>
              </w:rPr>
            </w:pPr>
            <w:r>
              <w:rPr>
                <w:rFonts w:hint="eastAsia"/>
                <w:bCs/>
                <w:color w:val="auto"/>
                <w:sz w:val="24"/>
              </w:rPr>
              <w:t>码垛、缠膜后的产品，由叉车运至中间仓库的成品区暂存待售。该工序会产生噪声。</w:t>
            </w:r>
          </w:p>
          <w:p>
            <w:pPr>
              <w:spacing w:line="360" w:lineRule="auto"/>
              <w:rPr>
                <w:bCs/>
                <w:color w:val="auto"/>
                <w:sz w:val="24"/>
              </w:rPr>
            </w:pPr>
            <w:r>
              <w:rPr>
                <w:color w:val="auto"/>
              </w:rPr>
              <w:object>
                <v:shape id="_x0000_i1028" o:spt="75" type="#_x0000_t75" style="height:442.05pt;width:401.85pt;" o:ole="t" filled="f" o:preferrelative="t" stroked="f" coordsize="21600,21600">
                  <v:path/>
                  <v:fill on="f" focussize="0,0"/>
                  <v:stroke on="f" joinstyle="miter"/>
                  <v:imagedata r:id="rId16" o:title=""/>
                  <o:lock v:ext="edit" aspectratio="t"/>
                  <w10:wrap type="none"/>
                  <w10:anchorlock/>
                </v:shape>
                <o:OLEObject Type="Embed" ProgID="Visio.Drawing.11" ShapeID="_x0000_i1028" DrawAspect="Content" ObjectID="_1468075728" r:id="rId15">
                  <o:LockedField>false</o:LockedField>
                </o:OLEObject>
              </w:object>
            </w:r>
          </w:p>
          <w:p>
            <w:pPr>
              <w:spacing w:line="360" w:lineRule="auto"/>
              <w:jc w:val="center"/>
              <w:rPr>
                <w:bCs/>
                <w:color w:val="auto"/>
                <w:sz w:val="24"/>
              </w:rPr>
            </w:pPr>
            <w:r>
              <w:rPr>
                <w:b/>
                <w:bCs/>
                <w:color w:val="auto"/>
                <w:sz w:val="24"/>
                <w:szCs w:val="28"/>
              </w:rPr>
              <w:t>图</w:t>
            </w:r>
            <w:r>
              <w:rPr>
                <w:rFonts w:hint="eastAsia"/>
                <w:b/>
                <w:bCs/>
                <w:color w:val="auto"/>
                <w:sz w:val="24"/>
                <w:szCs w:val="28"/>
              </w:rPr>
              <w:t>2-</w:t>
            </w:r>
            <w:r>
              <w:rPr>
                <w:rFonts w:hint="eastAsia"/>
                <w:b/>
                <w:bCs/>
                <w:color w:val="auto"/>
                <w:sz w:val="24"/>
                <w:szCs w:val="28"/>
                <w:lang w:val="en-US" w:eastAsia="zh-CN"/>
              </w:rPr>
              <w:t>4</w:t>
            </w:r>
            <w:r>
              <w:rPr>
                <w:b/>
                <w:bCs/>
                <w:color w:val="auto"/>
                <w:sz w:val="24"/>
                <w:szCs w:val="28"/>
              </w:rPr>
              <w:t xml:space="preserve">   </w:t>
            </w:r>
            <w:r>
              <w:rPr>
                <w:rFonts w:hint="eastAsia"/>
                <w:b/>
                <w:bCs/>
                <w:color w:val="auto"/>
                <w:sz w:val="24"/>
                <w:szCs w:val="28"/>
              </w:rPr>
              <w:t>项目运营</w:t>
            </w:r>
            <w:r>
              <w:rPr>
                <w:b/>
                <w:bCs/>
                <w:color w:val="auto"/>
                <w:sz w:val="24"/>
                <w:szCs w:val="28"/>
              </w:rPr>
              <w:t>期</w:t>
            </w:r>
            <w:r>
              <w:rPr>
                <w:rFonts w:hint="eastAsia"/>
                <w:b/>
                <w:bCs/>
                <w:color w:val="auto"/>
                <w:sz w:val="24"/>
                <w:szCs w:val="28"/>
              </w:rPr>
              <w:t>B</w:t>
            </w:r>
            <w:r>
              <w:rPr>
                <w:b/>
                <w:bCs/>
                <w:color w:val="auto"/>
                <w:sz w:val="24"/>
                <w:szCs w:val="28"/>
              </w:rPr>
              <w:t>产线工艺流程及产污环节示意图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823" w:type="dxa"/>
            <w:vAlign w:val="center"/>
          </w:tcPr>
          <w:p>
            <w:pPr>
              <w:pStyle w:val="15"/>
              <w:adjustRightInd w:val="0"/>
              <w:snapToGrid w:val="0"/>
              <w:spacing w:before="0" w:beforeAutospacing="0" w:after="0" w:afterAutospacing="0"/>
              <w:jc w:val="center"/>
              <w:rPr>
                <w:rFonts w:cs="宋体"/>
                <w:color w:val="auto"/>
                <w:szCs w:val="24"/>
              </w:rPr>
            </w:pPr>
            <w:r>
              <w:rPr>
                <w:rFonts w:hint="eastAsia" w:cs="宋体"/>
                <w:bCs/>
                <w:color w:val="auto"/>
                <w:kern w:val="2"/>
                <w:szCs w:val="24"/>
              </w:rPr>
              <w:t>与项目有关的原有环境污染问题</w:t>
            </w:r>
          </w:p>
        </w:tc>
        <w:tc>
          <w:tcPr>
            <w:tcW w:w="8161" w:type="dxa"/>
          </w:tcPr>
          <w:p>
            <w:pPr>
              <w:adjustRightInd w:val="0"/>
              <w:snapToGrid w:val="0"/>
              <w:spacing w:line="360" w:lineRule="auto"/>
              <w:ind w:firstLine="482" w:firstLineChars="200"/>
              <w:rPr>
                <w:b/>
                <w:bCs/>
                <w:color w:val="auto"/>
                <w:sz w:val="24"/>
              </w:rPr>
            </w:pPr>
            <w:r>
              <w:rPr>
                <w:b/>
                <w:bCs/>
                <w:color w:val="auto"/>
                <w:sz w:val="24"/>
              </w:rPr>
              <w:t>1、现有项目概况</w:t>
            </w:r>
          </w:p>
          <w:p>
            <w:pPr>
              <w:adjustRightInd w:val="0"/>
              <w:snapToGrid w:val="0"/>
              <w:spacing w:line="360" w:lineRule="auto"/>
              <w:ind w:firstLine="480" w:firstLineChars="200"/>
              <w:rPr>
                <w:bCs/>
                <w:color w:val="auto"/>
                <w:sz w:val="24"/>
              </w:rPr>
            </w:pPr>
            <w:r>
              <w:rPr>
                <w:bCs/>
                <w:color w:val="auto"/>
                <w:sz w:val="24"/>
              </w:rPr>
              <w:t>厂区内正在建设</w:t>
            </w:r>
            <w:r>
              <w:rPr>
                <w:rFonts w:hint="eastAsia"/>
                <w:bCs/>
                <w:color w:val="auto"/>
                <w:sz w:val="24"/>
              </w:rPr>
              <w:t>“3万吨/年矿用高分子材料工业化示范项目”</w:t>
            </w:r>
            <w:r>
              <w:rPr>
                <w:bCs/>
                <w:color w:val="auto"/>
                <w:sz w:val="24"/>
              </w:rPr>
              <w:t>，该项目于</w:t>
            </w:r>
            <w:r>
              <w:rPr>
                <w:rFonts w:hint="eastAsia"/>
                <w:bCs/>
                <w:color w:val="auto"/>
                <w:sz w:val="24"/>
              </w:rPr>
              <w:t>2021年2月10日取得《渭南市生态环境局高新分局关于渭南陕煤启辰科技有限公司3万吨/年矿用高分子材料工业化示范项目环境影响报告表的批复》（渭高环审〔2021〕4号）。</w:t>
            </w:r>
          </w:p>
          <w:p>
            <w:pPr>
              <w:adjustRightInd w:val="0"/>
              <w:snapToGrid w:val="0"/>
              <w:spacing w:line="360" w:lineRule="auto"/>
              <w:ind w:firstLine="480" w:firstLineChars="200"/>
              <w:rPr>
                <w:bCs/>
                <w:color w:val="auto"/>
                <w:sz w:val="24"/>
              </w:rPr>
            </w:pPr>
            <w:r>
              <w:rPr>
                <w:bCs/>
                <w:color w:val="auto"/>
                <w:sz w:val="24"/>
              </w:rPr>
              <w:t>在建项目占地面积</w:t>
            </w:r>
            <w:r>
              <w:rPr>
                <w:rFonts w:hint="eastAsia"/>
                <w:bCs/>
                <w:color w:val="auto"/>
                <w:sz w:val="24"/>
              </w:rPr>
              <w:t>28190.9m</w:t>
            </w:r>
            <w:r>
              <w:rPr>
                <w:rFonts w:hint="eastAsia"/>
                <w:bCs/>
                <w:color w:val="auto"/>
                <w:sz w:val="24"/>
                <w:vertAlign w:val="superscript"/>
              </w:rPr>
              <w:t>2</w:t>
            </w:r>
            <w:r>
              <w:rPr>
                <w:rFonts w:hint="eastAsia"/>
                <w:bCs/>
                <w:color w:val="auto"/>
                <w:sz w:val="24"/>
              </w:rPr>
              <w:t>，主要建设内容包括1座高分子材料生产车间、储罐区、1座综合楼、1座联合站房（包含锅炉房、配电室等公辅工程），项目产品包括矿用高分子材料A料（包括复合材料A、喷涂材料A、封孔材料A、有机材料A、堵水材料、堵水材料A和充填材料A）和矿用高分子材料B料（包括充填材料B和黑料B）），设计产能为年产3万吨矿用高分子材料。</w:t>
            </w:r>
          </w:p>
          <w:p>
            <w:pPr>
              <w:adjustRightInd w:val="0"/>
              <w:snapToGrid w:val="0"/>
              <w:spacing w:line="360" w:lineRule="auto"/>
              <w:ind w:firstLine="482" w:firstLineChars="200"/>
              <w:rPr>
                <w:b/>
                <w:bCs/>
                <w:color w:val="auto"/>
                <w:sz w:val="24"/>
              </w:rPr>
            </w:pPr>
            <w:r>
              <w:rPr>
                <w:rFonts w:hint="eastAsia"/>
                <w:b/>
                <w:bCs/>
                <w:color w:val="auto"/>
                <w:sz w:val="24"/>
              </w:rPr>
              <w:t>2、主要污染物产排情况</w:t>
            </w:r>
          </w:p>
          <w:p>
            <w:pPr>
              <w:spacing w:line="360" w:lineRule="auto"/>
              <w:ind w:firstLine="480" w:firstLineChars="200"/>
              <w:rPr>
                <w:bCs/>
                <w:color w:val="auto"/>
                <w:sz w:val="24"/>
              </w:rPr>
            </w:pPr>
            <w:r>
              <w:rPr>
                <w:rFonts w:hint="eastAsia"/>
                <w:bCs/>
                <w:color w:val="auto"/>
                <w:sz w:val="24"/>
              </w:rPr>
              <w:t>（1）废气</w:t>
            </w:r>
          </w:p>
          <w:p>
            <w:pPr>
              <w:adjustRightInd w:val="0"/>
              <w:snapToGrid w:val="0"/>
              <w:spacing w:line="360" w:lineRule="auto"/>
              <w:ind w:firstLine="480" w:firstLineChars="200"/>
              <w:rPr>
                <w:bCs/>
                <w:color w:val="auto"/>
                <w:sz w:val="24"/>
              </w:rPr>
            </w:pPr>
            <w:r>
              <w:rPr>
                <w:rFonts w:hint="eastAsia"/>
                <w:bCs/>
                <w:color w:val="auto"/>
                <w:sz w:val="24"/>
              </w:rPr>
              <w:t>在建项目产生的废气主要为工艺废气、储罐呼吸废气、灌装废气及食堂油烟。项目废气污染物排放情况见下表：</w:t>
            </w:r>
          </w:p>
          <w:p>
            <w:pPr>
              <w:jc w:val="center"/>
              <w:rPr>
                <w:rFonts w:hAnsi="宋体" w:cs="宋体"/>
                <w:b/>
                <w:color w:val="auto"/>
                <w:sz w:val="24"/>
                <w:szCs w:val="20"/>
              </w:rPr>
            </w:pPr>
            <w:r>
              <w:rPr>
                <w:rFonts w:hint="eastAsia" w:hAnsi="宋体" w:cs="宋体"/>
                <w:b/>
                <w:color w:val="auto"/>
                <w:sz w:val="24"/>
                <w:szCs w:val="20"/>
              </w:rPr>
              <w:t>表2-7   在建项目废气污染物产排情况一览表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22"/>
              <w:gridCol w:w="1172"/>
              <w:gridCol w:w="1649"/>
              <w:gridCol w:w="1551"/>
              <w:gridCol w:w="22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79" w:type="pct"/>
                  <w:tcMar>
                    <w:left w:w="28" w:type="dxa"/>
                    <w:right w:w="28" w:type="dxa"/>
                  </w:tcMar>
                  <w:vAlign w:val="center"/>
                </w:tcPr>
                <w:p>
                  <w:pPr>
                    <w:spacing w:line="320" w:lineRule="exact"/>
                    <w:contextualSpacing/>
                    <w:jc w:val="center"/>
                    <w:rPr>
                      <w:color w:val="auto"/>
                      <w:szCs w:val="21"/>
                    </w:rPr>
                  </w:pPr>
                  <w:r>
                    <w:rPr>
                      <w:color w:val="auto"/>
                      <w:szCs w:val="21"/>
                    </w:rPr>
                    <w:t>污染源</w:t>
                  </w:r>
                </w:p>
              </w:tc>
              <w:tc>
                <w:tcPr>
                  <w:tcW w:w="724" w:type="pct"/>
                  <w:tcMar>
                    <w:left w:w="28" w:type="dxa"/>
                    <w:right w:w="28" w:type="dxa"/>
                  </w:tcMar>
                  <w:vAlign w:val="center"/>
                </w:tcPr>
                <w:p>
                  <w:pPr>
                    <w:spacing w:line="320" w:lineRule="exact"/>
                    <w:contextualSpacing/>
                    <w:jc w:val="center"/>
                    <w:rPr>
                      <w:color w:val="auto"/>
                      <w:szCs w:val="21"/>
                    </w:rPr>
                  </w:pPr>
                  <w:r>
                    <w:rPr>
                      <w:rFonts w:hAnsi="宋体"/>
                      <w:color w:val="auto"/>
                      <w:szCs w:val="21"/>
                    </w:rPr>
                    <w:t>污染物名称</w:t>
                  </w:r>
                </w:p>
              </w:tc>
              <w:tc>
                <w:tcPr>
                  <w:tcW w:w="1019" w:type="pct"/>
                  <w:tcMar>
                    <w:left w:w="28" w:type="dxa"/>
                    <w:right w:w="28" w:type="dxa"/>
                  </w:tcMar>
                  <w:vAlign w:val="center"/>
                </w:tcPr>
                <w:p>
                  <w:pPr>
                    <w:spacing w:line="320" w:lineRule="exact"/>
                    <w:contextualSpacing/>
                    <w:jc w:val="center"/>
                    <w:rPr>
                      <w:color w:val="auto"/>
                      <w:szCs w:val="21"/>
                    </w:rPr>
                  </w:pPr>
                  <w:r>
                    <w:rPr>
                      <w:rFonts w:hint="eastAsia"/>
                      <w:color w:val="auto"/>
                      <w:szCs w:val="21"/>
                    </w:rPr>
                    <w:t>产生量（kg/a）</w:t>
                  </w:r>
                </w:p>
              </w:tc>
              <w:tc>
                <w:tcPr>
                  <w:tcW w:w="958" w:type="pct"/>
                  <w:tcMar>
                    <w:left w:w="28" w:type="dxa"/>
                    <w:right w:w="28" w:type="dxa"/>
                  </w:tcMar>
                  <w:vAlign w:val="center"/>
                </w:tcPr>
                <w:p>
                  <w:pPr>
                    <w:spacing w:line="320" w:lineRule="exact"/>
                    <w:contextualSpacing/>
                    <w:jc w:val="center"/>
                    <w:rPr>
                      <w:color w:val="auto"/>
                      <w:szCs w:val="21"/>
                    </w:rPr>
                  </w:pPr>
                  <w:r>
                    <w:rPr>
                      <w:rFonts w:hAnsi="宋体"/>
                      <w:color w:val="auto"/>
                      <w:szCs w:val="21"/>
                    </w:rPr>
                    <w:t>排放量（kg</w:t>
                  </w:r>
                  <w:r>
                    <w:rPr>
                      <w:rFonts w:hint="eastAsia"/>
                      <w:color w:val="auto"/>
                      <w:szCs w:val="21"/>
                    </w:rPr>
                    <w:t>/a</w:t>
                  </w:r>
                  <w:r>
                    <w:rPr>
                      <w:rFonts w:hAnsi="宋体"/>
                      <w:color w:val="auto"/>
                      <w:szCs w:val="21"/>
                    </w:rPr>
                    <w:t>）</w:t>
                  </w:r>
                </w:p>
              </w:tc>
              <w:tc>
                <w:tcPr>
                  <w:tcW w:w="1419" w:type="pct"/>
                  <w:tcMar>
                    <w:left w:w="28" w:type="dxa"/>
                    <w:right w:w="28" w:type="dxa"/>
                  </w:tcMar>
                  <w:vAlign w:val="center"/>
                </w:tcPr>
                <w:p>
                  <w:pPr>
                    <w:spacing w:line="320" w:lineRule="exact"/>
                    <w:contextualSpacing/>
                    <w:jc w:val="center"/>
                    <w:rPr>
                      <w:color w:val="auto"/>
                      <w:szCs w:val="21"/>
                    </w:rPr>
                  </w:pPr>
                  <w:r>
                    <w:rPr>
                      <w:rFonts w:hAnsi="宋体"/>
                      <w:color w:val="auto"/>
                      <w:szCs w:val="21"/>
                    </w:rPr>
                    <w:t>治理措施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879" w:type="pct"/>
                  <w:tcMar>
                    <w:left w:w="28" w:type="dxa"/>
                    <w:right w:w="28" w:type="dxa"/>
                  </w:tcMar>
                  <w:vAlign w:val="center"/>
                </w:tcPr>
                <w:p>
                  <w:pPr>
                    <w:spacing w:line="320" w:lineRule="exact"/>
                    <w:jc w:val="center"/>
                    <w:rPr>
                      <w:color w:val="auto"/>
                      <w:szCs w:val="21"/>
                      <w:lang w:val="en-GB"/>
                    </w:rPr>
                  </w:pPr>
                  <w:r>
                    <w:rPr>
                      <w:color w:val="auto"/>
                      <w:szCs w:val="21"/>
                      <w:lang w:val="en-GB"/>
                    </w:rPr>
                    <w:t>工艺废气</w:t>
                  </w:r>
                </w:p>
              </w:tc>
              <w:tc>
                <w:tcPr>
                  <w:tcW w:w="724" w:type="pct"/>
                  <w:vMerge w:val="restart"/>
                  <w:tcMar>
                    <w:left w:w="28" w:type="dxa"/>
                    <w:right w:w="28" w:type="dxa"/>
                  </w:tcMar>
                  <w:vAlign w:val="center"/>
                </w:tcPr>
                <w:p>
                  <w:pPr>
                    <w:spacing w:line="320" w:lineRule="exact"/>
                    <w:jc w:val="center"/>
                    <w:rPr>
                      <w:color w:val="auto"/>
                      <w:szCs w:val="21"/>
                      <w:lang w:val="en-GB"/>
                    </w:rPr>
                  </w:pPr>
                  <w:r>
                    <w:rPr>
                      <w:color w:val="auto"/>
                      <w:szCs w:val="21"/>
                      <w:lang w:val="en-GB"/>
                    </w:rPr>
                    <w:t>非甲烷总烃</w:t>
                  </w:r>
                </w:p>
              </w:tc>
              <w:tc>
                <w:tcPr>
                  <w:tcW w:w="1019" w:type="pct"/>
                  <w:vMerge w:val="restart"/>
                  <w:tcMar>
                    <w:left w:w="28" w:type="dxa"/>
                    <w:right w:w="28" w:type="dxa"/>
                  </w:tcMar>
                  <w:vAlign w:val="center"/>
                </w:tcPr>
                <w:p>
                  <w:pPr>
                    <w:spacing w:line="320" w:lineRule="exact"/>
                    <w:contextualSpacing/>
                    <w:rPr>
                      <w:color w:val="auto"/>
                      <w:szCs w:val="21"/>
                    </w:rPr>
                  </w:pPr>
                  <w:r>
                    <w:rPr>
                      <w:color w:val="auto"/>
                      <w:szCs w:val="21"/>
                    </w:rPr>
                    <w:t>有组织：</w:t>
                  </w:r>
                  <w:r>
                    <w:rPr>
                      <w:rFonts w:hint="eastAsia"/>
                      <w:color w:val="auto"/>
                      <w:szCs w:val="21"/>
                    </w:rPr>
                    <w:t>1706.7；</w:t>
                  </w:r>
                </w:p>
                <w:p>
                  <w:pPr>
                    <w:spacing w:line="320" w:lineRule="exact"/>
                    <w:contextualSpacing/>
                    <w:jc w:val="center"/>
                    <w:rPr>
                      <w:color w:val="auto"/>
                      <w:szCs w:val="21"/>
                    </w:rPr>
                  </w:pPr>
                  <w:r>
                    <w:rPr>
                      <w:rFonts w:hint="eastAsia"/>
                      <w:color w:val="auto"/>
                      <w:szCs w:val="21"/>
                    </w:rPr>
                    <w:t>无组织：83.1</w:t>
                  </w:r>
                </w:p>
              </w:tc>
              <w:tc>
                <w:tcPr>
                  <w:tcW w:w="958" w:type="pct"/>
                  <w:vMerge w:val="restart"/>
                  <w:tcMar>
                    <w:left w:w="28" w:type="dxa"/>
                    <w:right w:w="28" w:type="dxa"/>
                  </w:tcMar>
                  <w:vAlign w:val="center"/>
                </w:tcPr>
                <w:p>
                  <w:pPr>
                    <w:spacing w:line="320" w:lineRule="exact"/>
                    <w:contextualSpacing/>
                    <w:jc w:val="center"/>
                    <w:rPr>
                      <w:color w:val="auto"/>
                      <w:szCs w:val="21"/>
                    </w:rPr>
                  </w:pPr>
                  <w:r>
                    <w:rPr>
                      <w:color w:val="auto"/>
                      <w:szCs w:val="21"/>
                    </w:rPr>
                    <w:t>有组织：</w:t>
                  </w:r>
                  <w:r>
                    <w:rPr>
                      <w:rFonts w:hint="eastAsia"/>
                      <w:color w:val="auto"/>
                      <w:szCs w:val="21"/>
                    </w:rPr>
                    <w:t>256；</w:t>
                  </w:r>
                </w:p>
                <w:p>
                  <w:pPr>
                    <w:spacing w:line="320" w:lineRule="exact"/>
                    <w:contextualSpacing/>
                    <w:jc w:val="center"/>
                    <w:rPr>
                      <w:color w:val="auto"/>
                      <w:szCs w:val="21"/>
                    </w:rPr>
                  </w:pPr>
                  <w:r>
                    <w:rPr>
                      <w:rFonts w:hint="eastAsia"/>
                      <w:color w:val="auto"/>
                      <w:szCs w:val="21"/>
                    </w:rPr>
                    <w:t>无组织：83.1</w:t>
                  </w:r>
                </w:p>
              </w:tc>
              <w:tc>
                <w:tcPr>
                  <w:tcW w:w="1419" w:type="pct"/>
                  <w:vMerge w:val="restart"/>
                  <w:tcMar>
                    <w:left w:w="28" w:type="dxa"/>
                    <w:right w:w="28" w:type="dxa"/>
                  </w:tcMar>
                  <w:vAlign w:val="center"/>
                </w:tcPr>
                <w:p>
                  <w:pPr>
                    <w:adjustRightInd w:val="0"/>
                    <w:snapToGrid w:val="0"/>
                    <w:spacing w:line="320" w:lineRule="exact"/>
                    <w:jc w:val="center"/>
                    <w:rPr>
                      <w:color w:val="auto"/>
                      <w:szCs w:val="21"/>
                    </w:rPr>
                  </w:pPr>
                  <w:r>
                    <w:rPr>
                      <w:rFonts w:hint="eastAsia"/>
                      <w:color w:val="auto"/>
                      <w:szCs w:val="21"/>
                    </w:rPr>
                    <w:t>1套二级活性炭吸附装置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879" w:type="pct"/>
                  <w:tcMar>
                    <w:left w:w="28" w:type="dxa"/>
                    <w:right w:w="28" w:type="dxa"/>
                  </w:tcMar>
                  <w:vAlign w:val="center"/>
                </w:tcPr>
                <w:p>
                  <w:pPr>
                    <w:spacing w:line="320" w:lineRule="exact"/>
                    <w:contextualSpacing/>
                    <w:jc w:val="center"/>
                    <w:rPr>
                      <w:color w:val="auto"/>
                      <w:szCs w:val="21"/>
                    </w:rPr>
                  </w:pPr>
                  <w:r>
                    <w:rPr>
                      <w:color w:val="auto"/>
                      <w:szCs w:val="21"/>
                    </w:rPr>
                    <w:t>储罐呼吸废</w:t>
                  </w:r>
                </w:p>
              </w:tc>
              <w:tc>
                <w:tcPr>
                  <w:tcW w:w="724" w:type="pct"/>
                  <w:vMerge w:val="continue"/>
                  <w:vAlign w:val="center"/>
                </w:tcPr>
                <w:p>
                  <w:pPr>
                    <w:spacing w:line="320" w:lineRule="exact"/>
                    <w:contextualSpacing/>
                    <w:jc w:val="center"/>
                    <w:rPr>
                      <w:color w:val="auto"/>
                      <w:szCs w:val="21"/>
                    </w:rPr>
                  </w:pPr>
                </w:p>
              </w:tc>
              <w:tc>
                <w:tcPr>
                  <w:tcW w:w="1019" w:type="pct"/>
                  <w:vMerge w:val="continue"/>
                  <w:tcMar>
                    <w:left w:w="28" w:type="dxa"/>
                    <w:right w:w="28" w:type="dxa"/>
                  </w:tcMar>
                  <w:vAlign w:val="center"/>
                </w:tcPr>
                <w:p>
                  <w:pPr>
                    <w:spacing w:line="320" w:lineRule="exact"/>
                    <w:contextualSpacing/>
                    <w:jc w:val="center"/>
                    <w:rPr>
                      <w:color w:val="auto"/>
                      <w:szCs w:val="21"/>
                    </w:rPr>
                  </w:pPr>
                </w:p>
              </w:tc>
              <w:tc>
                <w:tcPr>
                  <w:tcW w:w="958" w:type="pct"/>
                  <w:vMerge w:val="continue"/>
                  <w:tcMar>
                    <w:left w:w="28" w:type="dxa"/>
                    <w:right w:w="28" w:type="dxa"/>
                  </w:tcMar>
                  <w:vAlign w:val="center"/>
                </w:tcPr>
                <w:p>
                  <w:pPr>
                    <w:spacing w:line="320" w:lineRule="exact"/>
                    <w:contextualSpacing/>
                    <w:jc w:val="center"/>
                    <w:rPr>
                      <w:color w:val="auto"/>
                      <w:szCs w:val="21"/>
                    </w:rPr>
                  </w:pPr>
                </w:p>
              </w:tc>
              <w:tc>
                <w:tcPr>
                  <w:tcW w:w="1419" w:type="pct"/>
                  <w:vMerge w:val="continue"/>
                  <w:tcMar>
                    <w:left w:w="28" w:type="dxa"/>
                    <w:right w:w="28" w:type="dxa"/>
                  </w:tcMar>
                  <w:vAlign w:val="center"/>
                </w:tcPr>
                <w:p>
                  <w:pPr>
                    <w:spacing w:line="320" w:lineRule="exact"/>
                    <w:contextualSpacing/>
                    <w:jc w:val="center"/>
                    <w:rPr>
                      <w:color w:val="auto"/>
                      <w:szCs w:val="21"/>
                      <w:lang w:val="de-D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879" w:type="pct"/>
                  <w:tcMar>
                    <w:left w:w="28" w:type="dxa"/>
                    <w:right w:w="28" w:type="dxa"/>
                  </w:tcMar>
                  <w:vAlign w:val="center"/>
                </w:tcPr>
                <w:p>
                  <w:pPr>
                    <w:spacing w:line="320" w:lineRule="exact"/>
                    <w:contextualSpacing/>
                    <w:jc w:val="center"/>
                    <w:rPr>
                      <w:rFonts w:hAnsi="宋体"/>
                      <w:color w:val="auto"/>
                      <w:szCs w:val="21"/>
                    </w:rPr>
                  </w:pPr>
                  <w:r>
                    <w:rPr>
                      <w:rFonts w:hAnsi="宋体"/>
                      <w:color w:val="auto"/>
                      <w:szCs w:val="21"/>
                    </w:rPr>
                    <w:t>灌装废气</w:t>
                  </w:r>
                </w:p>
              </w:tc>
              <w:tc>
                <w:tcPr>
                  <w:tcW w:w="724" w:type="pct"/>
                  <w:vMerge w:val="continue"/>
                  <w:vAlign w:val="center"/>
                </w:tcPr>
                <w:p>
                  <w:pPr>
                    <w:spacing w:line="320" w:lineRule="exact"/>
                    <w:contextualSpacing/>
                    <w:jc w:val="center"/>
                    <w:rPr>
                      <w:rFonts w:hAnsi="宋体"/>
                      <w:color w:val="auto"/>
                      <w:szCs w:val="21"/>
                    </w:rPr>
                  </w:pPr>
                </w:p>
              </w:tc>
              <w:tc>
                <w:tcPr>
                  <w:tcW w:w="1019" w:type="pct"/>
                  <w:vMerge w:val="continue"/>
                  <w:tcMar>
                    <w:left w:w="28" w:type="dxa"/>
                    <w:right w:w="28" w:type="dxa"/>
                  </w:tcMar>
                  <w:vAlign w:val="center"/>
                </w:tcPr>
                <w:p>
                  <w:pPr>
                    <w:spacing w:line="320" w:lineRule="exact"/>
                    <w:contextualSpacing/>
                    <w:jc w:val="center"/>
                    <w:rPr>
                      <w:color w:val="auto"/>
                      <w:szCs w:val="21"/>
                    </w:rPr>
                  </w:pPr>
                </w:p>
              </w:tc>
              <w:tc>
                <w:tcPr>
                  <w:tcW w:w="958" w:type="pct"/>
                  <w:vMerge w:val="continue"/>
                  <w:tcMar>
                    <w:left w:w="28" w:type="dxa"/>
                    <w:right w:w="28" w:type="dxa"/>
                  </w:tcMar>
                  <w:vAlign w:val="center"/>
                </w:tcPr>
                <w:p>
                  <w:pPr>
                    <w:spacing w:line="320" w:lineRule="exact"/>
                    <w:contextualSpacing/>
                    <w:jc w:val="center"/>
                    <w:rPr>
                      <w:color w:val="auto"/>
                      <w:szCs w:val="21"/>
                    </w:rPr>
                  </w:pPr>
                </w:p>
              </w:tc>
              <w:tc>
                <w:tcPr>
                  <w:tcW w:w="1419" w:type="pct"/>
                  <w:vMerge w:val="continue"/>
                  <w:tcMar>
                    <w:left w:w="28" w:type="dxa"/>
                    <w:right w:w="28" w:type="dxa"/>
                  </w:tcMar>
                  <w:vAlign w:val="center"/>
                </w:tcPr>
                <w:p>
                  <w:pPr>
                    <w:spacing w:line="320" w:lineRule="exact"/>
                    <w:contextualSpacing/>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879" w:type="pct"/>
                  <w:vMerge w:val="restart"/>
                  <w:tcMar>
                    <w:left w:w="28" w:type="dxa"/>
                    <w:right w:w="28" w:type="dxa"/>
                  </w:tcMar>
                  <w:vAlign w:val="center"/>
                </w:tcPr>
                <w:p>
                  <w:pPr>
                    <w:spacing w:line="320" w:lineRule="exact"/>
                    <w:contextualSpacing/>
                    <w:jc w:val="center"/>
                    <w:rPr>
                      <w:rFonts w:hAnsi="宋体"/>
                      <w:color w:val="auto"/>
                      <w:szCs w:val="21"/>
                    </w:rPr>
                  </w:pPr>
                  <w:r>
                    <w:rPr>
                      <w:rFonts w:hAnsi="宋体"/>
                      <w:color w:val="auto"/>
                      <w:szCs w:val="21"/>
                    </w:rPr>
                    <w:t>锅炉燃烧废气</w:t>
                  </w:r>
                </w:p>
              </w:tc>
              <w:tc>
                <w:tcPr>
                  <w:tcW w:w="724" w:type="pct"/>
                  <w:vAlign w:val="center"/>
                </w:tcPr>
                <w:p>
                  <w:pPr>
                    <w:spacing w:line="320" w:lineRule="exact"/>
                    <w:contextualSpacing/>
                    <w:jc w:val="center"/>
                    <w:rPr>
                      <w:rFonts w:hAnsi="宋体"/>
                      <w:color w:val="auto"/>
                      <w:szCs w:val="21"/>
                    </w:rPr>
                  </w:pPr>
                  <w:r>
                    <w:rPr>
                      <w:rFonts w:hAnsi="宋体"/>
                      <w:color w:val="auto"/>
                      <w:szCs w:val="21"/>
                    </w:rPr>
                    <w:t>颗粒物</w:t>
                  </w:r>
                </w:p>
              </w:tc>
              <w:tc>
                <w:tcPr>
                  <w:tcW w:w="1019" w:type="pct"/>
                  <w:tcMar>
                    <w:left w:w="28" w:type="dxa"/>
                    <w:right w:w="28" w:type="dxa"/>
                  </w:tcMar>
                  <w:vAlign w:val="center"/>
                </w:tcPr>
                <w:p>
                  <w:pPr>
                    <w:spacing w:line="320" w:lineRule="exact"/>
                    <w:contextualSpacing/>
                    <w:jc w:val="center"/>
                    <w:rPr>
                      <w:color w:val="auto"/>
                      <w:szCs w:val="21"/>
                    </w:rPr>
                  </w:pPr>
                  <w:r>
                    <w:rPr>
                      <w:rFonts w:hint="eastAsia"/>
                      <w:color w:val="auto"/>
                      <w:szCs w:val="21"/>
                    </w:rPr>
                    <w:t>180</w:t>
                  </w:r>
                </w:p>
              </w:tc>
              <w:tc>
                <w:tcPr>
                  <w:tcW w:w="958" w:type="pct"/>
                  <w:tcMar>
                    <w:left w:w="28" w:type="dxa"/>
                    <w:right w:w="28" w:type="dxa"/>
                  </w:tcMar>
                  <w:vAlign w:val="center"/>
                </w:tcPr>
                <w:p>
                  <w:pPr>
                    <w:spacing w:line="320" w:lineRule="exact"/>
                    <w:contextualSpacing/>
                    <w:jc w:val="center"/>
                    <w:rPr>
                      <w:color w:val="auto"/>
                      <w:szCs w:val="21"/>
                    </w:rPr>
                  </w:pPr>
                  <w:r>
                    <w:rPr>
                      <w:rFonts w:hint="eastAsia"/>
                      <w:color w:val="auto"/>
                      <w:szCs w:val="21"/>
                    </w:rPr>
                    <w:t>180</w:t>
                  </w:r>
                </w:p>
              </w:tc>
              <w:tc>
                <w:tcPr>
                  <w:tcW w:w="1419" w:type="pct"/>
                  <w:vMerge w:val="restart"/>
                  <w:tcMar>
                    <w:left w:w="28" w:type="dxa"/>
                    <w:right w:w="28" w:type="dxa"/>
                  </w:tcMar>
                  <w:vAlign w:val="center"/>
                </w:tcPr>
                <w:p>
                  <w:pPr>
                    <w:spacing w:line="320" w:lineRule="exact"/>
                    <w:contextualSpacing/>
                    <w:jc w:val="center"/>
                    <w:rPr>
                      <w:color w:val="auto"/>
                      <w:szCs w:val="21"/>
                    </w:rPr>
                  </w:pPr>
                  <w:r>
                    <w:rPr>
                      <w:color w:val="auto"/>
                      <w:szCs w:val="21"/>
                    </w:rPr>
                    <w:t>使用清洁能源天然气并安装低氮燃烧器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879" w:type="pct"/>
                  <w:vMerge w:val="continue"/>
                  <w:tcMar>
                    <w:left w:w="28" w:type="dxa"/>
                    <w:right w:w="28" w:type="dxa"/>
                  </w:tcMar>
                  <w:vAlign w:val="center"/>
                </w:tcPr>
                <w:p>
                  <w:pPr>
                    <w:spacing w:line="320" w:lineRule="exact"/>
                    <w:contextualSpacing/>
                    <w:jc w:val="center"/>
                    <w:rPr>
                      <w:rFonts w:hAnsi="宋体"/>
                      <w:color w:val="auto"/>
                      <w:szCs w:val="21"/>
                    </w:rPr>
                  </w:pPr>
                </w:p>
              </w:tc>
              <w:tc>
                <w:tcPr>
                  <w:tcW w:w="724" w:type="pct"/>
                  <w:vAlign w:val="center"/>
                </w:tcPr>
                <w:p>
                  <w:pPr>
                    <w:spacing w:line="320" w:lineRule="exact"/>
                    <w:contextualSpacing/>
                    <w:jc w:val="center"/>
                    <w:rPr>
                      <w:color w:val="auto"/>
                      <w:szCs w:val="21"/>
                    </w:rPr>
                  </w:pPr>
                  <w:r>
                    <w:rPr>
                      <w:rFonts w:hint="eastAsia"/>
                      <w:color w:val="auto"/>
                      <w:szCs w:val="21"/>
                    </w:rPr>
                    <w:t>SO</w:t>
                  </w:r>
                  <w:r>
                    <w:rPr>
                      <w:rFonts w:hint="eastAsia"/>
                      <w:color w:val="auto"/>
                      <w:szCs w:val="21"/>
                      <w:vertAlign w:val="subscript"/>
                    </w:rPr>
                    <w:t>2</w:t>
                  </w:r>
                </w:p>
              </w:tc>
              <w:tc>
                <w:tcPr>
                  <w:tcW w:w="1019" w:type="pct"/>
                  <w:tcMar>
                    <w:left w:w="28" w:type="dxa"/>
                    <w:right w:w="28" w:type="dxa"/>
                  </w:tcMar>
                  <w:vAlign w:val="center"/>
                </w:tcPr>
                <w:p>
                  <w:pPr>
                    <w:spacing w:line="320" w:lineRule="exact"/>
                    <w:contextualSpacing/>
                    <w:jc w:val="center"/>
                    <w:rPr>
                      <w:color w:val="auto"/>
                      <w:szCs w:val="21"/>
                    </w:rPr>
                  </w:pPr>
                  <w:r>
                    <w:rPr>
                      <w:rFonts w:hint="eastAsia"/>
                      <w:color w:val="auto"/>
                      <w:szCs w:val="21"/>
                    </w:rPr>
                    <w:t>150</w:t>
                  </w:r>
                </w:p>
              </w:tc>
              <w:tc>
                <w:tcPr>
                  <w:tcW w:w="958" w:type="pct"/>
                  <w:tcMar>
                    <w:left w:w="28" w:type="dxa"/>
                    <w:right w:w="28" w:type="dxa"/>
                  </w:tcMar>
                  <w:vAlign w:val="center"/>
                </w:tcPr>
                <w:p>
                  <w:pPr>
                    <w:spacing w:line="320" w:lineRule="exact"/>
                    <w:contextualSpacing/>
                    <w:jc w:val="center"/>
                    <w:rPr>
                      <w:color w:val="auto"/>
                      <w:szCs w:val="21"/>
                    </w:rPr>
                  </w:pPr>
                  <w:r>
                    <w:rPr>
                      <w:rFonts w:hint="eastAsia"/>
                      <w:color w:val="auto"/>
                      <w:szCs w:val="21"/>
                    </w:rPr>
                    <w:t>150</w:t>
                  </w:r>
                </w:p>
              </w:tc>
              <w:tc>
                <w:tcPr>
                  <w:tcW w:w="1419" w:type="pct"/>
                  <w:vMerge w:val="continue"/>
                  <w:tcMar>
                    <w:left w:w="28" w:type="dxa"/>
                    <w:right w:w="28" w:type="dxa"/>
                  </w:tcMar>
                  <w:vAlign w:val="center"/>
                </w:tcPr>
                <w:p>
                  <w:pPr>
                    <w:spacing w:line="320" w:lineRule="exact"/>
                    <w:contextualSpacing/>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879" w:type="pct"/>
                  <w:vMerge w:val="continue"/>
                  <w:tcMar>
                    <w:left w:w="28" w:type="dxa"/>
                    <w:right w:w="28" w:type="dxa"/>
                  </w:tcMar>
                  <w:vAlign w:val="center"/>
                </w:tcPr>
                <w:p>
                  <w:pPr>
                    <w:spacing w:line="320" w:lineRule="exact"/>
                    <w:contextualSpacing/>
                    <w:jc w:val="center"/>
                    <w:rPr>
                      <w:rFonts w:hAnsi="宋体"/>
                      <w:color w:val="auto"/>
                      <w:szCs w:val="21"/>
                    </w:rPr>
                  </w:pPr>
                </w:p>
              </w:tc>
              <w:tc>
                <w:tcPr>
                  <w:tcW w:w="724" w:type="pct"/>
                  <w:vAlign w:val="center"/>
                </w:tcPr>
                <w:p>
                  <w:pPr>
                    <w:spacing w:line="320" w:lineRule="exact"/>
                    <w:contextualSpacing/>
                    <w:jc w:val="center"/>
                    <w:rPr>
                      <w:color w:val="auto"/>
                      <w:szCs w:val="21"/>
                    </w:rPr>
                  </w:pPr>
                  <w:r>
                    <w:rPr>
                      <w:rFonts w:hint="eastAsia"/>
                      <w:color w:val="auto"/>
                      <w:szCs w:val="21"/>
                    </w:rPr>
                    <w:t>NO</w:t>
                  </w:r>
                  <w:r>
                    <w:rPr>
                      <w:rFonts w:hint="eastAsia"/>
                      <w:color w:val="auto"/>
                      <w:szCs w:val="21"/>
                      <w:vertAlign w:val="subscript"/>
                    </w:rPr>
                    <w:t>X</w:t>
                  </w:r>
                </w:p>
              </w:tc>
              <w:tc>
                <w:tcPr>
                  <w:tcW w:w="1019" w:type="pct"/>
                  <w:tcMar>
                    <w:left w:w="28" w:type="dxa"/>
                    <w:right w:w="28" w:type="dxa"/>
                  </w:tcMar>
                  <w:vAlign w:val="center"/>
                </w:tcPr>
                <w:p>
                  <w:pPr>
                    <w:spacing w:line="320" w:lineRule="exact"/>
                    <w:contextualSpacing/>
                    <w:jc w:val="center"/>
                    <w:rPr>
                      <w:color w:val="auto"/>
                      <w:szCs w:val="21"/>
                    </w:rPr>
                  </w:pPr>
                  <w:r>
                    <w:rPr>
                      <w:rFonts w:hint="eastAsia"/>
                      <w:color w:val="auto"/>
                      <w:szCs w:val="21"/>
                    </w:rPr>
                    <w:t>945</w:t>
                  </w:r>
                </w:p>
              </w:tc>
              <w:tc>
                <w:tcPr>
                  <w:tcW w:w="958" w:type="pct"/>
                  <w:tcMar>
                    <w:left w:w="28" w:type="dxa"/>
                    <w:right w:w="28" w:type="dxa"/>
                  </w:tcMar>
                  <w:vAlign w:val="center"/>
                </w:tcPr>
                <w:p>
                  <w:pPr>
                    <w:spacing w:line="320" w:lineRule="exact"/>
                    <w:contextualSpacing/>
                    <w:jc w:val="center"/>
                    <w:rPr>
                      <w:color w:val="auto"/>
                      <w:szCs w:val="21"/>
                    </w:rPr>
                  </w:pPr>
                  <w:r>
                    <w:rPr>
                      <w:rFonts w:hint="eastAsia"/>
                      <w:color w:val="auto"/>
                      <w:szCs w:val="21"/>
                    </w:rPr>
                    <w:t>945</w:t>
                  </w:r>
                </w:p>
              </w:tc>
              <w:tc>
                <w:tcPr>
                  <w:tcW w:w="1419" w:type="pct"/>
                  <w:vMerge w:val="continue"/>
                  <w:tcMar>
                    <w:left w:w="28" w:type="dxa"/>
                    <w:right w:w="28" w:type="dxa"/>
                  </w:tcMar>
                  <w:vAlign w:val="center"/>
                </w:tcPr>
                <w:p>
                  <w:pPr>
                    <w:spacing w:line="320" w:lineRule="exact"/>
                    <w:contextualSpacing/>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879" w:type="pct"/>
                  <w:tcMar>
                    <w:left w:w="28" w:type="dxa"/>
                    <w:right w:w="28" w:type="dxa"/>
                  </w:tcMar>
                  <w:vAlign w:val="center"/>
                </w:tcPr>
                <w:p>
                  <w:pPr>
                    <w:spacing w:line="320" w:lineRule="exact"/>
                    <w:contextualSpacing/>
                    <w:jc w:val="center"/>
                    <w:rPr>
                      <w:rFonts w:hAnsi="宋体"/>
                      <w:color w:val="auto"/>
                      <w:szCs w:val="21"/>
                    </w:rPr>
                  </w:pPr>
                  <w:r>
                    <w:rPr>
                      <w:rFonts w:hAnsi="宋体"/>
                      <w:color w:val="auto"/>
                      <w:szCs w:val="21"/>
                    </w:rPr>
                    <w:t>食堂</w:t>
                  </w:r>
                </w:p>
              </w:tc>
              <w:tc>
                <w:tcPr>
                  <w:tcW w:w="724" w:type="pct"/>
                  <w:vAlign w:val="center"/>
                </w:tcPr>
                <w:p>
                  <w:pPr>
                    <w:spacing w:line="320" w:lineRule="exact"/>
                    <w:contextualSpacing/>
                    <w:jc w:val="center"/>
                    <w:rPr>
                      <w:rFonts w:hAnsi="宋体"/>
                      <w:color w:val="auto"/>
                      <w:szCs w:val="21"/>
                    </w:rPr>
                  </w:pPr>
                  <w:r>
                    <w:rPr>
                      <w:rFonts w:hAnsi="宋体"/>
                      <w:color w:val="auto"/>
                      <w:szCs w:val="21"/>
                    </w:rPr>
                    <w:t>油烟</w:t>
                  </w:r>
                </w:p>
              </w:tc>
              <w:tc>
                <w:tcPr>
                  <w:tcW w:w="1019" w:type="pct"/>
                  <w:tcMar>
                    <w:left w:w="28" w:type="dxa"/>
                    <w:right w:w="28" w:type="dxa"/>
                  </w:tcMar>
                  <w:vAlign w:val="center"/>
                </w:tcPr>
                <w:p>
                  <w:pPr>
                    <w:spacing w:line="320" w:lineRule="exact"/>
                    <w:contextualSpacing/>
                    <w:jc w:val="center"/>
                    <w:rPr>
                      <w:color w:val="auto"/>
                      <w:szCs w:val="21"/>
                    </w:rPr>
                  </w:pPr>
                  <w:r>
                    <w:rPr>
                      <w:rFonts w:hint="eastAsia"/>
                      <w:color w:val="auto"/>
                      <w:szCs w:val="21"/>
                    </w:rPr>
                    <w:t>13.5</w:t>
                  </w:r>
                </w:p>
              </w:tc>
              <w:tc>
                <w:tcPr>
                  <w:tcW w:w="958" w:type="pct"/>
                  <w:tcMar>
                    <w:left w:w="28" w:type="dxa"/>
                    <w:right w:w="28" w:type="dxa"/>
                  </w:tcMar>
                  <w:vAlign w:val="center"/>
                </w:tcPr>
                <w:p>
                  <w:pPr>
                    <w:spacing w:line="320" w:lineRule="exact"/>
                    <w:contextualSpacing/>
                    <w:jc w:val="center"/>
                    <w:rPr>
                      <w:color w:val="auto"/>
                      <w:szCs w:val="21"/>
                    </w:rPr>
                  </w:pPr>
                  <w:r>
                    <w:rPr>
                      <w:rFonts w:hint="eastAsia"/>
                      <w:color w:val="auto"/>
                      <w:szCs w:val="21"/>
                    </w:rPr>
                    <w:t>4.05</w:t>
                  </w:r>
                </w:p>
              </w:tc>
              <w:tc>
                <w:tcPr>
                  <w:tcW w:w="1419" w:type="pct"/>
                  <w:tcMar>
                    <w:left w:w="28" w:type="dxa"/>
                    <w:right w:w="28" w:type="dxa"/>
                  </w:tcMar>
                  <w:vAlign w:val="center"/>
                </w:tcPr>
                <w:p>
                  <w:pPr>
                    <w:spacing w:line="320" w:lineRule="exact"/>
                    <w:contextualSpacing/>
                    <w:jc w:val="center"/>
                    <w:rPr>
                      <w:color w:val="auto"/>
                      <w:szCs w:val="21"/>
                    </w:rPr>
                  </w:pPr>
                  <w:r>
                    <w:rPr>
                      <w:rFonts w:hint="eastAsia"/>
                      <w:color w:val="auto"/>
                      <w:szCs w:val="21"/>
                    </w:rPr>
                    <w:t>1台油烟净化器</w:t>
                  </w:r>
                </w:p>
              </w:tc>
            </w:tr>
          </w:tbl>
          <w:p>
            <w:pPr>
              <w:spacing w:line="360" w:lineRule="auto"/>
              <w:ind w:firstLine="480" w:firstLineChars="200"/>
              <w:rPr>
                <w:bCs/>
                <w:color w:val="auto"/>
                <w:sz w:val="24"/>
              </w:rPr>
            </w:pPr>
            <w:r>
              <w:rPr>
                <w:rFonts w:hint="eastAsia"/>
                <w:bCs/>
                <w:color w:val="auto"/>
                <w:sz w:val="24"/>
              </w:rPr>
              <w:t>（2）废水</w:t>
            </w:r>
          </w:p>
          <w:p>
            <w:pPr>
              <w:adjustRightInd w:val="0"/>
              <w:snapToGrid w:val="0"/>
              <w:spacing w:line="360" w:lineRule="auto"/>
              <w:ind w:firstLine="480" w:firstLineChars="200"/>
              <w:rPr>
                <w:bCs/>
                <w:color w:val="auto"/>
                <w:sz w:val="24"/>
              </w:rPr>
            </w:pPr>
            <w:r>
              <w:rPr>
                <w:bCs/>
                <w:color w:val="auto"/>
                <w:sz w:val="24"/>
              </w:rPr>
              <w:t>在建项目产生的废水主要为生活污水。</w:t>
            </w:r>
            <w:r>
              <w:rPr>
                <w:rFonts w:hint="eastAsia"/>
                <w:color w:val="auto"/>
                <w:sz w:val="24"/>
                <w:szCs w:val="20"/>
              </w:rPr>
              <w:t>项目废水污染物</w:t>
            </w:r>
            <w:r>
              <w:rPr>
                <w:rFonts w:hint="eastAsia" w:cs="宋体"/>
                <w:color w:val="auto"/>
                <w:sz w:val="24"/>
                <w:szCs w:val="20"/>
              </w:rPr>
              <w:t>排放情况见下表：</w:t>
            </w:r>
          </w:p>
          <w:p>
            <w:pPr>
              <w:jc w:val="center"/>
              <w:rPr>
                <w:rFonts w:hAnsi="宋体" w:cs="宋体"/>
                <w:b/>
                <w:color w:val="auto"/>
                <w:sz w:val="24"/>
                <w:szCs w:val="20"/>
              </w:rPr>
            </w:pPr>
            <w:r>
              <w:rPr>
                <w:rFonts w:hint="eastAsia" w:hAnsi="宋体" w:cs="宋体"/>
                <w:b/>
                <w:color w:val="auto"/>
                <w:sz w:val="24"/>
                <w:szCs w:val="20"/>
              </w:rPr>
              <w:t>表2-8   在建项目废水污染物产排情况一览表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97"/>
              <w:gridCol w:w="1298"/>
              <w:gridCol w:w="1447"/>
              <w:gridCol w:w="1521"/>
              <w:gridCol w:w="25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02" w:type="pct"/>
                  <w:vAlign w:val="center"/>
                </w:tcPr>
                <w:p>
                  <w:pPr>
                    <w:spacing w:line="320" w:lineRule="exact"/>
                    <w:contextualSpacing/>
                    <w:jc w:val="center"/>
                    <w:rPr>
                      <w:rFonts w:hAnsi="宋体"/>
                      <w:color w:val="auto"/>
                      <w:szCs w:val="21"/>
                    </w:rPr>
                  </w:pPr>
                  <w:r>
                    <w:rPr>
                      <w:rFonts w:hAnsi="宋体"/>
                      <w:color w:val="auto"/>
                      <w:szCs w:val="21"/>
                    </w:rPr>
                    <w:t>污染源</w:t>
                  </w:r>
                </w:p>
              </w:tc>
              <w:tc>
                <w:tcPr>
                  <w:tcW w:w="802" w:type="pct"/>
                  <w:tcMar>
                    <w:left w:w="28" w:type="dxa"/>
                    <w:right w:w="28" w:type="dxa"/>
                  </w:tcMar>
                  <w:vAlign w:val="center"/>
                </w:tcPr>
                <w:p>
                  <w:pPr>
                    <w:spacing w:line="320" w:lineRule="exact"/>
                    <w:contextualSpacing/>
                    <w:jc w:val="center"/>
                    <w:rPr>
                      <w:color w:val="auto"/>
                      <w:szCs w:val="21"/>
                    </w:rPr>
                  </w:pPr>
                  <w:r>
                    <w:rPr>
                      <w:rFonts w:hAnsi="宋体"/>
                      <w:color w:val="auto"/>
                      <w:szCs w:val="21"/>
                    </w:rPr>
                    <w:t>污染物名称</w:t>
                  </w:r>
                </w:p>
              </w:tc>
              <w:tc>
                <w:tcPr>
                  <w:tcW w:w="894" w:type="pct"/>
                  <w:tcMar>
                    <w:left w:w="28" w:type="dxa"/>
                    <w:right w:w="28" w:type="dxa"/>
                  </w:tcMar>
                  <w:vAlign w:val="center"/>
                </w:tcPr>
                <w:p>
                  <w:pPr>
                    <w:spacing w:line="320" w:lineRule="exact"/>
                    <w:contextualSpacing/>
                    <w:jc w:val="center"/>
                    <w:rPr>
                      <w:color w:val="auto"/>
                      <w:szCs w:val="21"/>
                    </w:rPr>
                  </w:pPr>
                  <w:r>
                    <w:rPr>
                      <w:rFonts w:hint="eastAsia"/>
                      <w:color w:val="auto"/>
                      <w:szCs w:val="21"/>
                    </w:rPr>
                    <w:t>产生量</w:t>
                  </w:r>
                </w:p>
              </w:tc>
              <w:tc>
                <w:tcPr>
                  <w:tcW w:w="940" w:type="pct"/>
                  <w:tcMar>
                    <w:left w:w="28" w:type="dxa"/>
                    <w:right w:w="28" w:type="dxa"/>
                  </w:tcMar>
                  <w:vAlign w:val="center"/>
                </w:tcPr>
                <w:p>
                  <w:pPr>
                    <w:spacing w:line="320" w:lineRule="exact"/>
                    <w:contextualSpacing/>
                    <w:jc w:val="center"/>
                    <w:rPr>
                      <w:color w:val="auto"/>
                      <w:szCs w:val="21"/>
                    </w:rPr>
                  </w:pPr>
                  <w:r>
                    <w:rPr>
                      <w:rFonts w:hAnsi="宋体"/>
                      <w:color w:val="auto"/>
                      <w:szCs w:val="21"/>
                    </w:rPr>
                    <w:t>排放量</w:t>
                  </w:r>
                </w:p>
              </w:tc>
              <w:tc>
                <w:tcPr>
                  <w:tcW w:w="1562" w:type="pct"/>
                  <w:tcMar>
                    <w:left w:w="28" w:type="dxa"/>
                    <w:right w:w="28" w:type="dxa"/>
                  </w:tcMar>
                  <w:vAlign w:val="center"/>
                </w:tcPr>
                <w:p>
                  <w:pPr>
                    <w:spacing w:line="320" w:lineRule="exact"/>
                    <w:contextualSpacing/>
                    <w:jc w:val="center"/>
                    <w:rPr>
                      <w:color w:val="auto"/>
                      <w:szCs w:val="21"/>
                    </w:rPr>
                  </w:pPr>
                  <w:r>
                    <w:rPr>
                      <w:rFonts w:hAnsi="宋体"/>
                      <w:color w:val="auto"/>
                      <w:szCs w:val="21"/>
                    </w:rPr>
                    <w:t>治理措施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802" w:type="pct"/>
                  <w:vMerge w:val="restart"/>
                  <w:vAlign w:val="center"/>
                </w:tcPr>
                <w:p>
                  <w:pPr>
                    <w:spacing w:line="320" w:lineRule="exact"/>
                    <w:contextualSpacing/>
                    <w:jc w:val="center"/>
                    <w:rPr>
                      <w:rFonts w:hAnsi="宋体"/>
                      <w:color w:val="auto"/>
                      <w:szCs w:val="21"/>
                    </w:rPr>
                  </w:pPr>
                  <w:r>
                    <w:rPr>
                      <w:rFonts w:hint="eastAsia" w:hAnsi="宋体"/>
                      <w:color w:val="auto"/>
                      <w:szCs w:val="21"/>
                    </w:rPr>
                    <w:t>办公生活区</w:t>
                  </w:r>
                </w:p>
              </w:tc>
              <w:tc>
                <w:tcPr>
                  <w:tcW w:w="802" w:type="pct"/>
                  <w:vAlign w:val="center"/>
                </w:tcPr>
                <w:p>
                  <w:pPr>
                    <w:spacing w:line="320" w:lineRule="exact"/>
                    <w:contextualSpacing/>
                    <w:jc w:val="center"/>
                    <w:rPr>
                      <w:color w:val="auto"/>
                      <w:szCs w:val="21"/>
                    </w:rPr>
                  </w:pPr>
                  <w:r>
                    <w:rPr>
                      <w:rFonts w:hint="eastAsia" w:hAnsi="宋体"/>
                      <w:color w:val="auto"/>
                      <w:szCs w:val="21"/>
                    </w:rPr>
                    <w:t>废水量</w:t>
                  </w:r>
                </w:p>
              </w:tc>
              <w:tc>
                <w:tcPr>
                  <w:tcW w:w="894" w:type="pct"/>
                  <w:tcMar>
                    <w:left w:w="28" w:type="dxa"/>
                    <w:right w:w="28" w:type="dxa"/>
                  </w:tcMar>
                  <w:vAlign w:val="center"/>
                </w:tcPr>
                <w:p>
                  <w:pPr>
                    <w:spacing w:line="320" w:lineRule="exact"/>
                    <w:contextualSpacing/>
                    <w:jc w:val="center"/>
                    <w:rPr>
                      <w:color w:val="auto"/>
                      <w:szCs w:val="21"/>
                    </w:rPr>
                  </w:pPr>
                  <w:r>
                    <w:rPr>
                      <w:rFonts w:hint="eastAsia"/>
                      <w:color w:val="auto"/>
                      <w:szCs w:val="21"/>
                    </w:rPr>
                    <w:t>120m</w:t>
                  </w:r>
                  <w:r>
                    <w:rPr>
                      <w:rFonts w:hint="eastAsia"/>
                      <w:color w:val="auto"/>
                      <w:szCs w:val="21"/>
                      <w:vertAlign w:val="superscript"/>
                    </w:rPr>
                    <w:t>3</w:t>
                  </w:r>
                  <w:r>
                    <w:rPr>
                      <w:rFonts w:hint="eastAsia"/>
                      <w:color w:val="auto"/>
                      <w:szCs w:val="21"/>
                    </w:rPr>
                    <w:t>/a</w:t>
                  </w:r>
                </w:p>
              </w:tc>
              <w:tc>
                <w:tcPr>
                  <w:tcW w:w="940" w:type="pct"/>
                  <w:tcMar>
                    <w:left w:w="28" w:type="dxa"/>
                    <w:right w:w="28" w:type="dxa"/>
                  </w:tcMar>
                  <w:vAlign w:val="center"/>
                </w:tcPr>
                <w:p>
                  <w:pPr>
                    <w:spacing w:line="320" w:lineRule="exact"/>
                    <w:contextualSpacing/>
                    <w:jc w:val="center"/>
                    <w:rPr>
                      <w:color w:val="auto"/>
                      <w:szCs w:val="21"/>
                    </w:rPr>
                  </w:pPr>
                  <w:r>
                    <w:rPr>
                      <w:rFonts w:hint="eastAsia"/>
                      <w:color w:val="auto"/>
                      <w:szCs w:val="21"/>
                    </w:rPr>
                    <w:t>120m</w:t>
                  </w:r>
                  <w:r>
                    <w:rPr>
                      <w:rFonts w:hint="eastAsia"/>
                      <w:color w:val="auto"/>
                      <w:szCs w:val="21"/>
                      <w:vertAlign w:val="superscript"/>
                    </w:rPr>
                    <w:t>3</w:t>
                  </w:r>
                  <w:r>
                    <w:rPr>
                      <w:rFonts w:hint="eastAsia"/>
                      <w:color w:val="auto"/>
                      <w:szCs w:val="21"/>
                    </w:rPr>
                    <w:t>/a</w:t>
                  </w:r>
                </w:p>
              </w:tc>
              <w:tc>
                <w:tcPr>
                  <w:tcW w:w="1562" w:type="pct"/>
                  <w:vMerge w:val="restart"/>
                  <w:tcMar>
                    <w:left w:w="28" w:type="dxa"/>
                    <w:right w:w="28" w:type="dxa"/>
                  </w:tcMar>
                  <w:vAlign w:val="center"/>
                </w:tcPr>
                <w:p>
                  <w:pPr>
                    <w:spacing w:line="320" w:lineRule="exact"/>
                    <w:contextualSpacing/>
                    <w:jc w:val="center"/>
                    <w:rPr>
                      <w:color w:val="auto"/>
                      <w:szCs w:val="21"/>
                      <w:lang w:val="de-DE"/>
                    </w:rPr>
                  </w:pPr>
                  <w:r>
                    <w:rPr>
                      <w:color w:val="auto"/>
                      <w:szCs w:val="21"/>
                      <w:lang w:val="de-DE"/>
                    </w:rPr>
                    <w:t>生活污水经隔油池和化粪池处理后经市政污水管网进入高新区污水处理厂。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802" w:type="pct"/>
                  <w:vMerge w:val="continue"/>
                  <w:vAlign w:val="center"/>
                </w:tcPr>
                <w:p>
                  <w:pPr>
                    <w:spacing w:line="320" w:lineRule="exact"/>
                    <w:contextualSpacing/>
                    <w:jc w:val="center"/>
                    <w:rPr>
                      <w:rFonts w:hAnsi="宋体"/>
                      <w:color w:val="auto"/>
                      <w:szCs w:val="21"/>
                    </w:rPr>
                  </w:pPr>
                </w:p>
              </w:tc>
              <w:tc>
                <w:tcPr>
                  <w:tcW w:w="802" w:type="pct"/>
                  <w:vAlign w:val="center"/>
                </w:tcPr>
                <w:p>
                  <w:pPr>
                    <w:spacing w:line="320" w:lineRule="exact"/>
                    <w:contextualSpacing/>
                    <w:jc w:val="center"/>
                    <w:rPr>
                      <w:rFonts w:hAnsi="宋体"/>
                      <w:color w:val="auto"/>
                      <w:szCs w:val="21"/>
                    </w:rPr>
                  </w:pPr>
                  <w:r>
                    <w:rPr>
                      <w:rFonts w:hint="eastAsia" w:hAnsi="宋体"/>
                      <w:color w:val="auto"/>
                      <w:szCs w:val="21"/>
                    </w:rPr>
                    <w:t>COD</w:t>
                  </w:r>
                </w:p>
              </w:tc>
              <w:tc>
                <w:tcPr>
                  <w:tcW w:w="894" w:type="pct"/>
                  <w:tcMar>
                    <w:left w:w="28" w:type="dxa"/>
                    <w:right w:w="28" w:type="dxa"/>
                  </w:tcMar>
                  <w:vAlign w:val="center"/>
                </w:tcPr>
                <w:p>
                  <w:pPr>
                    <w:spacing w:line="320" w:lineRule="exact"/>
                    <w:contextualSpacing/>
                    <w:jc w:val="center"/>
                    <w:rPr>
                      <w:color w:val="auto"/>
                      <w:szCs w:val="21"/>
                    </w:rPr>
                  </w:pPr>
                  <w:r>
                    <w:rPr>
                      <w:rFonts w:hint="eastAsia"/>
                      <w:color w:val="auto"/>
                      <w:szCs w:val="21"/>
                    </w:rPr>
                    <w:t>0.06 t/a</w:t>
                  </w:r>
                </w:p>
              </w:tc>
              <w:tc>
                <w:tcPr>
                  <w:tcW w:w="940" w:type="pct"/>
                  <w:tcMar>
                    <w:left w:w="28" w:type="dxa"/>
                    <w:right w:w="28" w:type="dxa"/>
                  </w:tcMar>
                  <w:vAlign w:val="center"/>
                </w:tcPr>
                <w:p>
                  <w:pPr>
                    <w:spacing w:line="320" w:lineRule="exact"/>
                    <w:contextualSpacing/>
                    <w:jc w:val="center"/>
                    <w:rPr>
                      <w:color w:val="auto"/>
                      <w:szCs w:val="21"/>
                    </w:rPr>
                  </w:pPr>
                  <w:r>
                    <w:rPr>
                      <w:rFonts w:hint="eastAsia"/>
                      <w:color w:val="auto"/>
                      <w:szCs w:val="21"/>
                    </w:rPr>
                    <w:t>0.048 t/a</w:t>
                  </w:r>
                </w:p>
              </w:tc>
              <w:tc>
                <w:tcPr>
                  <w:tcW w:w="1562" w:type="pct"/>
                  <w:vMerge w:val="continue"/>
                  <w:tcMar>
                    <w:left w:w="28" w:type="dxa"/>
                    <w:right w:w="28" w:type="dxa"/>
                  </w:tcMar>
                  <w:vAlign w:val="center"/>
                </w:tcPr>
                <w:p>
                  <w:pPr>
                    <w:spacing w:line="320" w:lineRule="exact"/>
                    <w:contextualSpacing/>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802" w:type="pct"/>
                  <w:vMerge w:val="continue"/>
                  <w:vAlign w:val="center"/>
                </w:tcPr>
                <w:p>
                  <w:pPr>
                    <w:spacing w:line="320" w:lineRule="exact"/>
                    <w:contextualSpacing/>
                    <w:jc w:val="center"/>
                    <w:rPr>
                      <w:rFonts w:hAnsi="宋体"/>
                      <w:color w:val="auto"/>
                      <w:szCs w:val="21"/>
                    </w:rPr>
                  </w:pPr>
                </w:p>
              </w:tc>
              <w:tc>
                <w:tcPr>
                  <w:tcW w:w="802" w:type="pct"/>
                  <w:vAlign w:val="center"/>
                </w:tcPr>
                <w:p>
                  <w:pPr>
                    <w:spacing w:line="320" w:lineRule="exact"/>
                    <w:contextualSpacing/>
                    <w:jc w:val="center"/>
                    <w:rPr>
                      <w:rFonts w:hAnsi="宋体"/>
                      <w:color w:val="auto"/>
                      <w:szCs w:val="21"/>
                    </w:rPr>
                  </w:pPr>
                  <w:r>
                    <w:rPr>
                      <w:rFonts w:hint="eastAsia" w:hAnsi="宋体"/>
                      <w:color w:val="auto"/>
                      <w:szCs w:val="21"/>
                    </w:rPr>
                    <w:t>BOD</w:t>
                  </w:r>
                  <w:r>
                    <w:rPr>
                      <w:rFonts w:hint="eastAsia" w:hAnsi="宋体"/>
                      <w:color w:val="auto"/>
                      <w:szCs w:val="21"/>
                      <w:vertAlign w:val="subscript"/>
                    </w:rPr>
                    <w:t>5</w:t>
                  </w:r>
                </w:p>
              </w:tc>
              <w:tc>
                <w:tcPr>
                  <w:tcW w:w="894" w:type="pct"/>
                  <w:tcMar>
                    <w:left w:w="28" w:type="dxa"/>
                    <w:right w:w="28" w:type="dxa"/>
                  </w:tcMar>
                  <w:vAlign w:val="center"/>
                </w:tcPr>
                <w:p>
                  <w:pPr>
                    <w:spacing w:line="320" w:lineRule="exact"/>
                    <w:contextualSpacing/>
                    <w:jc w:val="center"/>
                    <w:rPr>
                      <w:color w:val="auto"/>
                      <w:szCs w:val="21"/>
                    </w:rPr>
                  </w:pPr>
                  <w:r>
                    <w:rPr>
                      <w:rFonts w:hint="eastAsia"/>
                      <w:color w:val="auto"/>
                      <w:szCs w:val="21"/>
                    </w:rPr>
                    <w:t>0.03 t/a</w:t>
                  </w:r>
                </w:p>
              </w:tc>
              <w:tc>
                <w:tcPr>
                  <w:tcW w:w="940" w:type="pct"/>
                  <w:tcMar>
                    <w:left w:w="28" w:type="dxa"/>
                    <w:right w:w="28" w:type="dxa"/>
                  </w:tcMar>
                  <w:vAlign w:val="center"/>
                </w:tcPr>
                <w:p>
                  <w:pPr>
                    <w:spacing w:line="320" w:lineRule="exact"/>
                    <w:contextualSpacing/>
                    <w:jc w:val="center"/>
                    <w:rPr>
                      <w:color w:val="auto"/>
                      <w:szCs w:val="21"/>
                    </w:rPr>
                  </w:pPr>
                  <w:r>
                    <w:rPr>
                      <w:rFonts w:hint="eastAsia"/>
                      <w:color w:val="auto"/>
                      <w:szCs w:val="21"/>
                    </w:rPr>
                    <w:t>0.024 t/a</w:t>
                  </w:r>
                </w:p>
              </w:tc>
              <w:tc>
                <w:tcPr>
                  <w:tcW w:w="1562" w:type="pct"/>
                  <w:vMerge w:val="continue"/>
                  <w:tcMar>
                    <w:left w:w="28" w:type="dxa"/>
                    <w:right w:w="28" w:type="dxa"/>
                  </w:tcMar>
                  <w:vAlign w:val="center"/>
                </w:tcPr>
                <w:p>
                  <w:pPr>
                    <w:spacing w:line="320" w:lineRule="exact"/>
                    <w:contextualSpacing/>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802" w:type="pct"/>
                  <w:vMerge w:val="continue"/>
                  <w:vAlign w:val="center"/>
                </w:tcPr>
                <w:p>
                  <w:pPr>
                    <w:spacing w:line="320" w:lineRule="exact"/>
                    <w:contextualSpacing/>
                    <w:jc w:val="center"/>
                    <w:rPr>
                      <w:rFonts w:hAnsi="宋体"/>
                      <w:color w:val="auto"/>
                      <w:szCs w:val="21"/>
                    </w:rPr>
                  </w:pPr>
                </w:p>
              </w:tc>
              <w:tc>
                <w:tcPr>
                  <w:tcW w:w="802" w:type="pct"/>
                  <w:vAlign w:val="center"/>
                </w:tcPr>
                <w:p>
                  <w:pPr>
                    <w:spacing w:line="320" w:lineRule="exact"/>
                    <w:contextualSpacing/>
                    <w:jc w:val="center"/>
                    <w:rPr>
                      <w:rFonts w:hAnsi="宋体"/>
                      <w:color w:val="auto"/>
                      <w:szCs w:val="21"/>
                    </w:rPr>
                  </w:pPr>
                  <w:r>
                    <w:rPr>
                      <w:rFonts w:hint="eastAsia" w:hAnsi="宋体"/>
                      <w:color w:val="auto"/>
                      <w:szCs w:val="21"/>
                    </w:rPr>
                    <w:t>SS</w:t>
                  </w:r>
                </w:p>
              </w:tc>
              <w:tc>
                <w:tcPr>
                  <w:tcW w:w="894" w:type="pct"/>
                  <w:tcMar>
                    <w:left w:w="28" w:type="dxa"/>
                    <w:right w:w="28" w:type="dxa"/>
                  </w:tcMar>
                  <w:vAlign w:val="center"/>
                </w:tcPr>
                <w:p>
                  <w:pPr>
                    <w:spacing w:line="320" w:lineRule="exact"/>
                    <w:contextualSpacing/>
                    <w:jc w:val="center"/>
                    <w:rPr>
                      <w:color w:val="auto"/>
                      <w:szCs w:val="21"/>
                    </w:rPr>
                  </w:pPr>
                  <w:r>
                    <w:rPr>
                      <w:rFonts w:hint="eastAsia"/>
                      <w:color w:val="auto"/>
                      <w:szCs w:val="21"/>
                    </w:rPr>
                    <w:t>0.036 t/a</w:t>
                  </w:r>
                </w:p>
              </w:tc>
              <w:tc>
                <w:tcPr>
                  <w:tcW w:w="940" w:type="pct"/>
                  <w:tcMar>
                    <w:left w:w="28" w:type="dxa"/>
                    <w:right w:w="28" w:type="dxa"/>
                  </w:tcMar>
                  <w:vAlign w:val="center"/>
                </w:tcPr>
                <w:p>
                  <w:pPr>
                    <w:spacing w:line="320" w:lineRule="exact"/>
                    <w:contextualSpacing/>
                    <w:jc w:val="center"/>
                    <w:rPr>
                      <w:color w:val="auto"/>
                      <w:szCs w:val="21"/>
                    </w:rPr>
                  </w:pPr>
                  <w:r>
                    <w:rPr>
                      <w:rFonts w:hint="eastAsia"/>
                      <w:color w:val="auto"/>
                      <w:szCs w:val="21"/>
                    </w:rPr>
                    <w:t>0.018 t/a</w:t>
                  </w:r>
                </w:p>
              </w:tc>
              <w:tc>
                <w:tcPr>
                  <w:tcW w:w="1562" w:type="pct"/>
                  <w:vMerge w:val="continue"/>
                  <w:tcMar>
                    <w:left w:w="28" w:type="dxa"/>
                    <w:right w:w="28" w:type="dxa"/>
                  </w:tcMar>
                  <w:vAlign w:val="center"/>
                </w:tcPr>
                <w:p>
                  <w:pPr>
                    <w:spacing w:line="320" w:lineRule="exact"/>
                    <w:contextualSpacing/>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802" w:type="pct"/>
                  <w:vMerge w:val="continue"/>
                  <w:vAlign w:val="center"/>
                </w:tcPr>
                <w:p>
                  <w:pPr>
                    <w:spacing w:line="320" w:lineRule="exact"/>
                    <w:contextualSpacing/>
                    <w:jc w:val="center"/>
                    <w:rPr>
                      <w:rFonts w:hAnsi="宋体"/>
                      <w:color w:val="auto"/>
                      <w:szCs w:val="21"/>
                    </w:rPr>
                  </w:pPr>
                </w:p>
              </w:tc>
              <w:tc>
                <w:tcPr>
                  <w:tcW w:w="802" w:type="pct"/>
                  <w:vAlign w:val="center"/>
                </w:tcPr>
                <w:p>
                  <w:pPr>
                    <w:spacing w:line="320" w:lineRule="exact"/>
                    <w:contextualSpacing/>
                    <w:jc w:val="center"/>
                    <w:rPr>
                      <w:rFonts w:hAnsi="宋体"/>
                      <w:color w:val="auto"/>
                      <w:szCs w:val="21"/>
                    </w:rPr>
                  </w:pPr>
                  <w:r>
                    <w:rPr>
                      <w:rFonts w:hint="eastAsia" w:hAnsi="宋体"/>
                      <w:color w:val="auto"/>
                      <w:szCs w:val="21"/>
                    </w:rPr>
                    <w:t>NH</w:t>
                  </w:r>
                  <w:r>
                    <w:rPr>
                      <w:rFonts w:hint="eastAsia" w:hAnsi="宋体"/>
                      <w:color w:val="auto"/>
                      <w:szCs w:val="21"/>
                      <w:vertAlign w:val="subscript"/>
                    </w:rPr>
                    <w:t>3</w:t>
                  </w:r>
                  <w:r>
                    <w:rPr>
                      <w:rFonts w:hint="eastAsia" w:hAnsi="宋体"/>
                      <w:color w:val="auto"/>
                      <w:szCs w:val="21"/>
                    </w:rPr>
                    <w:t>-N</w:t>
                  </w:r>
                </w:p>
              </w:tc>
              <w:tc>
                <w:tcPr>
                  <w:tcW w:w="894" w:type="pct"/>
                  <w:tcMar>
                    <w:left w:w="28" w:type="dxa"/>
                    <w:right w:w="28" w:type="dxa"/>
                  </w:tcMar>
                  <w:vAlign w:val="center"/>
                </w:tcPr>
                <w:p>
                  <w:pPr>
                    <w:spacing w:line="320" w:lineRule="exact"/>
                    <w:contextualSpacing/>
                    <w:jc w:val="center"/>
                    <w:rPr>
                      <w:color w:val="auto"/>
                      <w:szCs w:val="21"/>
                    </w:rPr>
                  </w:pPr>
                  <w:r>
                    <w:rPr>
                      <w:rFonts w:hint="eastAsia"/>
                      <w:color w:val="auto"/>
                      <w:szCs w:val="21"/>
                    </w:rPr>
                    <w:t>0.0042 t/a</w:t>
                  </w:r>
                </w:p>
              </w:tc>
              <w:tc>
                <w:tcPr>
                  <w:tcW w:w="940" w:type="pct"/>
                  <w:tcMar>
                    <w:left w:w="28" w:type="dxa"/>
                    <w:right w:w="28" w:type="dxa"/>
                  </w:tcMar>
                  <w:vAlign w:val="center"/>
                </w:tcPr>
                <w:p>
                  <w:pPr>
                    <w:spacing w:line="320" w:lineRule="exact"/>
                    <w:contextualSpacing/>
                    <w:jc w:val="center"/>
                    <w:rPr>
                      <w:color w:val="auto"/>
                      <w:szCs w:val="21"/>
                    </w:rPr>
                  </w:pPr>
                  <w:r>
                    <w:rPr>
                      <w:rFonts w:hint="eastAsia"/>
                      <w:color w:val="auto"/>
                      <w:szCs w:val="21"/>
                    </w:rPr>
                    <w:t>0.0024 t/a</w:t>
                  </w:r>
                </w:p>
              </w:tc>
              <w:tc>
                <w:tcPr>
                  <w:tcW w:w="1562" w:type="pct"/>
                  <w:vMerge w:val="continue"/>
                  <w:tcMar>
                    <w:left w:w="28" w:type="dxa"/>
                    <w:right w:w="28" w:type="dxa"/>
                  </w:tcMar>
                  <w:vAlign w:val="center"/>
                </w:tcPr>
                <w:p>
                  <w:pPr>
                    <w:spacing w:line="320" w:lineRule="exact"/>
                    <w:contextualSpacing/>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802" w:type="pct"/>
                  <w:vMerge w:val="continue"/>
                  <w:vAlign w:val="center"/>
                </w:tcPr>
                <w:p>
                  <w:pPr>
                    <w:spacing w:line="320" w:lineRule="exact"/>
                    <w:contextualSpacing/>
                    <w:jc w:val="center"/>
                    <w:rPr>
                      <w:rFonts w:hAnsi="宋体"/>
                      <w:color w:val="auto"/>
                      <w:szCs w:val="21"/>
                    </w:rPr>
                  </w:pPr>
                </w:p>
              </w:tc>
              <w:tc>
                <w:tcPr>
                  <w:tcW w:w="802" w:type="pct"/>
                  <w:vAlign w:val="center"/>
                </w:tcPr>
                <w:p>
                  <w:pPr>
                    <w:spacing w:line="320" w:lineRule="exact"/>
                    <w:contextualSpacing/>
                    <w:jc w:val="center"/>
                    <w:rPr>
                      <w:rFonts w:hAnsi="宋体"/>
                      <w:color w:val="auto"/>
                      <w:szCs w:val="21"/>
                    </w:rPr>
                  </w:pPr>
                  <w:r>
                    <w:rPr>
                      <w:rFonts w:hint="eastAsia" w:hAnsi="宋体"/>
                      <w:color w:val="auto"/>
                      <w:szCs w:val="21"/>
                    </w:rPr>
                    <w:t>动植物油</w:t>
                  </w:r>
                </w:p>
              </w:tc>
              <w:tc>
                <w:tcPr>
                  <w:tcW w:w="894" w:type="pct"/>
                  <w:tcMar>
                    <w:left w:w="28" w:type="dxa"/>
                    <w:right w:w="28" w:type="dxa"/>
                  </w:tcMar>
                  <w:vAlign w:val="center"/>
                </w:tcPr>
                <w:p>
                  <w:pPr>
                    <w:spacing w:line="320" w:lineRule="exact"/>
                    <w:contextualSpacing/>
                    <w:jc w:val="center"/>
                    <w:rPr>
                      <w:color w:val="auto"/>
                      <w:szCs w:val="21"/>
                    </w:rPr>
                  </w:pPr>
                  <w:r>
                    <w:rPr>
                      <w:rFonts w:hint="eastAsia"/>
                      <w:color w:val="auto"/>
                      <w:szCs w:val="21"/>
                    </w:rPr>
                    <w:t>0.012 t/a</w:t>
                  </w:r>
                </w:p>
              </w:tc>
              <w:tc>
                <w:tcPr>
                  <w:tcW w:w="940" w:type="pct"/>
                  <w:tcMar>
                    <w:left w:w="28" w:type="dxa"/>
                    <w:right w:w="28" w:type="dxa"/>
                  </w:tcMar>
                  <w:vAlign w:val="center"/>
                </w:tcPr>
                <w:p>
                  <w:pPr>
                    <w:spacing w:line="320" w:lineRule="exact"/>
                    <w:contextualSpacing/>
                    <w:jc w:val="center"/>
                    <w:rPr>
                      <w:color w:val="auto"/>
                      <w:szCs w:val="21"/>
                    </w:rPr>
                  </w:pPr>
                  <w:r>
                    <w:rPr>
                      <w:rFonts w:hint="eastAsia"/>
                      <w:color w:val="auto"/>
                      <w:szCs w:val="21"/>
                    </w:rPr>
                    <w:t>0.0036 t/a</w:t>
                  </w:r>
                </w:p>
              </w:tc>
              <w:tc>
                <w:tcPr>
                  <w:tcW w:w="1562" w:type="pct"/>
                  <w:vMerge w:val="continue"/>
                  <w:tcMar>
                    <w:left w:w="28" w:type="dxa"/>
                    <w:right w:w="28" w:type="dxa"/>
                  </w:tcMar>
                  <w:vAlign w:val="center"/>
                </w:tcPr>
                <w:p>
                  <w:pPr>
                    <w:spacing w:line="320" w:lineRule="exact"/>
                    <w:contextualSpacing/>
                    <w:jc w:val="center"/>
                    <w:rPr>
                      <w:color w:val="auto"/>
                      <w:szCs w:val="21"/>
                    </w:rPr>
                  </w:pPr>
                </w:p>
              </w:tc>
            </w:tr>
          </w:tbl>
          <w:p>
            <w:pPr>
              <w:spacing w:before="120" w:beforeLines="50" w:line="360" w:lineRule="auto"/>
              <w:ind w:firstLine="480" w:firstLineChars="200"/>
              <w:rPr>
                <w:bCs/>
                <w:color w:val="auto"/>
                <w:sz w:val="24"/>
              </w:rPr>
            </w:pPr>
            <w:r>
              <w:rPr>
                <w:rFonts w:hint="eastAsia"/>
                <w:bCs/>
                <w:color w:val="auto"/>
                <w:sz w:val="24"/>
              </w:rPr>
              <w:t>（3）噪声</w:t>
            </w:r>
          </w:p>
          <w:p>
            <w:pPr>
              <w:spacing w:before="120" w:beforeLines="50" w:line="360" w:lineRule="auto"/>
              <w:ind w:firstLine="480" w:firstLineChars="200"/>
              <w:jc w:val="left"/>
              <w:rPr>
                <w:color w:val="auto"/>
                <w:sz w:val="24"/>
                <w:szCs w:val="20"/>
                <w:lang w:val="de-DE"/>
              </w:rPr>
            </w:pPr>
            <w:r>
              <w:rPr>
                <w:rFonts w:hint="eastAsia"/>
                <w:color w:val="auto"/>
                <w:sz w:val="24"/>
                <w:szCs w:val="20"/>
                <w:lang w:val="de-DE"/>
              </w:rPr>
              <w:t>在建项目运营期噪声主要来源于出料泵和风机运行噪声，噪声源强约80~85dB（A）。拟采取基础减震、隔声罩、厂房隔声等降噪措施。</w:t>
            </w:r>
          </w:p>
          <w:p>
            <w:pPr>
              <w:spacing w:line="360" w:lineRule="auto"/>
              <w:ind w:firstLine="480" w:firstLineChars="200"/>
              <w:rPr>
                <w:bCs/>
                <w:color w:val="auto"/>
                <w:sz w:val="24"/>
              </w:rPr>
            </w:pPr>
            <w:r>
              <w:rPr>
                <w:rFonts w:hint="eastAsia"/>
                <w:bCs/>
                <w:color w:val="auto"/>
                <w:sz w:val="24"/>
              </w:rPr>
              <w:t>（4）固废</w:t>
            </w:r>
          </w:p>
          <w:p>
            <w:pPr>
              <w:spacing w:before="120" w:beforeLines="50" w:line="360" w:lineRule="auto"/>
              <w:ind w:firstLine="480" w:firstLineChars="200"/>
              <w:jc w:val="left"/>
              <w:rPr>
                <w:color w:val="auto"/>
                <w:sz w:val="24"/>
                <w:szCs w:val="20"/>
                <w:lang w:val="de-DE"/>
              </w:rPr>
            </w:pPr>
            <w:r>
              <w:rPr>
                <w:rFonts w:hint="eastAsia"/>
                <w:color w:val="auto"/>
                <w:sz w:val="24"/>
                <w:szCs w:val="20"/>
                <w:lang w:val="de-DE"/>
              </w:rPr>
              <w:t>在建项目运营期固体废物主要为不合格品、废活性炭、废包装桶、职工生活垃圾等。</w:t>
            </w:r>
          </w:p>
          <w:p>
            <w:pPr>
              <w:jc w:val="center"/>
              <w:rPr>
                <w:rFonts w:hAnsi="宋体" w:cs="宋体"/>
                <w:b/>
                <w:color w:val="auto"/>
                <w:sz w:val="24"/>
                <w:szCs w:val="20"/>
              </w:rPr>
            </w:pPr>
            <w:r>
              <w:rPr>
                <w:rFonts w:hint="eastAsia" w:hAnsi="宋体" w:cs="宋体"/>
                <w:b/>
                <w:color w:val="auto"/>
                <w:sz w:val="24"/>
                <w:szCs w:val="20"/>
              </w:rPr>
              <w:t>表2-9   在建项目固废产排情况一览表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3"/>
              <w:gridCol w:w="1411"/>
              <w:gridCol w:w="1411"/>
              <w:gridCol w:w="1128"/>
              <w:gridCol w:w="25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66" w:type="pct"/>
                </w:tcPr>
                <w:p>
                  <w:pPr>
                    <w:spacing w:line="320" w:lineRule="exact"/>
                    <w:contextualSpacing/>
                    <w:jc w:val="center"/>
                    <w:rPr>
                      <w:rFonts w:hAnsi="宋体"/>
                      <w:color w:val="auto"/>
                      <w:szCs w:val="21"/>
                    </w:rPr>
                  </w:pPr>
                  <w:r>
                    <w:rPr>
                      <w:rFonts w:hAnsi="宋体"/>
                      <w:color w:val="auto"/>
                      <w:szCs w:val="21"/>
                    </w:rPr>
                    <w:t>污染源</w:t>
                  </w:r>
                </w:p>
              </w:tc>
              <w:tc>
                <w:tcPr>
                  <w:tcW w:w="872" w:type="pct"/>
                  <w:tcMar>
                    <w:left w:w="28" w:type="dxa"/>
                    <w:right w:w="28" w:type="dxa"/>
                  </w:tcMar>
                  <w:vAlign w:val="center"/>
                </w:tcPr>
                <w:p>
                  <w:pPr>
                    <w:spacing w:line="320" w:lineRule="exact"/>
                    <w:contextualSpacing/>
                    <w:jc w:val="center"/>
                    <w:rPr>
                      <w:color w:val="auto"/>
                      <w:szCs w:val="21"/>
                    </w:rPr>
                  </w:pPr>
                  <w:r>
                    <w:rPr>
                      <w:rFonts w:hAnsi="宋体"/>
                      <w:color w:val="auto"/>
                      <w:szCs w:val="21"/>
                    </w:rPr>
                    <w:t>污染物名称</w:t>
                  </w:r>
                </w:p>
              </w:tc>
              <w:tc>
                <w:tcPr>
                  <w:tcW w:w="872" w:type="pct"/>
                  <w:tcMar>
                    <w:left w:w="28" w:type="dxa"/>
                    <w:right w:w="28" w:type="dxa"/>
                  </w:tcMar>
                  <w:vAlign w:val="center"/>
                </w:tcPr>
                <w:p>
                  <w:pPr>
                    <w:spacing w:line="320" w:lineRule="exact"/>
                    <w:contextualSpacing/>
                    <w:jc w:val="center"/>
                    <w:rPr>
                      <w:color w:val="auto"/>
                      <w:szCs w:val="21"/>
                    </w:rPr>
                  </w:pPr>
                  <w:r>
                    <w:rPr>
                      <w:rFonts w:hint="eastAsia"/>
                      <w:color w:val="auto"/>
                      <w:szCs w:val="21"/>
                    </w:rPr>
                    <w:t>产生量（t/a）</w:t>
                  </w:r>
                </w:p>
              </w:tc>
              <w:tc>
                <w:tcPr>
                  <w:tcW w:w="697" w:type="pct"/>
                  <w:tcMar>
                    <w:left w:w="28" w:type="dxa"/>
                    <w:right w:w="28" w:type="dxa"/>
                  </w:tcMar>
                  <w:vAlign w:val="center"/>
                </w:tcPr>
                <w:p>
                  <w:pPr>
                    <w:spacing w:line="320" w:lineRule="exact"/>
                    <w:contextualSpacing/>
                    <w:jc w:val="center"/>
                    <w:rPr>
                      <w:color w:val="auto"/>
                      <w:szCs w:val="21"/>
                    </w:rPr>
                  </w:pPr>
                  <w:r>
                    <w:rPr>
                      <w:rFonts w:hAnsi="宋体"/>
                      <w:color w:val="auto"/>
                      <w:szCs w:val="21"/>
                    </w:rPr>
                    <w:t>排放量</w:t>
                  </w:r>
                  <w:r>
                    <w:rPr>
                      <w:rFonts w:hint="eastAsia"/>
                      <w:color w:val="auto"/>
                      <w:szCs w:val="21"/>
                    </w:rPr>
                    <w:t>（t/a）</w:t>
                  </w:r>
                </w:p>
              </w:tc>
              <w:tc>
                <w:tcPr>
                  <w:tcW w:w="1593" w:type="pct"/>
                  <w:tcMar>
                    <w:left w:w="28" w:type="dxa"/>
                    <w:right w:w="28" w:type="dxa"/>
                  </w:tcMar>
                  <w:vAlign w:val="center"/>
                </w:tcPr>
                <w:p>
                  <w:pPr>
                    <w:spacing w:line="320" w:lineRule="exact"/>
                    <w:contextualSpacing/>
                    <w:jc w:val="center"/>
                    <w:rPr>
                      <w:color w:val="auto"/>
                      <w:szCs w:val="21"/>
                    </w:rPr>
                  </w:pPr>
                  <w:r>
                    <w:rPr>
                      <w:rFonts w:hAnsi="宋体"/>
                      <w:color w:val="auto"/>
                      <w:szCs w:val="21"/>
                    </w:rPr>
                    <w:t>治理措施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66" w:type="pct"/>
                </w:tcPr>
                <w:p>
                  <w:pPr>
                    <w:spacing w:line="320" w:lineRule="exact"/>
                    <w:contextualSpacing/>
                    <w:jc w:val="center"/>
                    <w:rPr>
                      <w:color w:val="auto"/>
                      <w:szCs w:val="21"/>
                    </w:rPr>
                  </w:pPr>
                  <w:r>
                    <w:rPr>
                      <w:color w:val="auto"/>
                      <w:szCs w:val="21"/>
                    </w:rPr>
                    <w:t>废气处理设施</w:t>
                  </w:r>
                </w:p>
              </w:tc>
              <w:tc>
                <w:tcPr>
                  <w:tcW w:w="872" w:type="pct"/>
                  <w:vAlign w:val="center"/>
                </w:tcPr>
                <w:p>
                  <w:pPr>
                    <w:spacing w:line="320" w:lineRule="exact"/>
                    <w:contextualSpacing/>
                    <w:jc w:val="center"/>
                    <w:rPr>
                      <w:color w:val="auto"/>
                      <w:szCs w:val="21"/>
                    </w:rPr>
                  </w:pPr>
                  <w:r>
                    <w:rPr>
                      <w:color w:val="auto"/>
                      <w:szCs w:val="21"/>
                    </w:rPr>
                    <w:t>废活性炭</w:t>
                  </w:r>
                </w:p>
              </w:tc>
              <w:tc>
                <w:tcPr>
                  <w:tcW w:w="872" w:type="pct"/>
                  <w:tcMar>
                    <w:left w:w="28" w:type="dxa"/>
                    <w:right w:w="28" w:type="dxa"/>
                  </w:tcMar>
                  <w:vAlign w:val="center"/>
                </w:tcPr>
                <w:p>
                  <w:pPr>
                    <w:spacing w:line="320" w:lineRule="exact"/>
                    <w:contextualSpacing/>
                    <w:jc w:val="center"/>
                    <w:rPr>
                      <w:color w:val="auto"/>
                      <w:szCs w:val="21"/>
                    </w:rPr>
                  </w:pPr>
                  <w:r>
                    <w:rPr>
                      <w:rFonts w:hint="eastAsia"/>
                      <w:color w:val="auto"/>
                      <w:szCs w:val="21"/>
                    </w:rPr>
                    <w:t>13.7</w:t>
                  </w:r>
                </w:p>
              </w:tc>
              <w:tc>
                <w:tcPr>
                  <w:tcW w:w="697" w:type="pct"/>
                  <w:tcMar>
                    <w:left w:w="28" w:type="dxa"/>
                    <w:right w:w="28" w:type="dxa"/>
                  </w:tcMar>
                  <w:vAlign w:val="center"/>
                </w:tcPr>
                <w:p>
                  <w:pPr>
                    <w:spacing w:line="320" w:lineRule="exact"/>
                    <w:contextualSpacing/>
                    <w:jc w:val="center"/>
                    <w:rPr>
                      <w:color w:val="auto"/>
                      <w:szCs w:val="21"/>
                    </w:rPr>
                  </w:pPr>
                  <w:r>
                    <w:rPr>
                      <w:rFonts w:hint="eastAsia"/>
                      <w:color w:val="auto"/>
                      <w:szCs w:val="21"/>
                    </w:rPr>
                    <w:t>0</w:t>
                  </w:r>
                </w:p>
              </w:tc>
              <w:tc>
                <w:tcPr>
                  <w:tcW w:w="1594" w:type="pct"/>
                  <w:vMerge w:val="restart"/>
                  <w:tcMar>
                    <w:left w:w="28" w:type="dxa"/>
                    <w:right w:w="28" w:type="dxa"/>
                  </w:tcMar>
                  <w:vAlign w:val="center"/>
                </w:tcPr>
                <w:p>
                  <w:pPr>
                    <w:spacing w:line="320" w:lineRule="exact"/>
                    <w:contextualSpacing/>
                    <w:jc w:val="center"/>
                    <w:rPr>
                      <w:color w:val="auto"/>
                      <w:szCs w:val="21"/>
                      <w:lang w:val="de-DE"/>
                    </w:rPr>
                  </w:pPr>
                  <w:r>
                    <w:rPr>
                      <w:color w:val="auto"/>
                      <w:szCs w:val="21"/>
                      <w:lang w:val="de-DE"/>
                    </w:rPr>
                    <w:t>在厂内危废间暂存，定期交由危废处理资质单位处置。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66" w:type="pct"/>
                </w:tcPr>
                <w:p>
                  <w:pPr>
                    <w:spacing w:line="320" w:lineRule="exact"/>
                    <w:contextualSpacing/>
                    <w:jc w:val="center"/>
                    <w:rPr>
                      <w:rFonts w:hAnsi="宋体"/>
                      <w:color w:val="auto"/>
                      <w:szCs w:val="21"/>
                    </w:rPr>
                  </w:pPr>
                  <w:r>
                    <w:rPr>
                      <w:rFonts w:hAnsi="宋体"/>
                      <w:color w:val="auto"/>
                      <w:szCs w:val="21"/>
                    </w:rPr>
                    <w:t>生产过程</w:t>
                  </w:r>
                </w:p>
              </w:tc>
              <w:tc>
                <w:tcPr>
                  <w:tcW w:w="872" w:type="pct"/>
                  <w:vAlign w:val="center"/>
                </w:tcPr>
                <w:p>
                  <w:pPr>
                    <w:spacing w:line="320" w:lineRule="exact"/>
                    <w:contextualSpacing/>
                    <w:jc w:val="center"/>
                    <w:rPr>
                      <w:rFonts w:hAnsi="宋体"/>
                      <w:color w:val="auto"/>
                      <w:szCs w:val="21"/>
                    </w:rPr>
                  </w:pPr>
                  <w:r>
                    <w:rPr>
                      <w:rFonts w:hAnsi="宋体"/>
                      <w:color w:val="auto"/>
                      <w:szCs w:val="21"/>
                    </w:rPr>
                    <w:t>不合格品</w:t>
                  </w:r>
                </w:p>
              </w:tc>
              <w:tc>
                <w:tcPr>
                  <w:tcW w:w="872" w:type="pct"/>
                  <w:tcMar>
                    <w:left w:w="28" w:type="dxa"/>
                    <w:right w:w="28" w:type="dxa"/>
                  </w:tcMar>
                  <w:vAlign w:val="center"/>
                </w:tcPr>
                <w:p>
                  <w:pPr>
                    <w:spacing w:line="320" w:lineRule="exact"/>
                    <w:contextualSpacing/>
                    <w:jc w:val="center"/>
                    <w:rPr>
                      <w:color w:val="auto"/>
                      <w:szCs w:val="21"/>
                    </w:rPr>
                  </w:pPr>
                  <w:r>
                    <w:rPr>
                      <w:rFonts w:hint="eastAsia"/>
                      <w:color w:val="auto"/>
                      <w:szCs w:val="21"/>
                    </w:rPr>
                    <w:t>12</w:t>
                  </w:r>
                </w:p>
              </w:tc>
              <w:tc>
                <w:tcPr>
                  <w:tcW w:w="697" w:type="pct"/>
                  <w:tcMar>
                    <w:left w:w="28" w:type="dxa"/>
                    <w:right w:w="28" w:type="dxa"/>
                  </w:tcMar>
                  <w:vAlign w:val="center"/>
                </w:tcPr>
                <w:p>
                  <w:pPr>
                    <w:spacing w:line="320" w:lineRule="exact"/>
                    <w:contextualSpacing/>
                    <w:jc w:val="center"/>
                    <w:rPr>
                      <w:color w:val="auto"/>
                      <w:szCs w:val="21"/>
                    </w:rPr>
                  </w:pPr>
                  <w:r>
                    <w:rPr>
                      <w:rFonts w:hint="eastAsia"/>
                      <w:color w:val="auto"/>
                      <w:szCs w:val="21"/>
                    </w:rPr>
                    <w:t>0</w:t>
                  </w:r>
                </w:p>
              </w:tc>
              <w:tc>
                <w:tcPr>
                  <w:tcW w:w="1593" w:type="pct"/>
                  <w:vMerge w:val="continue"/>
                  <w:tcMar>
                    <w:left w:w="28" w:type="dxa"/>
                    <w:right w:w="28" w:type="dxa"/>
                  </w:tcMar>
                  <w:vAlign w:val="center"/>
                </w:tcPr>
                <w:p>
                  <w:pPr>
                    <w:spacing w:line="320" w:lineRule="exact"/>
                    <w:contextualSpacing/>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1838" w:type="pct"/>
                  <w:gridSpan w:val="2"/>
                </w:tcPr>
                <w:p>
                  <w:pPr>
                    <w:spacing w:line="320" w:lineRule="exact"/>
                    <w:contextualSpacing/>
                    <w:jc w:val="center"/>
                    <w:rPr>
                      <w:rFonts w:hAnsi="宋体"/>
                      <w:color w:val="auto"/>
                      <w:szCs w:val="21"/>
                    </w:rPr>
                  </w:pPr>
                  <w:r>
                    <w:rPr>
                      <w:rFonts w:hAnsi="宋体"/>
                      <w:color w:val="auto"/>
                      <w:szCs w:val="21"/>
                    </w:rPr>
                    <w:t>废包装桶</w:t>
                  </w:r>
                </w:p>
              </w:tc>
              <w:tc>
                <w:tcPr>
                  <w:tcW w:w="872" w:type="pct"/>
                  <w:tcMar>
                    <w:left w:w="28" w:type="dxa"/>
                    <w:right w:w="28" w:type="dxa"/>
                  </w:tcMar>
                  <w:vAlign w:val="center"/>
                </w:tcPr>
                <w:p>
                  <w:pPr>
                    <w:spacing w:line="320" w:lineRule="exact"/>
                    <w:contextualSpacing/>
                    <w:jc w:val="center"/>
                    <w:rPr>
                      <w:color w:val="auto"/>
                      <w:szCs w:val="21"/>
                    </w:rPr>
                  </w:pPr>
                  <w:r>
                    <w:rPr>
                      <w:rFonts w:hint="eastAsia"/>
                      <w:color w:val="auto"/>
                      <w:szCs w:val="21"/>
                    </w:rPr>
                    <w:t>9</w:t>
                  </w:r>
                </w:p>
              </w:tc>
              <w:tc>
                <w:tcPr>
                  <w:tcW w:w="697" w:type="pct"/>
                  <w:tcMar>
                    <w:left w:w="28" w:type="dxa"/>
                    <w:right w:w="28" w:type="dxa"/>
                  </w:tcMar>
                  <w:vAlign w:val="center"/>
                </w:tcPr>
                <w:p>
                  <w:pPr>
                    <w:spacing w:line="320" w:lineRule="exact"/>
                    <w:contextualSpacing/>
                    <w:jc w:val="center"/>
                    <w:rPr>
                      <w:color w:val="auto"/>
                      <w:szCs w:val="21"/>
                    </w:rPr>
                  </w:pPr>
                  <w:r>
                    <w:rPr>
                      <w:rFonts w:hint="eastAsia"/>
                      <w:color w:val="auto"/>
                      <w:szCs w:val="21"/>
                    </w:rPr>
                    <w:t>0</w:t>
                  </w:r>
                </w:p>
              </w:tc>
              <w:tc>
                <w:tcPr>
                  <w:tcW w:w="1593" w:type="pct"/>
                  <w:vMerge w:val="continue"/>
                  <w:tcMar>
                    <w:left w:w="28" w:type="dxa"/>
                    <w:right w:w="28" w:type="dxa"/>
                  </w:tcMar>
                  <w:vAlign w:val="center"/>
                </w:tcPr>
                <w:p>
                  <w:pPr>
                    <w:spacing w:line="320" w:lineRule="exact"/>
                    <w:contextualSpacing/>
                    <w:jc w:val="center"/>
                    <w:rPr>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966" w:type="pct"/>
                </w:tcPr>
                <w:p>
                  <w:pPr>
                    <w:spacing w:line="320" w:lineRule="exact"/>
                    <w:contextualSpacing/>
                    <w:jc w:val="center"/>
                    <w:rPr>
                      <w:rFonts w:hAnsi="宋体"/>
                      <w:color w:val="auto"/>
                      <w:szCs w:val="21"/>
                    </w:rPr>
                  </w:pPr>
                  <w:r>
                    <w:rPr>
                      <w:rFonts w:hint="eastAsia" w:hAnsi="宋体"/>
                      <w:color w:val="auto"/>
                      <w:szCs w:val="21"/>
                    </w:rPr>
                    <w:t>职工办公生活</w:t>
                  </w:r>
                </w:p>
              </w:tc>
              <w:tc>
                <w:tcPr>
                  <w:tcW w:w="872" w:type="pct"/>
                  <w:vAlign w:val="center"/>
                </w:tcPr>
                <w:p>
                  <w:pPr>
                    <w:spacing w:line="320" w:lineRule="exact"/>
                    <w:contextualSpacing/>
                    <w:jc w:val="center"/>
                    <w:rPr>
                      <w:rFonts w:hAnsi="宋体"/>
                      <w:color w:val="auto"/>
                      <w:szCs w:val="21"/>
                    </w:rPr>
                  </w:pPr>
                  <w:r>
                    <w:rPr>
                      <w:rFonts w:hint="eastAsia" w:hAnsi="宋体"/>
                      <w:color w:val="auto"/>
                      <w:szCs w:val="21"/>
                    </w:rPr>
                    <w:t>生活垃圾</w:t>
                  </w:r>
                </w:p>
              </w:tc>
              <w:tc>
                <w:tcPr>
                  <w:tcW w:w="872" w:type="pct"/>
                  <w:tcMar>
                    <w:left w:w="28" w:type="dxa"/>
                    <w:right w:w="28" w:type="dxa"/>
                  </w:tcMar>
                  <w:vAlign w:val="center"/>
                </w:tcPr>
                <w:p>
                  <w:pPr>
                    <w:spacing w:line="320" w:lineRule="exact"/>
                    <w:contextualSpacing/>
                    <w:jc w:val="center"/>
                    <w:rPr>
                      <w:color w:val="auto"/>
                      <w:szCs w:val="21"/>
                    </w:rPr>
                  </w:pPr>
                  <w:r>
                    <w:rPr>
                      <w:rFonts w:hint="eastAsia"/>
                      <w:color w:val="auto"/>
                      <w:szCs w:val="21"/>
                    </w:rPr>
                    <w:t>15</w:t>
                  </w:r>
                </w:p>
              </w:tc>
              <w:tc>
                <w:tcPr>
                  <w:tcW w:w="697" w:type="pct"/>
                  <w:tcMar>
                    <w:left w:w="28" w:type="dxa"/>
                    <w:right w:w="28" w:type="dxa"/>
                  </w:tcMar>
                  <w:vAlign w:val="center"/>
                </w:tcPr>
                <w:p>
                  <w:pPr>
                    <w:spacing w:line="320" w:lineRule="exact"/>
                    <w:contextualSpacing/>
                    <w:jc w:val="center"/>
                    <w:rPr>
                      <w:color w:val="auto"/>
                      <w:szCs w:val="21"/>
                    </w:rPr>
                  </w:pPr>
                  <w:r>
                    <w:rPr>
                      <w:rFonts w:hint="eastAsia"/>
                      <w:color w:val="auto"/>
                      <w:szCs w:val="21"/>
                    </w:rPr>
                    <w:t>0</w:t>
                  </w:r>
                </w:p>
              </w:tc>
              <w:tc>
                <w:tcPr>
                  <w:tcW w:w="1593" w:type="pct"/>
                  <w:tcMar>
                    <w:left w:w="28" w:type="dxa"/>
                    <w:right w:w="28" w:type="dxa"/>
                  </w:tcMar>
                  <w:vAlign w:val="center"/>
                </w:tcPr>
                <w:p>
                  <w:pPr>
                    <w:spacing w:line="320" w:lineRule="exact"/>
                    <w:contextualSpacing/>
                    <w:jc w:val="center"/>
                    <w:rPr>
                      <w:color w:val="auto"/>
                      <w:szCs w:val="21"/>
                    </w:rPr>
                  </w:pPr>
                  <w:r>
                    <w:rPr>
                      <w:color w:val="auto"/>
                      <w:szCs w:val="21"/>
                    </w:rPr>
                    <w:t>分类收集，由当地环卫部门统一清运。</w:t>
                  </w:r>
                </w:p>
              </w:tc>
            </w:tr>
          </w:tbl>
          <w:p>
            <w:pPr>
              <w:spacing w:before="120" w:beforeLines="50" w:line="360" w:lineRule="auto"/>
              <w:ind w:firstLine="482" w:firstLineChars="200"/>
              <w:jc w:val="left"/>
              <w:rPr>
                <w:b/>
                <w:color w:val="auto"/>
                <w:sz w:val="24"/>
                <w:szCs w:val="20"/>
                <w:lang w:val="de-DE"/>
              </w:rPr>
            </w:pPr>
            <w:r>
              <w:rPr>
                <w:rFonts w:hint="eastAsia"/>
                <w:b/>
                <w:color w:val="auto"/>
                <w:sz w:val="24"/>
                <w:szCs w:val="20"/>
                <w:lang w:val="de-DE"/>
              </w:rPr>
              <w:t>3</w:t>
            </w:r>
            <w:r>
              <w:rPr>
                <w:rFonts w:hint="eastAsia"/>
                <w:b/>
                <w:color w:val="auto"/>
                <w:sz w:val="24"/>
                <w:szCs w:val="20"/>
              </w:rPr>
              <w:t>、存在的环境问题</w:t>
            </w:r>
          </w:p>
          <w:p>
            <w:pPr>
              <w:adjustRightInd w:val="0"/>
              <w:snapToGrid w:val="0"/>
              <w:spacing w:line="360" w:lineRule="auto"/>
              <w:ind w:firstLine="480" w:firstLineChars="200"/>
              <w:rPr>
                <w:bCs/>
                <w:color w:val="auto"/>
                <w:sz w:val="24"/>
              </w:rPr>
            </w:pPr>
            <w:r>
              <w:rPr>
                <w:bCs/>
                <w:color w:val="auto"/>
                <w:sz w:val="24"/>
              </w:rPr>
              <w:t>项目为正在建设项目，目前尚未发现环境问题。</w:t>
            </w:r>
          </w:p>
          <w:p>
            <w:pPr>
              <w:adjustRightInd w:val="0"/>
              <w:snapToGrid w:val="0"/>
              <w:spacing w:line="360" w:lineRule="auto"/>
              <w:rPr>
                <w:rFonts w:ascii="宋体" w:hAnsi="宋体"/>
                <w:bCs/>
                <w:color w:val="auto"/>
                <w:sz w:val="24"/>
              </w:rPr>
            </w:pPr>
          </w:p>
          <w:p>
            <w:pPr>
              <w:adjustRightInd w:val="0"/>
              <w:snapToGrid w:val="0"/>
              <w:spacing w:line="360" w:lineRule="auto"/>
              <w:rPr>
                <w:rFonts w:ascii="宋体" w:hAnsi="宋体"/>
                <w:bCs/>
                <w:color w:val="auto"/>
                <w:sz w:val="24"/>
              </w:rPr>
            </w:pPr>
          </w:p>
          <w:p>
            <w:pPr>
              <w:adjustRightInd w:val="0"/>
              <w:snapToGrid w:val="0"/>
              <w:spacing w:line="360" w:lineRule="auto"/>
              <w:rPr>
                <w:rFonts w:ascii="宋体" w:hAnsi="宋体"/>
                <w:bCs/>
                <w:color w:val="auto"/>
                <w:sz w:val="24"/>
              </w:rPr>
            </w:pPr>
          </w:p>
          <w:p>
            <w:pPr>
              <w:adjustRightInd w:val="0"/>
              <w:snapToGrid w:val="0"/>
              <w:spacing w:line="360" w:lineRule="auto"/>
              <w:rPr>
                <w:rFonts w:ascii="宋体" w:hAnsi="宋体"/>
                <w:bCs/>
                <w:color w:val="auto"/>
                <w:sz w:val="24"/>
              </w:rPr>
            </w:pPr>
          </w:p>
          <w:p>
            <w:pPr>
              <w:adjustRightInd w:val="0"/>
              <w:snapToGrid w:val="0"/>
              <w:spacing w:line="360" w:lineRule="auto"/>
              <w:rPr>
                <w:rFonts w:ascii="宋体" w:hAnsi="宋体"/>
                <w:bCs/>
                <w:color w:val="auto"/>
                <w:sz w:val="24"/>
              </w:rPr>
            </w:pPr>
          </w:p>
          <w:p>
            <w:pPr>
              <w:adjustRightInd w:val="0"/>
              <w:snapToGrid w:val="0"/>
              <w:spacing w:line="360" w:lineRule="auto"/>
              <w:rPr>
                <w:rFonts w:ascii="宋体" w:hAnsi="宋体"/>
                <w:bCs/>
                <w:color w:val="auto"/>
                <w:sz w:val="24"/>
              </w:rPr>
            </w:pPr>
          </w:p>
          <w:p>
            <w:pPr>
              <w:adjustRightInd w:val="0"/>
              <w:snapToGrid w:val="0"/>
              <w:spacing w:line="360" w:lineRule="auto"/>
              <w:rPr>
                <w:rFonts w:ascii="宋体" w:hAnsi="宋体"/>
                <w:bCs/>
                <w:color w:val="auto"/>
                <w:sz w:val="24"/>
              </w:rPr>
            </w:pPr>
          </w:p>
          <w:p>
            <w:pPr>
              <w:adjustRightInd w:val="0"/>
              <w:snapToGrid w:val="0"/>
              <w:spacing w:line="360" w:lineRule="auto"/>
              <w:rPr>
                <w:rFonts w:ascii="宋体" w:hAnsi="宋体"/>
                <w:bCs/>
                <w:color w:val="auto"/>
                <w:sz w:val="24"/>
              </w:rPr>
            </w:pPr>
          </w:p>
          <w:p>
            <w:pPr>
              <w:adjustRightInd w:val="0"/>
              <w:snapToGrid w:val="0"/>
              <w:spacing w:line="360" w:lineRule="auto"/>
              <w:rPr>
                <w:rFonts w:ascii="宋体" w:hAnsi="宋体"/>
                <w:bCs/>
                <w:color w:val="auto"/>
                <w:sz w:val="24"/>
              </w:rPr>
            </w:pPr>
          </w:p>
        </w:tc>
      </w:tr>
    </w:tbl>
    <w:p>
      <w:pPr>
        <w:pStyle w:val="15"/>
        <w:ind w:firstLine="720"/>
        <w:jc w:val="center"/>
        <w:rPr>
          <w:rFonts w:ascii="黑体" w:hAnsi="黑体" w:eastAsia="黑体"/>
          <w:snapToGrid w:val="0"/>
          <w:color w:val="auto"/>
          <w:sz w:val="36"/>
          <w:szCs w:val="36"/>
        </w:rPr>
        <w:sectPr>
          <w:pgSz w:w="11906" w:h="16838"/>
          <w:pgMar w:top="1701" w:right="1531" w:bottom="1701" w:left="1531" w:header="851" w:footer="851" w:gutter="0"/>
          <w:cols w:space="720" w:num="1"/>
          <w:docGrid w:linePitch="312" w:charSpace="0"/>
        </w:sectPr>
      </w:pPr>
    </w:p>
    <w:p>
      <w:pPr>
        <w:pStyle w:val="15"/>
        <w:adjustRightInd w:val="0"/>
        <w:snapToGrid w:val="0"/>
        <w:spacing w:before="0" w:beforeAutospacing="0" w:after="0" w:afterAutospacing="0" w:line="14" w:lineRule="auto"/>
        <w:ind w:firstLine="600"/>
        <w:jc w:val="center"/>
        <w:outlineLvl w:val="0"/>
        <w:rPr>
          <w:rFonts w:ascii="黑体" w:hAnsi="黑体" w:eastAsia="黑体"/>
          <w:snapToGrid w:val="0"/>
          <w:color w:val="auto"/>
          <w:sz w:val="30"/>
          <w:szCs w:val="30"/>
        </w:rPr>
      </w:pPr>
    </w:p>
    <w:p>
      <w:pPr>
        <w:pStyle w:val="15"/>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区域</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环境</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质量</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现状</w:t>
            </w:r>
          </w:p>
        </w:tc>
        <w:tc>
          <w:tcPr>
            <w:tcW w:w="8190" w:type="dxa"/>
            <w:vAlign w:val="center"/>
          </w:tcPr>
          <w:p>
            <w:pPr>
              <w:spacing w:line="360" w:lineRule="auto"/>
              <w:ind w:firstLine="482" w:firstLineChars="200"/>
              <w:jc w:val="left"/>
              <w:rPr>
                <w:b/>
                <w:color w:val="auto"/>
                <w:sz w:val="24"/>
              </w:rPr>
            </w:pPr>
            <w:r>
              <w:rPr>
                <w:b/>
                <w:color w:val="auto"/>
                <w:sz w:val="24"/>
              </w:rPr>
              <w:t>1、环境空气</w:t>
            </w:r>
          </w:p>
          <w:p>
            <w:pPr>
              <w:spacing w:line="360" w:lineRule="auto"/>
              <w:ind w:firstLine="480" w:firstLineChars="200"/>
              <w:jc w:val="left"/>
              <w:rPr>
                <w:color w:val="auto"/>
                <w:sz w:val="24"/>
              </w:rPr>
            </w:pPr>
            <w:r>
              <w:rPr>
                <w:rFonts w:hint="eastAsia"/>
                <w:color w:val="auto"/>
                <w:sz w:val="24"/>
              </w:rPr>
              <w:t>（1）基本污染物</w:t>
            </w:r>
          </w:p>
          <w:p>
            <w:pPr>
              <w:spacing w:line="360" w:lineRule="auto"/>
              <w:ind w:firstLine="480" w:firstLineChars="200"/>
              <w:rPr>
                <w:color w:val="auto"/>
                <w:sz w:val="24"/>
                <w:szCs w:val="20"/>
              </w:rPr>
            </w:pPr>
            <w:r>
              <w:rPr>
                <w:color w:val="auto"/>
                <w:sz w:val="24"/>
                <w:szCs w:val="20"/>
              </w:rPr>
              <w:t>项目评价区域内环境空气质量执行《环境空气质量标准》(GB3095-2012)中二级标准。根据</w:t>
            </w:r>
            <w:r>
              <w:rPr>
                <w:rFonts w:hint="eastAsia"/>
                <w:color w:val="auto"/>
                <w:sz w:val="24"/>
                <w:szCs w:val="20"/>
              </w:rPr>
              <w:t>陕西省生态环境厅办公室</w:t>
            </w:r>
            <w:r>
              <w:rPr>
                <w:color w:val="auto"/>
                <w:sz w:val="24"/>
                <w:szCs w:val="20"/>
              </w:rPr>
              <w:t>公布的《</w:t>
            </w:r>
            <w:r>
              <w:rPr>
                <w:rFonts w:hint="eastAsia"/>
                <w:color w:val="auto"/>
                <w:sz w:val="24"/>
                <w:szCs w:val="20"/>
              </w:rPr>
              <w:t>2020年12月及1~12月全省环境空气质量状况</w:t>
            </w:r>
            <w:r>
              <w:rPr>
                <w:color w:val="auto"/>
                <w:sz w:val="24"/>
                <w:szCs w:val="20"/>
              </w:rPr>
              <w:t>》，高新区环境空气常规六项污染物统计结果详见表</w:t>
            </w:r>
            <w:r>
              <w:rPr>
                <w:rFonts w:hint="eastAsia"/>
                <w:color w:val="auto"/>
                <w:sz w:val="24"/>
                <w:szCs w:val="20"/>
              </w:rPr>
              <w:t>3-1</w:t>
            </w:r>
            <w:r>
              <w:rPr>
                <w:color w:val="auto"/>
                <w:sz w:val="24"/>
                <w:szCs w:val="20"/>
              </w:rPr>
              <w:t>。</w:t>
            </w:r>
          </w:p>
          <w:p>
            <w:pPr>
              <w:adjustRightInd w:val="0"/>
              <w:snapToGrid w:val="0"/>
              <w:jc w:val="center"/>
              <w:rPr>
                <w:b/>
                <w:color w:val="auto"/>
                <w:sz w:val="24"/>
                <w:szCs w:val="20"/>
              </w:rPr>
            </w:pPr>
            <w:r>
              <w:rPr>
                <w:b/>
                <w:color w:val="auto"/>
                <w:sz w:val="24"/>
                <w:szCs w:val="20"/>
              </w:rPr>
              <w:t>表</w:t>
            </w:r>
            <w:r>
              <w:rPr>
                <w:rFonts w:hint="eastAsia"/>
                <w:b/>
                <w:color w:val="auto"/>
                <w:sz w:val="24"/>
                <w:szCs w:val="20"/>
              </w:rPr>
              <w:t>3-1</w:t>
            </w:r>
            <w:r>
              <w:rPr>
                <w:b/>
                <w:color w:val="auto"/>
                <w:sz w:val="24"/>
                <w:szCs w:val="20"/>
              </w:rPr>
              <w:t xml:space="preserve">   区域常规大气污染物浓度均值</w:t>
            </w:r>
          </w:p>
          <w:tbl>
            <w:tblPr>
              <w:tblStyle w:val="18"/>
              <w:tblW w:w="492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933"/>
              <w:gridCol w:w="2977"/>
              <w:gridCol w:w="1134"/>
              <w:gridCol w:w="992"/>
              <w:gridCol w:w="870"/>
              <w:gridCol w:w="9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pct"/>
                  <w:tcBorders>
                    <w:top w:val="single" w:color="auto" w:sz="12" w:space="0"/>
                    <w:left w:val="single" w:color="auto" w:sz="12"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color w:val="auto"/>
                      <w:szCs w:val="21"/>
                    </w:rPr>
                    <w:t>污染物</w:t>
                  </w:r>
                </w:p>
              </w:tc>
              <w:tc>
                <w:tcPr>
                  <w:tcW w:w="1903" w:type="pct"/>
                  <w:tcBorders>
                    <w:top w:val="single" w:color="auto" w:sz="12" w:space="0"/>
                    <w:righ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评价指标</w:t>
                  </w:r>
                </w:p>
              </w:tc>
              <w:tc>
                <w:tcPr>
                  <w:tcW w:w="725" w:type="pct"/>
                  <w:tcBorders>
                    <w:top w:val="single" w:color="auto" w:sz="12" w:space="0"/>
                    <w:lef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区域浓度（</w:t>
                  </w:r>
                  <w:r>
                    <w:rPr>
                      <w:color w:val="auto"/>
                      <w:szCs w:val="21"/>
                    </w:rPr>
                    <w:t>μg/m</w:t>
                  </w:r>
                  <w:r>
                    <w:rPr>
                      <w:color w:val="auto"/>
                      <w:szCs w:val="21"/>
                      <w:vertAlign w:val="superscript"/>
                    </w:rPr>
                    <w:t>3</w:t>
                  </w:r>
                  <w:r>
                    <w:rPr>
                      <w:rFonts w:hint="eastAsia"/>
                      <w:color w:val="auto"/>
                      <w:szCs w:val="21"/>
                    </w:rPr>
                    <w:t>）</w:t>
                  </w:r>
                </w:p>
              </w:tc>
              <w:tc>
                <w:tcPr>
                  <w:tcW w:w="634" w:type="pct"/>
                  <w:tcBorders>
                    <w:top w:val="single" w:color="auto" w:sz="12"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标准值</w:t>
                  </w:r>
                  <w:r>
                    <w:rPr>
                      <w:color w:val="auto"/>
                      <w:szCs w:val="21"/>
                    </w:rPr>
                    <w:t>（μg/m</w:t>
                  </w:r>
                  <w:r>
                    <w:rPr>
                      <w:color w:val="auto"/>
                      <w:szCs w:val="21"/>
                      <w:vertAlign w:val="superscript"/>
                    </w:rPr>
                    <w:t>3</w:t>
                  </w:r>
                  <w:r>
                    <w:rPr>
                      <w:color w:val="auto"/>
                      <w:szCs w:val="21"/>
                    </w:rPr>
                    <w:t>）</w:t>
                  </w:r>
                </w:p>
              </w:tc>
              <w:tc>
                <w:tcPr>
                  <w:tcW w:w="556" w:type="pct"/>
                  <w:tcBorders>
                    <w:top w:val="single" w:color="auto" w:sz="12"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占标率</w:t>
                  </w:r>
                  <w:r>
                    <w:rPr>
                      <w:color w:val="auto"/>
                      <w:szCs w:val="21"/>
                    </w:rPr>
                    <w:t>（</w:t>
                  </w:r>
                  <w:r>
                    <w:rPr>
                      <w:rFonts w:hint="eastAsia"/>
                      <w:color w:val="auto"/>
                      <w:szCs w:val="21"/>
                    </w:rPr>
                    <w:t>%</w:t>
                  </w:r>
                  <w:r>
                    <w:rPr>
                      <w:color w:val="auto"/>
                      <w:szCs w:val="21"/>
                    </w:rPr>
                    <w:t>）</w:t>
                  </w:r>
                </w:p>
              </w:tc>
              <w:tc>
                <w:tcPr>
                  <w:tcW w:w="586" w:type="pct"/>
                  <w:tcBorders>
                    <w:top w:val="single" w:color="auto" w:sz="12" w:space="0"/>
                    <w:right w:val="single" w:color="auto" w:sz="12"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pct"/>
                  <w:tcBorders>
                    <w:left w:val="single" w:color="auto" w:sz="12" w:space="0"/>
                    <w:bottom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color w:val="auto"/>
                      <w:szCs w:val="21"/>
                    </w:rPr>
                    <w:t>PM</w:t>
                  </w:r>
                  <w:r>
                    <w:rPr>
                      <w:color w:val="auto"/>
                      <w:szCs w:val="21"/>
                      <w:vertAlign w:val="subscript"/>
                    </w:rPr>
                    <w:t>10</w:t>
                  </w:r>
                </w:p>
              </w:tc>
              <w:tc>
                <w:tcPr>
                  <w:tcW w:w="1903" w:type="pct"/>
                  <w:tcBorders>
                    <w:righ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年平均质量浓度</w:t>
                  </w:r>
                </w:p>
              </w:tc>
              <w:tc>
                <w:tcPr>
                  <w:tcW w:w="725" w:type="pct"/>
                  <w:tcBorders>
                    <w:righ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100</w:t>
                  </w:r>
                </w:p>
              </w:tc>
              <w:tc>
                <w:tcPr>
                  <w:tcW w:w="634" w:type="pct"/>
                  <w:tcBorders>
                    <w:left w:val="single" w:color="auto" w:sz="6" w:space="0"/>
                    <w:righ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70</w:t>
                  </w:r>
                </w:p>
              </w:tc>
              <w:tc>
                <w:tcPr>
                  <w:tcW w:w="556" w:type="pct"/>
                  <w:tcBorders>
                    <w:left w:val="single" w:color="auto" w:sz="6" w:space="0"/>
                    <w:righ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143</w:t>
                  </w:r>
                </w:p>
              </w:tc>
              <w:tc>
                <w:tcPr>
                  <w:tcW w:w="586" w:type="pct"/>
                  <w:tcBorders>
                    <w:left w:val="single" w:color="auto" w:sz="6" w:space="0"/>
                    <w:right w:val="single" w:color="auto" w:sz="12"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color w:val="auto"/>
                      <w:szCs w:val="21"/>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pct"/>
                  <w:tcBorders>
                    <w:top w:val="single" w:color="auto" w:sz="6" w:space="0"/>
                    <w:left w:val="single" w:color="auto" w:sz="12"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vertAlign w:val="subscript"/>
                    </w:rPr>
                  </w:pPr>
                  <w:r>
                    <w:rPr>
                      <w:color w:val="auto"/>
                      <w:szCs w:val="21"/>
                    </w:rPr>
                    <w:t>PM</w:t>
                  </w:r>
                  <w:r>
                    <w:rPr>
                      <w:color w:val="auto"/>
                      <w:szCs w:val="21"/>
                      <w:vertAlign w:val="subscript"/>
                    </w:rPr>
                    <w:t>2</w:t>
                  </w:r>
                  <w:r>
                    <w:rPr>
                      <w:rFonts w:hint="eastAsia"/>
                      <w:color w:val="auto"/>
                      <w:szCs w:val="21"/>
                      <w:vertAlign w:val="subscript"/>
                    </w:rPr>
                    <w:t>.</w:t>
                  </w:r>
                  <w:r>
                    <w:rPr>
                      <w:color w:val="auto"/>
                      <w:szCs w:val="21"/>
                      <w:vertAlign w:val="subscript"/>
                    </w:rPr>
                    <w:t>5</w:t>
                  </w:r>
                </w:p>
              </w:tc>
              <w:tc>
                <w:tcPr>
                  <w:tcW w:w="1903" w:type="pct"/>
                  <w:tcBorders>
                    <w:lef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年平均质量浓度</w:t>
                  </w:r>
                </w:p>
              </w:tc>
              <w:tc>
                <w:tcPr>
                  <w:tcW w:w="725" w:type="pct"/>
                  <w:tcBorders>
                    <w:lef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57</w:t>
                  </w:r>
                </w:p>
              </w:tc>
              <w:tc>
                <w:tcPr>
                  <w:tcW w:w="634" w:type="pct"/>
                  <w:tcBorders>
                    <w:lef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35</w:t>
                  </w:r>
                </w:p>
              </w:tc>
              <w:tc>
                <w:tcPr>
                  <w:tcW w:w="556" w:type="pct"/>
                  <w:tcBorders>
                    <w:lef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163</w:t>
                  </w:r>
                </w:p>
              </w:tc>
              <w:tc>
                <w:tcPr>
                  <w:tcW w:w="586" w:type="pct"/>
                  <w:tcBorders>
                    <w:left w:val="single" w:color="auto" w:sz="6" w:space="0"/>
                    <w:right w:val="single" w:color="auto" w:sz="12"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color w:val="auto"/>
                      <w:szCs w:val="21"/>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pct"/>
                  <w:tcBorders>
                    <w:left w:val="single" w:color="auto" w:sz="12" w:space="0"/>
                    <w:bottom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vertAlign w:val="subscript"/>
                    </w:rPr>
                  </w:pPr>
                  <w:r>
                    <w:rPr>
                      <w:color w:val="auto"/>
                      <w:szCs w:val="21"/>
                    </w:rPr>
                    <w:t>SO</w:t>
                  </w:r>
                  <w:r>
                    <w:rPr>
                      <w:color w:val="auto"/>
                      <w:szCs w:val="21"/>
                      <w:vertAlign w:val="subscript"/>
                    </w:rPr>
                    <w:t>2</w:t>
                  </w:r>
                </w:p>
              </w:tc>
              <w:tc>
                <w:tcPr>
                  <w:tcW w:w="1903" w:type="pct"/>
                  <w:tcBorders>
                    <w:bottom w:val="single" w:color="auto" w:sz="6" w:space="0"/>
                    <w:righ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年平均质量浓度</w:t>
                  </w:r>
                </w:p>
              </w:tc>
              <w:tc>
                <w:tcPr>
                  <w:tcW w:w="725" w:type="pct"/>
                  <w:tcBorders>
                    <w:left w:val="single" w:color="auto" w:sz="6" w:space="0"/>
                    <w:bottom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9</w:t>
                  </w:r>
                </w:p>
              </w:tc>
              <w:tc>
                <w:tcPr>
                  <w:tcW w:w="634" w:type="pct"/>
                  <w:tcBorders>
                    <w:bottom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60</w:t>
                  </w:r>
                </w:p>
              </w:tc>
              <w:tc>
                <w:tcPr>
                  <w:tcW w:w="556" w:type="pct"/>
                  <w:tcBorders>
                    <w:bottom w:val="single" w:color="auto" w:sz="6" w:space="0"/>
                    <w:righ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15</w:t>
                  </w:r>
                </w:p>
              </w:tc>
              <w:tc>
                <w:tcPr>
                  <w:tcW w:w="586" w:type="pct"/>
                  <w:tcBorders>
                    <w:left w:val="single" w:color="auto" w:sz="6" w:space="0"/>
                    <w:bottom w:val="single" w:color="auto" w:sz="6" w:space="0"/>
                    <w:right w:val="single" w:color="auto" w:sz="12"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color w:val="auto"/>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pct"/>
                  <w:tcBorders>
                    <w:top w:val="single" w:color="auto" w:sz="6" w:space="0"/>
                    <w:left w:val="single" w:color="auto" w:sz="12" w:space="0"/>
                    <w:bottom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color w:val="auto"/>
                      <w:szCs w:val="21"/>
                    </w:rPr>
                    <w:t>NO</w:t>
                  </w:r>
                  <w:r>
                    <w:rPr>
                      <w:color w:val="auto"/>
                      <w:szCs w:val="21"/>
                      <w:vertAlign w:val="subscript"/>
                    </w:rPr>
                    <w:t>2</w:t>
                  </w:r>
                </w:p>
              </w:tc>
              <w:tc>
                <w:tcPr>
                  <w:tcW w:w="1903" w:type="pct"/>
                  <w:tcBorders>
                    <w:top w:val="single" w:color="auto" w:sz="6" w:space="0"/>
                    <w:bottom w:val="single" w:color="auto" w:sz="6" w:space="0"/>
                    <w:righ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年平均质量浓度</w:t>
                  </w:r>
                </w:p>
              </w:tc>
              <w:tc>
                <w:tcPr>
                  <w:tcW w:w="725" w:type="pct"/>
                  <w:tcBorders>
                    <w:top w:val="single" w:color="auto" w:sz="6" w:space="0"/>
                    <w:left w:val="single" w:color="auto" w:sz="6" w:space="0"/>
                    <w:bottom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37</w:t>
                  </w:r>
                </w:p>
              </w:tc>
              <w:tc>
                <w:tcPr>
                  <w:tcW w:w="634" w:type="pct"/>
                  <w:tcBorders>
                    <w:top w:val="single" w:color="auto" w:sz="6" w:space="0"/>
                    <w:bottom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40</w:t>
                  </w:r>
                </w:p>
              </w:tc>
              <w:tc>
                <w:tcPr>
                  <w:tcW w:w="556" w:type="pct"/>
                  <w:tcBorders>
                    <w:top w:val="single" w:color="auto" w:sz="6" w:space="0"/>
                    <w:bottom w:val="single" w:color="auto" w:sz="6" w:space="0"/>
                    <w:righ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93</w:t>
                  </w:r>
                </w:p>
              </w:tc>
              <w:tc>
                <w:tcPr>
                  <w:tcW w:w="586" w:type="pct"/>
                  <w:tcBorders>
                    <w:top w:val="single" w:color="auto" w:sz="6" w:space="0"/>
                    <w:left w:val="single" w:color="auto" w:sz="6" w:space="0"/>
                    <w:bottom w:val="single" w:color="auto" w:sz="6" w:space="0"/>
                    <w:right w:val="single" w:color="auto" w:sz="12"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color w:val="auto"/>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pct"/>
                  <w:tcBorders>
                    <w:top w:val="single" w:color="auto" w:sz="6" w:space="0"/>
                    <w:left w:val="single" w:color="auto" w:sz="12" w:space="0"/>
                    <w:bottom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color w:val="auto"/>
                      <w:szCs w:val="21"/>
                    </w:rPr>
                    <w:t>CO</w:t>
                  </w:r>
                </w:p>
              </w:tc>
              <w:tc>
                <w:tcPr>
                  <w:tcW w:w="1903" w:type="pct"/>
                  <w:tcBorders>
                    <w:top w:val="single" w:color="auto" w:sz="6" w:space="0"/>
                    <w:bottom w:val="single" w:color="auto" w:sz="6" w:space="0"/>
                    <w:righ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第95百分位24小时平均浓度</w:t>
                  </w:r>
                </w:p>
              </w:tc>
              <w:tc>
                <w:tcPr>
                  <w:tcW w:w="725" w:type="pct"/>
                  <w:tcBorders>
                    <w:top w:val="single" w:color="auto" w:sz="6" w:space="0"/>
                    <w:left w:val="single" w:color="auto" w:sz="6" w:space="0"/>
                    <w:bottom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1600</w:t>
                  </w:r>
                </w:p>
              </w:tc>
              <w:tc>
                <w:tcPr>
                  <w:tcW w:w="634" w:type="pct"/>
                  <w:tcBorders>
                    <w:top w:val="single" w:color="auto" w:sz="6" w:space="0"/>
                    <w:bottom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4000</w:t>
                  </w:r>
                </w:p>
              </w:tc>
              <w:tc>
                <w:tcPr>
                  <w:tcW w:w="556" w:type="pct"/>
                  <w:tcBorders>
                    <w:top w:val="single" w:color="auto" w:sz="6" w:space="0"/>
                    <w:bottom w:val="single" w:color="auto" w:sz="6" w:space="0"/>
                    <w:righ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40</w:t>
                  </w:r>
                </w:p>
              </w:tc>
              <w:tc>
                <w:tcPr>
                  <w:tcW w:w="586" w:type="pct"/>
                  <w:tcBorders>
                    <w:top w:val="single" w:color="auto" w:sz="6" w:space="0"/>
                    <w:left w:val="single" w:color="auto" w:sz="6" w:space="0"/>
                    <w:bottom w:val="single" w:color="auto" w:sz="6" w:space="0"/>
                    <w:right w:val="single" w:color="auto" w:sz="12"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color w:val="auto"/>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96" w:type="pct"/>
                  <w:tcBorders>
                    <w:top w:val="single" w:color="auto" w:sz="6" w:space="0"/>
                    <w:left w:val="single" w:color="auto" w:sz="12" w:space="0"/>
                    <w:bottom w:val="single" w:color="auto" w:sz="12"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vertAlign w:val="subscript"/>
                    </w:rPr>
                  </w:pPr>
                  <w:r>
                    <w:rPr>
                      <w:color w:val="auto"/>
                      <w:szCs w:val="21"/>
                    </w:rPr>
                    <w:t>O</w:t>
                  </w:r>
                  <w:r>
                    <w:rPr>
                      <w:color w:val="auto"/>
                      <w:szCs w:val="21"/>
                      <w:vertAlign w:val="subscript"/>
                    </w:rPr>
                    <w:t>3</w:t>
                  </w:r>
                </w:p>
              </w:tc>
              <w:tc>
                <w:tcPr>
                  <w:tcW w:w="1903" w:type="pct"/>
                  <w:tcBorders>
                    <w:top w:val="single" w:color="auto" w:sz="6" w:space="0"/>
                    <w:bottom w:val="single" w:color="auto" w:sz="12" w:space="0"/>
                    <w:righ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第90百分位8小时平均浓度</w:t>
                  </w:r>
                </w:p>
              </w:tc>
              <w:tc>
                <w:tcPr>
                  <w:tcW w:w="725" w:type="pct"/>
                  <w:tcBorders>
                    <w:top w:val="single" w:color="auto" w:sz="6" w:space="0"/>
                    <w:left w:val="single" w:color="auto" w:sz="6" w:space="0"/>
                    <w:bottom w:val="single" w:color="auto" w:sz="12"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153</w:t>
                  </w:r>
                </w:p>
              </w:tc>
              <w:tc>
                <w:tcPr>
                  <w:tcW w:w="634" w:type="pct"/>
                  <w:tcBorders>
                    <w:top w:val="single" w:color="auto" w:sz="6" w:space="0"/>
                    <w:bottom w:val="single" w:color="auto" w:sz="12"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160</w:t>
                  </w:r>
                </w:p>
              </w:tc>
              <w:tc>
                <w:tcPr>
                  <w:tcW w:w="556" w:type="pct"/>
                  <w:tcBorders>
                    <w:top w:val="single" w:color="auto" w:sz="6" w:space="0"/>
                    <w:bottom w:val="single" w:color="auto" w:sz="12" w:space="0"/>
                    <w:right w:val="single" w:color="auto" w:sz="6"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rFonts w:hint="eastAsia"/>
                      <w:color w:val="auto"/>
                      <w:szCs w:val="21"/>
                    </w:rPr>
                    <w:t>96</w:t>
                  </w:r>
                </w:p>
              </w:tc>
              <w:tc>
                <w:tcPr>
                  <w:tcW w:w="586" w:type="pct"/>
                  <w:tcBorders>
                    <w:top w:val="single" w:color="auto" w:sz="6" w:space="0"/>
                    <w:left w:val="single" w:color="auto" w:sz="6" w:space="0"/>
                    <w:bottom w:val="single" w:color="auto" w:sz="12" w:space="0"/>
                    <w:right w:val="single" w:color="auto" w:sz="12" w:space="0"/>
                    <w:tl2br w:val="nil"/>
                    <w:tr2bl w:val="nil"/>
                  </w:tcBorders>
                  <w:tcMar>
                    <w:left w:w="17" w:type="dxa"/>
                    <w:right w:w="17" w:type="dxa"/>
                  </w:tcMar>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auto"/>
                      <w:szCs w:val="21"/>
                    </w:rPr>
                  </w:pPr>
                  <w:r>
                    <w:rPr>
                      <w:color w:val="auto"/>
                      <w:szCs w:val="21"/>
                    </w:rPr>
                    <w:t>达标</w:t>
                  </w:r>
                </w:p>
              </w:tc>
            </w:tr>
          </w:tbl>
          <w:p>
            <w:pPr>
              <w:spacing w:before="120" w:beforeLines="50" w:line="360" w:lineRule="auto"/>
              <w:ind w:firstLine="480" w:firstLineChars="200"/>
              <w:rPr>
                <w:color w:val="auto"/>
                <w:sz w:val="24"/>
                <w:szCs w:val="20"/>
              </w:rPr>
            </w:pPr>
            <w:r>
              <w:rPr>
                <w:color w:val="auto"/>
                <w:sz w:val="24"/>
                <w:szCs w:val="20"/>
              </w:rPr>
              <w:t>综上所述，区域20</w:t>
            </w:r>
            <w:r>
              <w:rPr>
                <w:rFonts w:hint="eastAsia"/>
                <w:color w:val="auto"/>
                <w:sz w:val="24"/>
                <w:szCs w:val="20"/>
              </w:rPr>
              <w:t>20</w:t>
            </w:r>
            <w:r>
              <w:rPr>
                <w:color w:val="auto"/>
                <w:sz w:val="24"/>
                <w:szCs w:val="20"/>
              </w:rPr>
              <w:t>年</w:t>
            </w:r>
            <w:r>
              <w:rPr>
                <w:rFonts w:hint="eastAsia"/>
                <w:color w:val="auto"/>
                <w:sz w:val="24"/>
                <w:szCs w:val="20"/>
              </w:rPr>
              <w:t>大气中的PM</w:t>
            </w:r>
            <w:r>
              <w:rPr>
                <w:rFonts w:hint="eastAsia"/>
                <w:color w:val="auto"/>
                <w:sz w:val="24"/>
                <w:szCs w:val="20"/>
                <w:vertAlign w:val="subscript"/>
              </w:rPr>
              <w:t>2.5</w:t>
            </w:r>
            <w:r>
              <w:rPr>
                <w:rFonts w:hint="eastAsia"/>
                <w:color w:val="auto"/>
                <w:sz w:val="24"/>
                <w:szCs w:val="20"/>
              </w:rPr>
              <w:t>、PM</w:t>
            </w:r>
            <w:r>
              <w:rPr>
                <w:rFonts w:hint="eastAsia"/>
                <w:color w:val="auto"/>
                <w:sz w:val="24"/>
                <w:szCs w:val="20"/>
                <w:vertAlign w:val="subscript"/>
              </w:rPr>
              <w:t>10</w:t>
            </w:r>
            <w:r>
              <w:rPr>
                <w:color w:val="auto"/>
                <w:sz w:val="24"/>
                <w:szCs w:val="20"/>
              </w:rPr>
              <w:t>年均浓度值超出《环境空气质量标准》(GB3095-2012)中二级标准</w:t>
            </w:r>
            <w:r>
              <w:rPr>
                <w:rFonts w:hint="eastAsia"/>
                <w:color w:val="auto"/>
                <w:sz w:val="24"/>
                <w:szCs w:val="20"/>
              </w:rPr>
              <w:t>限值要求</w:t>
            </w:r>
            <w:r>
              <w:rPr>
                <w:color w:val="auto"/>
                <w:sz w:val="24"/>
                <w:szCs w:val="20"/>
              </w:rPr>
              <w:t>，表明项目区域属于</w:t>
            </w:r>
            <w:r>
              <w:rPr>
                <w:rFonts w:hint="eastAsia"/>
                <w:color w:val="auto"/>
                <w:sz w:val="24"/>
                <w:szCs w:val="20"/>
              </w:rPr>
              <w:t>空气质量</w:t>
            </w:r>
            <w:r>
              <w:rPr>
                <w:color w:val="auto"/>
                <w:sz w:val="24"/>
                <w:szCs w:val="20"/>
              </w:rPr>
              <w:t>不达标区。</w:t>
            </w:r>
          </w:p>
          <w:p>
            <w:pPr>
              <w:spacing w:before="120" w:beforeLines="50" w:line="360" w:lineRule="auto"/>
              <w:ind w:firstLine="480" w:firstLineChars="200"/>
              <w:rPr>
                <w:color w:val="auto"/>
                <w:sz w:val="24"/>
                <w:szCs w:val="20"/>
              </w:rPr>
            </w:pPr>
            <w:r>
              <w:rPr>
                <w:rFonts w:hint="eastAsia"/>
                <w:color w:val="auto"/>
                <w:sz w:val="24"/>
                <w:szCs w:val="20"/>
              </w:rPr>
              <w:t>（2）特征污染物</w:t>
            </w:r>
          </w:p>
          <w:p>
            <w:pPr>
              <w:pStyle w:val="55"/>
              <w:ind w:firstLine="480"/>
              <w:rPr>
                <w:rFonts w:hAnsi="Times New Roman" w:cs="Times New Roman"/>
                <w:color w:val="auto"/>
              </w:rPr>
            </w:pPr>
            <w:r>
              <w:rPr>
                <w:rFonts w:hAnsi="Times New Roman" w:cs="Times New Roman"/>
                <w:color w:val="auto"/>
              </w:rPr>
              <w:t>项目环境质量现状中TSP的监测数据引用《陕西润源模架新材料有限公司陕西润源年产</w:t>
            </w:r>
            <w:r>
              <w:rPr>
                <w:rFonts w:hint="eastAsia" w:hAnsi="Times New Roman" w:cs="Times New Roman"/>
                <w:color w:val="auto"/>
              </w:rPr>
              <w:t>30万平方米铝合金模板项目环境质量现状监测</w:t>
            </w:r>
            <w:r>
              <w:rPr>
                <w:rFonts w:hAnsi="Times New Roman" w:cs="Times New Roman"/>
                <w:color w:val="auto"/>
              </w:rPr>
              <w:t>》（安讯检测（现）第202</w:t>
            </w:r>
            <w:r>
              <w:rPr>
                <w:rFonts w:hint="eastAsia" w:hAnsi="Times New Roman" w:cs="Times New Roman"/>
                <w:color w:val="auto"/>
              </w:rPr>
              <w:t>011001</w:t>
            </w:r>
            <w:r>
              <w:rPr>
                <w:rFonts w:hAnsi="Times New Roman" w:cs="Times New Roman"/>
                <w:color w:val="auto"/>
              </w:rPr>
              <w:t>号），详见附件</w:t>
            </w:r>
            <w:r>
              <w:rPr>
                <w:rFonts w:hint="eastAsia" w:hAnsi="Times New Roman" w:cs="Times New Roman"/>
                <w:color w:val="auto"/>
              </w:rPr>
              <w:t>5</w:t>
            </w:r>
            <w:r>
              <w:rPr>
                <w:rFonts w:hAnsi="Times New Roman" w:cs="Times New Roman"/>
                <w:color w:val="auto"/>
              </w:rPr>
              <w:t>，监测时间为20</w:t>
            </w:r>
            <w:r>
              <w:rPr>
                <w:rFonts w:hint="eastAsia" w:hAnsi="Times New Roman" w:cs="Times New Roman"/>
                <w:color w:val="auto"/>
              </w:rPr>
              <w:t>20</w:t>
            </w:r>
            <w:r>
              <w:rPr>
                <w:rFonts w:hAnsi="Times New Roman" w:cs="Times New Roman"/>
                <w:color w:val="auto"/>
              </w:rPr>
              <w:t>年</w:t>
            </w:r>
            <w:r>
              <w:rPr>
                <w:rFonts w:hint="eastAsia" w:hAnsi="Times New Roman" w:cs="Times New Roman"/>
                <w:color w:val="auto"/>
              </w:rPr>
              <w:t>11</w:t>
            </w:r>
            <w:r>
              <w:rPr>
                <w:rFonts w:hAnsi="Times New Roman" w:cs="Times New Roman"/>
                <w:color w:val="auto"/>
              </w:rPr>
              <w:t>月</w:t>
            </w:r>
            <w:r>
              <w:rPr>
                <w:rFonts w:hint="eastAsia" w:hAnsi="Times New Roman" w:cs="Times New Roman"/>
                <w:color w:val="auto"/>
              </w:rPr>
              <w:t>5</w:t>
            </w:r>
            <w:r>
              <w:rPr>
                <w:rFonts w:hAnsi="Times New Roman" w:cs="Times New Roman"/>
                <w:color w:val="auto"/>
              </w:rPr>
              <w:t>日~20</w:t>
            </w:r>
            <w:r>
              <w:rPr>
                <w:rFonts w:hint="eastAsia" w:hAnsi="Times New Roman" w:cs="Times New Roman"/>
                <w:color w:val="auto"/>
              </w:rPr>
              <w:t>20</w:t>
            </w:r>
            <w:r>
              <w:rPr>
                <w:rFonts w:hAnsi="Times New Roman" w:cs="Times New Roman"/>
                <w:color w:val="auto"/>
              </w:rPr>
              <w:t>年</w:t>
            </w:r>
            <w:r>
              <w:rPr>
                <w:rFonts w:hint="eastAsia" w:hAnsi="Times New Roman" w:cs="Times New Roman"/>
                <w:color w:val="auto"/>
              </w:rPr>
              <w:t>11</w:t>
            </w:r>
            <w:r>
              <w:rPr>
                <w:rFonts w:hAnsi="Times New Roman" w:cs="Times New Roman"/>
                <w:color w:val="auto"/>
              </w:rPr>
              <w:t>月</w:t>
            </w:r>
            <w:r>
              <w:rPr>
                <w:rFonts w:hint="eastAsia" w:hAnsi="Times New Roman" w:cs="Times New Roman"/>
                <w:color w:val="auto"/>
              </w:rPr>
              <w:t>11</w:t>
            </w:r>
            <w:r>
              <w:rPr>
                <w:rFonts w:hAnsi="Times New Roman" w:cs="Times New Roman"/>
                <w:color w:val="auto"/>
              </w:rPr>
              <w:t>日。监测点位详见附图</w:t>
            </w:r>
            <w:r>
              <w:rPr>
                <w:rFonts w:hint="eastAsia" w:hAnsi="Times New Roman" w:cs="Times New Roman"/>
                <w:color w:val="auto"/>
              </w:rPr>
              <w:t>7</w:t>
            </w:r>
            <w:r>
              <w:rPr>
                <w:rFonts w:hAnsi="Times New Roman" w:cs="Times New Roman"/>
                <w:color w:val="auto"/>
              </w:rPr>
              <w:t>。由于引用监测数据的监测时间距今为近</w:t>
            </w:r>
            <w:r>
              <w:rPr>
                <w:rFonts w:hint="eastAsia" w:hAnsi="Times New Roman" w:cs="Times New Roman"/>
                <w:color w:val="auto"/>
              </w:rPr>
              <w:t>1年（＜3年），监测点距项目厂界为1865m（＜5000m），根据《建设项目环境影响报告表编制技术指南》要求可以引用。</w:t>
            </w:r>
          </w:p>
          <w:p>
            <w:pPr>
              <w:pStyle w:val="55"/>
              <w:ind w:firstLine="480"/>
              <w:rPr>
                <w:rFonts w:hAnsi="Times New Roman" w:cs="Times New Roman"/>
                <w:color w:val="auto"/>
              </w:rPr>
            </w:pPr>
            <w:r>
              <w:rPr>
                <w:rFonts w:hAnsi="Times New Roman" w:cs="Times New Roman"/>
                <w:color w:val="auto"/>
              </w:rPr>
              <w:t>监测因子：TSP；</w:t>
            </w:r>
          </w:p>
          <w:p>
            <w:pPr>
              <w:pStyle w:val="55"/>
              <w:ind w:firstLine="480"/>
              <w:rPr>
                <w:rFonts w:hAnsi="Times New Roman" w:cs="Times New Roman"/>
                <w:color w:val="auto"/>
              </w:rPr>
            </w:pPr>
            <w:r>
              <w:rPr>
                <w:rFonts w:hAnsi="Times New Roman" w:cs="Times New Roman"/>
                <w:color w:val="auto"/>
              </w:rPr>
              <w:t>监测点位：厂界西北侧</w:t>
            </w:r>
            <w:r>
              <w:rPr>
                <w:rFonts w:hint="eastAsia" w:hAnsi="Times New Roman" w:cs="Times New Roman"/>
                <w:color w:val="auto"/>
              </w:rPr>
              <w:t>1865</w:t>
            </w:r>
            <w:r>
              <w:rPr>
                <w:rFonts w:hAnsi="Times New Roman" w:cs="Times New Roman"/>
                <w:color w:val="auto"/>
              </w:rPr>
              <w:t>m处，共计1个监测点；</w:t>
            </w:r>
          </w:p>
          <w:p>
            <w:pPr>
              <w:pStyle w:val="55"/>
              <w:ind w:firstLine="480"/>
              <w:rPr>
                <w:rFonts w:hAnsi="Times New Roman" w:cs="Times New Roman"/>
                <w:color w:val="auto"/>
              </w:rPr>
            </w:pPr>
            <w:r>
              <w:rPr>
                <w:rFonts w:hAnsi="Times New Roman" w:cs="Times New Roman"/>
                <w:color w:val="auto"/>
              </w:rPr>
              <w:t>监测频次：连续监测7天，监测日均浓度值。</w:t>
            </w:r>
          </w:p>
          <w:p>
            <w:pPr>
              <w:autoSpaceDE w:val="0"/>
              <w:autoSpaceDN w:val="0"/>
              <w:adjustRightInd w:val="0"/>
              <w:spacing w:before="48" w:beforeLines="20"/>
              <w:ind w:firstLine="482" w:firstLineChars="200"/>
              <w:jc w:val="center"/>
              <w:rPr>
                <w:b/>
                <w:snapToGrid w:val="0"/>
                <w:color w:val="auto"/>
                <w:sz w:val="24"/>
                <w:lang w:val="zh-CN"/>
              </w:rPr>
            </w:pPr>
            <w:r>
              <w:rPr>
                <w:b/>
                <w:snapToGrid w:val="0"/>
                <w:color w:val="auto"/>
                <w:sz w:val="24"/>
                <w:lang w:val="zh-CN"/>
              </w:rPr>
              <w:t>表3-</w:t>
            </w:r>
            <w:r>
              <w:rPr>
                <w:rFonts w:hint="eastAsia"/>
                <w:b/>
                <w:snapToGrid w:val="0"/>
                <w:color w:val="auto"/>
                <w:sz w:val="24"/>
                <w:lang w:val="zh-CN"/>
              </w:rPr>
              <w:t>2</w:t>
            </w:r>
            <w:r>
              <w:rPr>
                <w:b/>
                <w:snapToGrid w:val="0"/>
                <w:color w:val="auto"/>
                <w:sz w:val="24"/>
                <w:lang w:val="zh-CN"/>
              </w:rPr>
              <w:t xml:space="preserve">  </w:t>
            </w:r>
            <w:r>
              <w:rPr>
                <w:rFonts w:hint="eastAsia"/>
                <w:b/>
                <w:snapToGrid w:val="0"/>
                <w:color w:val="auto"/>
                <w:sz w:val="24"/>
                <w:lang w:val="en-US" w:eastAsia="zh-CN"/>
              </w:rPr>
              <w:t xml:space="preserve"> </w:t>
            </w:r>
            <w:r>
              <w:rPr>
                <w:b/>
                <w:snapToGrid w:val="0"/>
                <w:color w:val="auto"/>
                <w:sz w:val="24"/>
                <w:lang w:val="zh-CN"/>
              </w:rPr>
              <w:t>TSP监测结果统计表             单位：mg/m</w:t>
            </w:r>
            <w:r>
              <w:rPr>
                <w:b/>
                <w:snapToGrid w:val="0"/>
                <w:color w:val="auto"/>
                <w:sz w:val="24"/>
                <w:vertAlign w:val="superscript"/>
                <w:lang w:val="zh-CN"/>
              </w:rPr>
              <w:t>3</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924"/>
              <w:gridCol w:w="1934"/>
              <w:gridCol w:w="20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70" w:type="pct"/>
                  <w:vAlign w:val="center"/>
                </w:tcPr>
                <w:p>
                  <w:pPr>
                    <w:spacing w:line="280" w:lineRule="exact"/>
                    <w:jc w:val="center"/>
                    <w:rPr>
                      <w:color w:val="auto"/>
                      <w:szCs w:val="21"/>
                    </w:rPr>
                  </w:pPr>
                  <w:r>
                    <w:rPr>
                      <w:color w:val="auto"/>
                      <w:szCs w:val="21"/>
                    </w:rPr>
                    <w:t>监测点位</w:t>
                  </w:r>
                </w:p>
              </w:tc>
              <w:tc>
                <w:tcPr>
                  <w:tcW w:w="1217" w:type="pct"/>
                </w:tcPr>
                <w:p>
                  <w:pPr>
                    <w:autoSpaceDE w:val="0"/>
                    <w:autoSpaceDN w:val="0"/>
                    <w:jc w:val="center"/>
                    <w:rPr>
                      <w:color w:val="auto"/>
                      <w:szCs w:val="21"/>
                    </w:rPr>
                  </w:pPr>
                  <w:r>
                    <w:rPr>
                      <w:color w:val="auto"/>
                      <w:szCs w:val="21"/>
                    </w:rPr>
                    <w:t>监测日期</w:t>
                  </w:r>
                </w:p>
              </w:tc>
              <w:tc>
                <w:tcPr>
                  <w:tcW w:w="1313" w:type="pct"/>
                  <w:vAlign w:val="center"/>
                </w:tcPr>
                <w:p>
                  <w:pPr>
                    <w:autoSpaceDE w:val="0"/>
                    <w:autoSpaceDN w:val="0"/>
                    <w:jc w:val="center"/>
                    <w:rPr>
                      <w:color w:val="auto"/>
                      <w:szCs w:val="21"/>
                    </w:rPr>
                  </w:pPr>
                  <w:r>
                    <w:rPr>
                      <w:color w:val="auto"/>
                      <w:szCs w:val="21"/>
                    </w:rPr>
                    <w:t>TSP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470" w:type="pct"/>
                  <w:vMerge w:val="restart"/>
                  <w:vAlign w:val="center"/>
                </w:tcPr>
                <w:p>
                  <w:pPr>
                    <w:widowControl/>
                    <w:jc w:val="center"/>
                    <w:rPr>
                      <w:color w:val="auto"/>
                    </w:rPr>
                  </w:pPr>
                  <w:r>
                    <w:rPr>
                      <w:rFonts w:hint="eastAsia"/>
                      <w:color w:val="auto"/>
                    </w:rPr>
                    <w:t>厂界西北侧1865m处</w:t>
                  </w:r>
                </w:p>
                <w:p>
                  <w:pPr>
                    <w:widowControl/>
                    <w:jc w:val="center"/>
                    <w:rPr>
                      <w:color w:val="auto"/>
                      <w:szCs w:val="21"/>
                    </w:rPr>
                  </w:pPr>
                  <w:r>
                    <w:rPr>
                      <w:color w:val="auto"/>
                      <w:szCs w:val="21"/>
                    </w:rPr>
                    <w:t>（</w:t>
                  </w:r>
                  <w:r>
                    <w:rPr>
                      <w:rFonts w:hint="eastAsia"/>
                      <w:color w:val="auto"/>
                    </w:rPr>
                    <w:t>陕西润源模架新材料有限公司</w:t>
                  </w:r>
                  <w:r>
                    <w:rPr>
                      <w:color w:val="auto"/>
                      <w:szCs w:val="21"/>
                    </w:rPr>
                    <w:t>）</w:t>
                  </w:r>
                </w:p>
              </w:tc>
              <w:tc>
                <w:tcPr>
                  <w:tcW w:w="1217" w:type="pct"/>
                  <w:vAlign w:val="center"/>
                </w:tcPr>
                <w:p>
                  <w:pPr>
                    <w:tabs>
                      <w:tab w:val="left" w:pos="1800"/>
                    </w:tabs>
                    <w:spacing w:line="280" w:lineRule="exact"/>
                    <w:jc w:val="center"/>
                    <w:rPr>
                      <w:color w:val="auto"/>
                      <w:szCs w:val="21"/>
                    </w:rPr>
                  </w:pPr>
                  <w:r>
                    <w:rPr>
                      <w:rFonts w:hint="eastAsia"/>
                      <w:color w:val="auto"/>
                      <w:szCs w:val="21"/>
                    </w:rPr>
                    <w:t>2020.11.5</w:t>
                  </w:r>
                </w:p>
              </w:tc>
              <w:tc>
                <w:tcPr>
                  <w:tcW w:w="1313" w:type="pct"/>
                  <w:vAlign w:val="center"/>
                </w:tcPr>
                <w:p>
                  <w:pPr>
                    <w:autoSpaceDE w:val="0"/>
                    <w:autoSpaceDN w:val="0"/>
                    <w:jc w:val="center"/>
                    <w:rPr>
                      <w:color w:val="auto"/>
                      <w:szCs w:val="21"/>
                    </w:rPr>
                  </w:pPr>
                  <w:r>
                    <w:rPr>
                      <w:rFonts w:hint="eastAsia"/>
                      <w:color w:val="auto"/>
                      <w:szCs w:val="21"/>
                    </w:rPr>
                    <w:t>0.191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470" w:type="pct"/>
                  <w:vMerge w:val="continue"/>
                  <w:vAlign w:val="center"/>
                </w:tcPr>
                <w:p>
                  <w:pPr>
                    <w:jc w:val="center"/>
                    <w:rPr>
                      <w:color w:val="auto"/>
                      <w:szCs w:val="21"/>
                    </w:rPr>
                  </w:pPr>
                </w:p>
              </w:tc>
              <w:tc>
                <w:tcPr>
                  <w:tcW w:w="1217" w:type="pct"/>
                  <w:vAlign w:val="center"/>
                </w:tcPr>
                <w:p>
                  <w:pPr>
                    <w:tabs>
                      <w:tab w:val="left" w:pos="1800"/>
                    </w:tabs>
                    <w:spacing w:line="280" w:lineRule="exact"/>
                    <w:jc w:val="center"/>
                    <w:rPr>
                      <w:color w:val="auto"/>
                      <w:szCs w:val="21"/>
                    </w:rPr>
                  </w:pPr>
                  <w:r>
                    <w:rPr>
                      <w:rFonts w:hint="eastAsia"/>
                      <w:color w:val="auto"/>
                      <w:szCs w:val="21"/>
                    </w:rPr>
                    <w:t>2020.11.6</w:t>
                  </w:r>
                </w:p>
              </w:tc>
              <w:tc>
                <w:tcPr>
                  <w:tcW w:w="1313" w:type="pct"/>
                  <w:vAlign w:val="center"/>
                </w:tcPr>
                <w:p>
                  <w:pPr>
                    <w:tabs>
                      <w:tab w:val="left" w:pos="1800"/>
                    </w:tabs>
                    <w:spacing w:line="280" w:lineRule="exact"/>
                    <w:jc w:val="center"/>
                    <w:rPr>
                      <w:color w:val="auto"/>
                      <w:szCs w:val="21"/>
                    </w:rPr>
                  </w:pPr>
                  <w:r>
                    <w:rPr>
                      <w:rFonts w:hint="eastAsia"/>
                      <w:color w:val="auto"/>
                      <w:szCs w:val="21"/>
                    </w:rPr>
                    <w:t>0.210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470" w:type="pct"/>
                  <w:vMerge w:val="continue"/>
                  <w:vAlign w:val="center"/>
                </w:tcPr>
                <w:p>
                  <w:pPr>
                    <w:jc w:val="center"/>
                    <w:rPr>
                      <w:color w:val="auto"/>
                      <w:szCs w:val="21"/>
                    </w:rPr>
                  </w:pPr>
                </w:p>
              </w:tc>
              <w:tc>
                <w:tcPr>
                  <w:tcW w:w="1217" w:type="pct"/>
                </w:tcPr>
                <w:p>
                  <w:pPr>
                    <w:jc w:val="center"/>
                    <w:rPr>
                      <w:color w:val="auto"/>
                      <w:szCs w:val="21"/>
                    </w:rPr>
                  </w:pPr>
                  <w:r>
                    <w:rPr>
                      <w:rFonts w:hint="eastAsia"/>
                      <w:color w:val="auto"/>
                      <w:szCs w:val="21"/>
                    </w:rPr>
                    <w:t>2020.11.7</w:t>
                  </w:r>
                </w:p>
              </w:tc>
              <w:tc>
                <w:tcPr>
                  <w:tcW w:w="1313" w:type="pct"/>
                  <w:vAlign w:val="center"/>
                </w:tcPr>
                <w:p>
                  <w:pPr>
                    <w:jc w:val="center"/>
                    <w:rPr>
                      <w:color w:val="auto"/>
                      <w:szCs w:val="21"/>
                    </w:rPr>
                  </w:pPr>
                  <w:r>
                    <w:rPr>
                      <w:rFonts w:hint="eastAsia"/>
                      <w:color w:val="auto"/>
                      <w:szCs w:val="21"/>
                    </w:rPr>
                    <w:t>0.207</w:t>
                  </w:r>
                </w:p>
              </w:tc>
            </w:tr>
          </w:tbl>
          <w:p>
            <w:pPr>
              <w:pStyle w:val="55"/>
              <w:spacing w:before="120" w:beforeLines="50"/>
              <w:ind w:firstLine="480"/>
              <w:rPr>
                <w:rFonts w:hAnsi="Times New Roman" w:cs="Times New Roman"/>
                <w:color w:val="auto"/>
              </w:rPr>
            </w:pPr>
            <w:r>
              <w:rPr>
                <w:rFonts w:hAnsi="Times New Roman" w:cs="Times New Roman"/>
                <w:color w:val="auto"/>
              </w:rPr>
              <w:t>由监测结果可知，TSP的日均浓度值低于《环境空气质量标准》中限值（≤0.3mg/m</w:t>
            </w:r>
            <w:r>
              <w:rPr>
                <w:rFonts w:hAnsi="Times New Roman" w:cs="Times New Roman"/>
                <w:color w:val="auto"/>
                <w:vertAlign w:val="superscript"/>
              </w:rPr>
              <w:t>3</w:t>
            </w:r>
            <w:r>
              <w:rPr>
                <w:rFonts w:hAnsi="Times New Roman" w:cs="Times New Roman"/>
                <w:color w:val="auto"/>
              </w:rPr>
              <w:t>）要求。</w:t>
            </w:r>
          </w:p>
          <w:p>
            <w:pPr>
              <w:spacing w:line="360" w:lineRule="auto"/>
              <w:ind w:firstLine="482" w:firstLineChars="200"/>
              <w:jc w:val="left"/>
              <w:rPr>
                <w:b/>
                <w:color w:val="auto"/>
                <w:sz w:val="24"/>
              </w:rPr>
            </w:pPr>
            <w:r>
              <w:rPr>
                <w:b/>
                <w:color w:val="auto"/>
                <w:sz w:val="24"/>
              </w:rPr>
              <w:t>2、声环境</w:t>
            </w:r>
          </w:p>
          <w:p>
            <w:pPr>
              <w:tabs>
                <w:tab w:val="left" w:pos="6120"/>
              </w:tabs>
              <w:spacing w:line="360" w:lineRule="auto"/>
              <w:ind w:firstLine="504" w:firstLineChars="200"/>
              <w:rPr>
                <w:color w:val="auto"/>
                <w:sz w:val="24"/>
              </w:rPr>
            </w:pPr>
            <w:r>
              <w:rPr>
                <w:rFonts w:hint="eastAsia"/>
                <w:color w:val="auto"/>
                <w:spacing w:val="6"/>
                <w:sz w:val="24"/>
              </w:rPr>
              <w:t>项目委托</w:t>
            </w:r>
            <w:r>
              <w:rPr>
                <w:color w:val="auto"/>
                <w:sz w:val="24"/>
              </w:rPr>
              <w:t>陕西</w:t>
            </w:r>
            <w:r>
              <w:rPr>
                <w:rFonts w:hint="eastAsia"/>
                <w:color w:val="auto"/>
                <w:sz w:val="24"/>
              </w:rPr>
              <w:t>安讯环境</w:t>
            </w:r>
            <w:r>
              <w:rPr>
                <w:color w:val="auto"/>
                <w:sz w:val="24"/>
              </w:rPr>
              <w:t>检测有限公司</w:t>
            </w:r>
            <w:r>
              <w:rPr>
                <w:rFonts w:hint="eastAsia"/>
                <w:color w:val="auto"/>
                <w:sz w:val="24"/>
              </w:rPr>
              <w:t>对项目建设地的声环境质量现状进行监测（附件5）。</w:t>
            </w:r>
          </w:p>
          <w:p>
            <w:pPr>
              <w:tabs>
                <w:tab w:val="left" w:pos="6120"/>
              </w:tabs>
              <w:spacing w:line="360" w:lineRule="auto"/>
              <w:ind w:firstLine="480" w:firstLineChars="200"/>
              <w:jc w:val="left"/>
              <w:rPr>
                <w:color w:val="auto"/>
                <w:sz w:val="24"/>
              </w:rPr>
            </w:pPr>
            <w:r>
              <w:rPr>
                <w:rFonts w:hint="eastAsia"/>
                <w:color w:val="auto"/>
                <w:kern w:val="0"/>
                <w:sz w:val="24"/>
              </w:rPr>
              <w:t>监测时间：</w:t>
            </w:r>
            <w:r>
              <w:rPr>
                <w:color w:val="auto"/>
                <w:kern w:val="0"/>
                <w:sz w:val="24"/>
              </w:rPr>
              <w:t>20</w:t>
            </w:r>
            <w:r>
              <w:rPr>
                <w:rFonts w:hint="eastAsia"/>
                <w:color w:val="auto"/>
                <w:kern w:val="0"/>
                <w:sz w:val="24"/>
              </w:rPr>
              <w:t>21</w:t>
            </w:r>
            <w:r>
              <w:rPr>
                <w:color w:val="auto"/>
                <w:kern w:val="0"/>
                <w:sz w:val="24"/>
              </w:rPr>
              <w:t>年</w:t>
            </w:r>
            <w:r>
              <w:rPr>
                <w:rFonts w:hint="eastAsia"/>
                <w:color w:val="auto"/>
                <w:kern w:val="0"/>
                <w:sz w:val="24"/>
              </w:rPr>
              <w:t>11</w:t>
            </w:r>
            <w:r>
              <w:rPr>
                <w:color w:val="auto"/>
                <w:kern w:val="0"/>
                <w:sz w:val="24"/>
              </w:rPr>
              <w:t>月</w:t>
            </w:r>
            <w:r>
              <w:rPr>
                <w:rFonts w:hint="eastAsia"/>
                <w:color w:val="auto"/>
                <w:kern w:val="0"/>
                <w:sz w:val="24"/>
              </w:rPr>
              <w:t>19日</w:t>
            </w:r>
            <w:r>
              <w:rPr>
                <w:rFonts w:hint="eastAsia"/>
                <w:color w:val="auto"/>
                <w:sz w:val="24"/>
              </w:rPr>
              <w:t>，共计1天；</w:t>
            </w:r>
          </w:p>
          <w:p>
            <w:pPr>
              <w:tabs>
                <w:tab w:val="left" w:pos="6120"/>
              </w:tabs>
              <w:spacing w:line="360" w:lineRule="auto"/>
              <w:ind w:firstLine="480" w:firstLineChars="200"/>
              <w:rPr>
                <w:color w:val="auto"/>
                <w:sz w:val="24"/>
              </w:rPr>
            </w:pPr>
            <w:r>
              <w:rPr>
                <w:rFonts w:hint="eastAsia"/>
                <w:color w:val="auto"/>
                <w:sz w:val="24"/>
              </w:rPr>
              <w:t>监测点位：</w:t>
            </w:r>
            <w:r>
              <w:rPr>
                <w:rFonts w:hint="eastAsia"/>
                <w:color w:val="auto"/>
                <w:sz w:val="24"/>
                <w:szCs w:val="20"/>
                <w:lang w:bidi="ar-BH"/>
              </w:rPr>
              <w:t>在项目各厂界及敏感点处分别设置1个监测点位</w:t>
            </w:r>
            <w:r>
              <w:rPr>
                <w:rFonts w:hint="eastAsia"/>
                <w:color w:val="auto"/>
                <w:sz w:val="24"/>
              </w:rPr>
              <w:t>（监测点位详见附图8）；</w:t>
            </w:r>
          </w:p>
          <w:p>
            <w:pPr>
              <w:tabs>
                <w:tab w:val="left" w:pos="6120"/>
              </w:tabs>
              <w:spacing w:line="360" w:lineRule="auto"/>
              <w:ind w:firstLine="480" w:firstLineChars="200"/>
              <w:jc w:val="left"/>
              <w:rPr>
                <w:color w:val="auto"/>
                <w:sz w:val="24"/>
              </w:rPr>
            </w:pPr>
            <w:r>
              <w:rPr>
                <w:rFonts w:hint="eastAsia"/>
                <w:color w:val="auto"/>
                <w:sz w:val="24"/>
              </w:rPr>
              <w:t>监测频次：每日昼夜各监测一次</w:t>
            </w:r>
            <w:r>
              <w:rPr>
                <w:color w:val="auto"/>
                <w:sz w:val="24"/>
              </w:rPr>
              <w:t>。</w:t>
            </w:r>
          </w:p>
          <w:p>
            <w:pPr>
              <w:tabs>
                <w:tab w:val="left" w:pos="6120"/>
              </w:tabs>
              <w:spacing w:line="360" w:lineRule="auto"/>
              <w:ind w:firstLine="480" w:firstLineChars="200"/>
              <w:jc w:val="left"/>
              <w:rPr>
                <w:color w:val="auto"/>
                <w:sz w:val="24"/>
              </w:rPr>
            </w:pPr>
            <w:r>
              <w:rPr>
                <w:color w:val="auto"/>
                <w:sz w:val="24"/>
              </w:rPr>
              <w:t>环境噪声监测结果见表</w:t>
            </w:r>
            <w:r>
              <w:rPr>
                <w:rFonts w:hint="eastAsia"/>
                <w:color w:val="auto"/>
                <w:sz w:val="24"/>
              </w:rPr>
              <w:t>3-3</w:t>
            </w:r>
            <w:r>
              <w:rPr>
                <w:color w:val="auto"/>
                <w:sz w:val="24"/>
              </w:rPr>
              <w:t>。</w:t>
            </w:r>
          </w:p>
          <w:p>
            <w:pPr>
              <w:jc w:val="center"/>
              <w:rPr>
                <w:b/>
                <w:color w:val="auto"/>
                <w:sz w:val="24"/>
              </w:rPr>
            </w:pPr>
            <w:r>
              <w:rPr>
                <w:b/>
                <w:color w:val="auto"/>
                <w:sz w:val="24"/>
              </w:rPr>
              <w:t>表</w:t>
            </w:r>
            <w:r>
              <w:rPr>
                <w:rFonts w:hint="eastAsia"/>
                <w:b/>
                <w:color w:val="auto"/>
                <w:sz w:val="24"/>
              </w:rPr>
              <w:t>3-3</w:t>
            </w:r>
            <w:r>
              <w:rPr>
                <w:b/>
                <w:color w:val="auto"/>
                <w:sz w:val="24"/>
              </w:rPr>
              <w:t xml:space="preserve">   </w:t>
            </w:r>
            <w:r>
              <w:rPr>
                <w:rFonts w:hint="eastAsia"/>
                <w:b/>
                <w:color w:val="auto"/>
                <w:sz w:val="24"/>
              </w:rPr>
              <w:t>声</w:t>
            </w:r>
            <w:r>
              <w:rPr>
                <w:b/>
                <w:color w:val="auto"/>
                <w:sz w:val="24"/>
              </w:rPr>
              <w:t>环境监测结果统计表</w:t>
            </w:r>
            <w:r>
              <w:rPr>
                <w:rFonts w:hint="eastAsia"/>
                <w:b/>
                <w:color w:val="auto"/>
                <w:sz w:val="24"/>
              </w:rPr>
              <w:t xml:space="preserve">    单位：dB（A）</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641"/>
              <w:gridCol w:w="1493"/>
              <w:gridCol w:w="1791"/>
              <w:gridCol w:w="14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pct"/>
                  <w:vMerge w:val="restart"/>
                  <w:vAlign w:val="center"/>
                </w:tcPr>
                <w:p>
                  <w:pPr>
                    <w:jc w:val="center"/>
                    <w:rPr>
                      <w:color w:val="auto"/>
                      <w:kern w:val="0"/>
                      <w:szCs w:val="21"/>
                    </w:rPr>
                  </w:pPr>
                  <w:r>
                    <w:rPr>
                      <w:rFonts w:hint="eastAsia"/>
                      <w:color w:val="auto"/>
                      <w:kern w:val="0"/>
                      <w:szCs w:val="21"/>
                    </w:rPr>
                    <w:t>监测</w:t>
                  </w:r>
                  <w:r>
                    <w:rPr>
                      <w:color w:val="auto"/>
                      <w:kern w:val="0"/>
                      <w:szCs w:val="21"/>
                    </w:rPr>
                    <w:t>点</w:t>
                  </w:r>
                </w:p>
              </w:tc>
              <w:tc>
                <w:tcPr>
                  <w:tcW w:w="1973" w:type="pct"/>
                  <w:gridSpan w:val="2"/>
                  <w:tcBorders>
                    <w:right w:val="single" w:color="auto" w:sz="6" w:space="0"/>
                  </w:tcBorders>
                  <w:vAlign w:val="center"/>
                </w:tcPr>
                <w:p>
                  <w:pPr>
                    <w:widowControl/>
                    <w:jc w:val="center"/>
                    <w:rPr>
                      <w:color w:val="auto"/>
                      <w:kern w:val="0"/>
                      <w:szCs w:val="21"/>
                    </w:rPr>
                  </w:pPr>
                  <w:r>
                    <w:rPr>
                      <w:color w:val="auto"/>
                      <w:kern w:val="0"/>
                      <w:szCs w:val="21"/>
                    </w:rPr>
                    <w:t>监测结果</w:t>
                  </w:r>
                </w:p>
              </w:tc>
              <w:tc>
                <w:tcPr>
                  <w:tcW w:w="1127" w:type="pct"/>
                  <w:vMerge w:val="restart"/>
                  <w:vAlign w:val="center"/>
                </w:tcPr>
                <w:p>
                  <w:pPr>
                    <w:jc w:val="center"/>
                    <w:rPr>
                      <w:color w:val="auto"/>
                      <w:kern w:val="0"/>
                      <w:szCs w:val="21"/>
                    </w:rPr>
                  </w:pPr>
                  <w:r>
                    <w:rPr>
                      <w:color w:val="auto"/>
                      <w:kern w:val="0"/>
                      <w:szCs w:val="21"/>
                    </w:rPr>
                    <w:t>标准值</w:t>
                  </w:r>
                </w:p>
              </w:tc>
              <w:tc>
                <w:tcPr>
                  <w:tcW w:w="904" w:type="pct"/>
                  <w:vMerge w:val="restart"/>
                  <w:vAlign w:val="center"/>
                </w:tcPr>
                <w:p>
                  <w:pPr>
                    <w:jc w:val="center"/>
                    <w:rPr>
                      <w:color w:val="auto"/>
                      <w:kern w:val="0"/>
                      <w:szCs w:val="21"/>
                    </w:rPr>
                  </w:pPr>
                  <w:r>
                    <w:rPr>
                      <w:color w:val="auto"/>
                      <w:kern w:val="0"/>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pct"/>
                  <w:vMerge w:val="continue"/>
                  <w:vAlign w:val="center"/>
                </w:tcPr>
                <w:p>
                  <w:pPr>
                    <w:widowControl/>
                    <w:jc w:val="center"/>
                    <w:rPr>
                      <w:color w:val="auto"/>
                      <w:kern w:val="0"/>
                      <w:szCs w:val="21"/>
                    </w:rPr>
                  </w:pPr>
                </w:p>
              </w:tc>
              <w:tc>
                <w:tcPr>
                  <w:tcW w:w="1033" w:type="pct"/>
                  <w:vAlign w:val="center"/>
                </w:tcPr>
                <w:p>
                  <w:pPr>
                    <w:widowControl/>
                    <w:jc w:val="center"/>
                    <w:rPr>
                      <w:color w:val="auto"/>
                      <w:kern w:val="0"/>
                      <w:szCs w:val="21"/>
                    </w:rPr>
                  </w:pPr>
                  <w:r>
                    <w:rPr>
                      <w:color w:val="auto"/>
                      <w:kern w:val="0"/>
                      <w:szCs w:val="21"/>
                    </w:rPr>
                    <w:t>昼间</w:t>
                  </w:r>
                </w:p>
              </w:tc>
              <w:tc>
                <w:tcPr>
                  <w:tcW w:w="940" w:type="pct"/>
                  <w:vAlign w:val="center"/>
                </w:tcPr>
                <w:p>
                  <w:pPr>
                    <w:widowControl/>
                    <w:jc w:val="center"/>
                    <w:rPr>
                      <w:color w:val="auto"/>
                      <w:kern w:val="0"/>
                      <w:szCs w:val="21"/>
                    </w:rPr>
                  </w:pPr>
                  <w:r>
                    <w:rPr>
                      <w:color w:val="auto"/>
                      <w:kern w:val="0"/>
                      <w:szCs w:val="21"/>
                    </w:rPr>
                    <w:t>夜间</w:t>
                  </w:r>
                </w:p>
              </w:tc>
              <w:tc>
                <w:tcPr>
                  <w:tcW w:w="1127" w:type="pct"/>
                  <w:vMerge w:val="continue"/>
                  <w:tcBorders>
                    <w:bottom w:val="single" w:color="auto" w:sz="6" w:space="0"/>
                  </w:tcBorders>
                  <w:vAlign w:val="center"/>
                </w:tcPr>
                <w:p>
                  <w:pPr>
                    <w:widowControl/>
                    <w:jc w:val="center"/>
                    <w:rPr>
                      <w:color w:val="auto"/>
                      <w:kern w:val="0"/>
                      <w:szCs w:val="21"/>
                    </w:rPr>
                  </w:pPr>
                </w:p>
              </w:tc>
              <w:tc>
                <w:tcPr>
                  <w:tcW w:w="904" w:type="pct"/>
                  <w:vMerge w:val="continue"/>
                  <w:vAlign w:val="center"/>
                </w:tcPr>
                <w:p>
                  <w:pPr>
                    <w:widowControl/>
                    <w:jc w:val="center"/>
                    <w:rPr>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pct"/>
                  <w:vAlign w:val="center"/>
                </w:tcPr>
                <w:p>
                  <w:pPr>
                    <w:widowControl/>
                    <w:jc w:val="center"/>
                    <w:rPr>
                      <w:color w:val="auto"/>
                      <w:kern w:val="0"/>
                      <w:szCs w:val="21"/>
                    </w:rPr>
                  </w:pPr>
                  <w:r>
                    <w:rPr>
                      <w:color w:val="auto"/>
                      <w:kern w:val="0"/>
                      <w:szCs w:val="21"/>
                    </w:rPr>
                    <w:t>厂界北</w:t>
                  </w:r>
                  <w:r>
                    <w:rPr>
                      <w:rFonts w:hint="eastAsia"/>
                      <w:color w:val="auto"/>
                      <w:kern w:val="0"/>
                      <w:szCs w:val="21"/>
                    </w:rPr>
                    <w:t>1#</w:t>
                  </w:r>
                </w:p>
              </w:tc>
              <w:tc>
                <w:tcPr>
                  <w:tcW w:w="1033" w:type="pct"/>
                  <w:vAlign w:val="center"/>
                </w:tcPr>
                <w:p>
                  <w:pPr>
                    <w:autoSpaceDE w:val="0"/>
                    <w:jc w:val="center"/>
                    <w:rPr>
                      <w:color w:val="auto"/>
                      <w:szCs w:val="21"/>
                    </w:rPr>
                  </w:pPr>
                  <w:r>
                    <w:rPr>
                      <w:rFonts w:hint="eastAsia"/>
                      <w:color w:val="auto"/>
                      <w:szCs w:val="21"/>
                    </w:rPr>
                    <w:t>52</w:t>
                  </w:r>
                </w:p>
              </w:tc>
              <w:tc>
                <w:tcPr>
                  <w:tcW w:w="940" w:type="pct"/>
                  <w:vAlign w:val="center"/>
                </w:tcPr>
                <w:p>
                  <w:pPr>
                    <w:autoSpaceDE w:val="0"/>
                    <w:jc w:val="center"/>
                    <w:rPr>
                      <w:color w:val="auto"/>
                      <w:szCs w:val="21"/>
                    </w:rPr>
                  </w:pPr>
                  <w:r>
                    <w:rPr>
                      <w:rFonts w:hint="eastAsia"/>
                      <w:color w:val="auto"/>
                      <w:szCs w:val="21"/>
                    </w:rPr>
                    <w:t>42</w:t>
                  </w:r>
                </w:p>
              </w:tc>
              <w:tc>
                <w:tcPr>
                  <w:tcW w:w="1127" w:type="pct"/>
                  <w:vMerge w:val="restart"/>
                  <w:tcBorders>
                    <w:top w:val="single" w:color="auto" w:sz="6" w:space="0"/>
                  </w:tcBorders>
                  <w:vAlign w:val="center"/>
                </w:tcPr>
                <w:p>
                  <w:pPr>
                    <w:jc w:val="center"/>
                    <w:rPr>
                      <w:color w:val="auto"/>
                      <w:kern w:val="0"/>
                      <w:szCs w:val="21"/>
                    </w:rPr>
                  </w:pPr>
                  <w:r>
                    <w:rPr>
                      <w:color w:val="auto"/>
                      <w:kern w:val="0"/>
                      <w:szCs w:val="21"/>
                    </w:rPr>
                    <w:t>昼：</w:t>
                  </w:r>
                  <w:r>
                    <w:rPr>
                      <w:rFonts w:hint="eastAsia"/>
                      <w:color w:val="auto"/>
                      <w:kern w:val="0"/>
                      <w:szCs w:val="21"/>
                    </w:rPr>
                    <w:t>60，</w:t>
                  </w:r>
                  <w:r>
                    <w:rPr>
                      <w:color w:val="auto"/>
                      <w:kern w:val="0"/>
                      <w:szCs w:val="21"/>
                    </w:rPr>
                    <w:t>夜：</w:t>
                  </w:r>
                  <w:r>
                    <w:rPr>
                      <w:rFonts w:hint="eastAsia"/>
                      <w:color w:val="auto"/>
                      <w:kern w:val="0"/>
                      <w:szCs w:val="21"/>
                    </w:rPr>
                    <w:t>50</w:t>
                  </w:r>
                </w:p>
              </w:tc>
              <w:tc>
                <w:tcPr>
                  <w:tcW w:w="904" w:type="pct"/>
                  <w:vAlign w:val="center"/>
                </w:tcPr>
                <w:p>
                  <w:pPr>
                    <w:widowControl/>
                    <w:jc w:val="center"/>
                    <w:rPr>
                      <w:color w:val="auto"/>
                      <w:kern w:val="0"/>
                      <w:szCs w:val="21"/>
                    </w:rPr>
                  </w:pPr>
                  <w:r>
                    <w:rPr>
                      <w:color w:val="auto"/>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pct"/>
                  <w:vAlign w:val="center"/>
                </w:tcPr>
                <w:p>
                  <w:pPr>
                    <w:widowControl/>
                    <w:jc w:val="center"/>
                    <w:rPr>
                      <w:color w:val="auto"/>
                      <w:kern w:val="0"/>
                      <w:szCs w:val="21"/>
                    </w:rPr>
                  </w:pPr>
                  <w:r>
                    <w:rPr>
                      <w:color w:val="auto"/>
                      <w:kern w:val="0"/>
                      <w:szCs w:val="21"/>
                    </w:rPr>
                    <w:t>厂界东</w:t>
                  </w:r>
                  <w:r>
                    <w:rPr>
                      <w:rFonts w:hint="eastAsia"/>
                      <w:color w:val="auto"/>
                      <w:kern w:val="0"/>
                      <w:szCs w:val="21"/>
                    </w:rPr>
                    <w:t>2#</w:t>
                  </w:r>
                </w:p>
              </w:tc>
              <w:tc>
                <w:tcPr>
                  <w:tcW w:w="1033" w:type="pct"/>
                  <w:vAlign w:val="center"/>
                </w:tcPr>
                <w:p>
                  <w:pPr>
                    <w:autoSpaceDE w:val="0"/>
                    <w:jc w:val="center"/>
                    <w:rPr>
                      <w:color w:val="auto"/>
                      <w:szCs w:val="21"/>
                    </w:rPr>
                  </w:pPr>
                  <w:r>
                    <w:rPr>
                      <w:rFonts w:hint="eastAsia"/>
                      <w:color w:val="auto"/>
                      <w:szCs w:val="21"/>
                    </w:rPr>
                    <w:t>49</w:t>
                  </w:r>
                </w:p>
              </w:tc>
              <w:tc>
                <w:tcPr>
                  <w:tcW w:w="940" w:type="pct"/>
                  <w:vAlign w:val="center"/>
                </w:tcPr>
                <w:p>
                  <w:pPr>
                    <w:autoSpaceDE w:val="0"/>
                    <w:jc w:val="center"/>
                    <w:rPr>
                      <w:color w:val="auto"/>
                      <w:szCs w:val="21"/>
                    </w:rPr>
                  </w:pPr>
                  <w:r>
                    <w:rPr>
                      <w:rFonts w:hint="eastAsia"/>
                      <w:color w:val="auto"/>
                      <w:szCs w:val="21"/>
                    </w:rPr>
                    <w:t>41</w:t>
                  </w:r>
                </w:p>
              </w:tc>
              <w:tc>
                <w:tcPr>
                  <w:tcW w:w="1127" w:type="pct"/>
                  <w:vMerge w:val="continue"/>
                  <w:vAlign w:val="center"/>
                </w:tcPr>
                <w:p>
                  <w:pPr>
                    <w:jc w:val="center"/>
                    <w:rPr>
                      <w:color w:val="auto"/>
                      <w:kern w:val="0"/>
                      <w:szCs w:val="21"/>
                    </w:rPr>
                  </w:pPr>
                </w:p>
              </w:tc>
              <w:tc>
                <w:tcPr>
                  <w:tcW w:w="904" w:type="pct"/>
                  <w:vAlign w:val="center"/>
                </w:tcPr>
                <w:p>
                  <w:pPr>
                    <w:widowControl/>
                    <w:jc w:val="center"/>
                    <w:rPr>
                      <w:color w:val="auto"/>
                      <w:kern w:val="0"/>
                      <w:szCs w:val="21"/>
                    </w:rPr>
                  </w:pPr>
                  <w:r>
                    <w:rPr>
                      <w:rFonts w:hint="eastAsia"/>
                      <w:color w:val="auto"/>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pct"/>
                  <w:vAlign w:val="center"/>
                </w:tcPr>
                <w:p>
                  <w:pPr>
                    <w:widowControl/>
                    <w:jc w:val="center"/>
                    <w:rPr>
                      <w:color w:val="auto"/>
                      <w:kern w:val="0"/>
                      <w:szCs w:val="21"/>
                    </w:rPr>
                  </w:pPr>
                  <w:r>
                    <w:rPr>
                      <w:rFonts w:hint="eastAsia"/>
                      <w:color w:val="auto"/>
                      <w:kern w:val="0"/>
                      <w:szCs w:val="21"/>
                    </w:rPr>
                    <w:t>厂界南3#</w:t>
                  </w:r>
                </w:p>
              </w:tc>
              <w:tc>
                <w:tcPr>
                  <w:tcW w:w="1033" w:type="pct"/>
                  <w:vAlign w:val="center"/>
                </w:tcPr>
                <w:p>
                  <w:pPr>
                    <w:autoSpaceDE w:val="0"/>
                    <w:jc w:val="center"/>
                    <w:rPr>
                      <w:color w:val="auto"/>
                      <w:szCs w:val="21"/>
                    </w:rPr>
                  </w:pPr>
                  <w:r>
                    <w:rPr>
                      <w:rFonts w:hint="eastAsia"/>
                      <w:color w:val="auto"/>
                      <w:szCs w:val="21"/>
                    </w:rPr>
                    <w:t>52</w:t>
                  </w:r>
                </w:p>
              </w:tc>
              <w:tc>
                <w:tcPr>
                  <w:tcW w:w="940" w:type="pct"/>
                  <w:vAlign w:val="center"/>
                </w:tcPr>
                <w:p>
                  <w:pPr>
                    <w:autoSpaceDE w:val="0"/>
                    <w:jc w:val="center"/>
                    <w:rPr>
                      <w:color w:val="auto"/>
                      <w:szCs w:val="21"/>
                    </w:rPr>
                  </w:pPr>
                  <w:r>
                    <w:rPr>
                      <w:rFonts w:hint="eastAsia"/>
                      <w:color w:val="auto"/>
                      <w:szCs w:val="21"/>
                    </w:rPr>
                    <w:t>41</w:t>
                  </w:r>
                </w:p>
              </w:tc>
              <w:tc>
                <w:tcPr>
                  <w:tcW w:w="1127" w:type="pct"/>
                  <w:vMerge w:val="continue"/>
                  <w:vAlign w:val="center"/>
                </w:tcPr>
                <w:p>
                  <w:pPr>
                    <w:jc w:val="center"/>
                    <w:rPr>
                      <w:color w:val="auto"/>
                      <w:kern w:val="0"/>
                      <w:szCs w:val="21"/>
                    </w:rPr>
                  </w:pPr>
                </w:p>
              </w:tc>
              <w:tc>
                <w:tcPr>
                  <w:tcW w:w="904" w:type="pct"/>
                  <w:vAlign w:val="center"/>
                </w:tcPr>
                <w:p>
                  <w:pPr>
                    <w:widowControl/>
                    <w:jc w:val="center"/>
                    <w:rPr>
                      <w:color w:val="auto"/>
                      <w:kern w:val="0"/>
                      <w:szCs w:val="21"/>
                    </w:rPr>
                  </w:pPr>
                  <w:r>
                    <w:rPr>
                      <w:color w:val="auto"/>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pct"/>
                  <w:vAlign w:val="center"/>
                </w:tcPr>
                <w:p>
                  <w:pPr>
                    <w:widowControl/>
                    <w:jc w:val="center"/>
                    <w:rPr>
                      <w:color w:val="auto"/>
                      <w:kern w:val="0"/>
                      <w:szCs w:val="21"/>
                    </w:rPr>
                  </w:pPr>
                  <w:r>
                    <w:rPr>
                      <w:color w:val="auto"/>
                      <w:kern w:val="0"/>
                      <w:szCs w:val="21"/>
                    </w:rPr>
                    <w:t>厂界</w:t>
                  </w:r>
                  <w:r>
                    <w:rPr>
                      <w:rFonts w:hint="eastAsia"/>
                      <w:color w:val="auto"/>
                      <w:kern w:val="0"/>
                      <w:szCs w:val="21"/>
                    </w:rPr>
                    <w:t>西4#</w:t>
                  </w:r>
                </w:p>
              </w:tc>
              <w:tc>
                <w:tcPr>
                  <w:tcW w:w="1033" w:type="pct"/>
                  <w:vAlign w:val="center"/>
                </w:tcPr>
                <w:p>
                  <w:pPr>
                    <w:autoSpaceDE w:val="0"/>
                    <w:jc w:val="center"/>
                    <w:rPr>
                      <w:color w:val="auto"/>
                      <w:szCs w:val="21"/>
                    </w:rPr>
                  </w:pPr>
                  <w:r>
                    <w:rPr>
                      <w:rFonts w:hint="eastAsia"/>
                      <w:color w:val="auto"/>
                      <w:szCs w:val="21"/>
                    </w:rPr>
                    <w:t>51</w:t>
                  </w:r>
                </w:p>
              </w:tc>
              <w:tc>
                <w:tcPr>
                  <w:tcW w:w="940" w:type="pct"/>
                  <w:vAlign w:val="center"/>
                </w:tcPr>
                <w:p>
                  <w:pPr>
                    <w:autoSpaceDE w:val="0"/>
                    <w:jc w:val="center"/>
                    <w:rPr>
                      <w:color w:val="auto"/>
                      <w:szCs w:val="21"/>
                    </w:rPr>
                  </w:pPr>
                  <w:r>
                    <w:rPr>
                      <w:rFonts w:hint="eastAsia"/>
                      <w:color w:val="auto"/>
                      <w:szCs w:val="21"/>
                    </w:rPr>
                    <w:t>42</w:t>
                  </w:r>
                </w:p>
              </w:tc>
              <w:tc>
                <w:tcPr>
                  <w:tcW w:w="1127" w:type="pct"/>
                  <w:vMerge w:val="continue"/>
                  <w:vAlign w:val="center"/>
                </w:tcPr>
                <w:p>
                  <w:pPr>
                    <w:jc w:val="center"/>
                    <w:rPr>
                      <w:color w:val="auto"/>
                      <w:kern w:val="0"/>
                      <w:szCs w:val="21"/>
                    </w:rPr>
                  </w:pPr>
                </w:p>
              </w:tc>
              <w:tc>
                <w:tcPr>
                  <w:tcW w:w="904" w:type="pct"/>
                  <w:vAlign w:val="center"/>
                </w:tcPr>
                <w:p>
                  <w:pPr>
                    <w:widowControl/>
                    <w:jc w:val="center"/>
                    <w:rPr>
                      <w:color w:val="auto"/>
                      <w:kern w:val="0"/>
                      <w:szCs w:val="21"/>
                    </w:rPr>
                  </w:pPr>
                  <w:r>
                    <w:rPr>
                      <w:color w:val="auto"/>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pct"/>
                  <w:vAlign w:val="center"/>
                </w:tcPr>
                <w:p>
                  <w:pPr>
                    <w:widowControl/>
                    <w:jc w:val="center"/>
                    <w:rPr>
                      <w:color w:val="auto"/>
                      <w:kern w:val="0"/>
                      <w:szCs w:val="21"/>
                    </w:rPr>
                  </w:pPr>
                  <w:r>
                    <w:rPr>
                      <w:color w:val="auto"/>
                      <w:kern w:val="0"/>
                      <w:szCs w:val="21"/>
                    </w:rPr>
                    <w:t>姚家村</w:t>
                  </w:r>
                  <w:r>
                    <w:rPr>
                      <w:rFonts w:hint="eastAsia"/>
                      <w:color w:val="auto"/>
                      <w:kern w:val="0"/>
                      <w:szCs w:val="21"/>
                    </w:rPr>
                    <w:t>5#</w:t>
                  </w:r>
                </w:p>
              </w:tc>
              <w:tc>
                <w:tcPr>
                  <w:tcW w:w="1033" w:type="pct"/>
                  <w:vAlign w:val="center"/>
                </w:tcPr>
                <w:p>
                  <w:pPr>
                    <w:autoSpaceDE w:val="0"/>
                    <w:jc w:val="center"/>
                    <w:rPr>
                      <w:color w:val="auto"/>
                      <w:szCs w:val="21"/>
                    </w:rPr>
                  </w:pPr>
                  <w:r>
                    <w:rPr>
                      <w:rFonts w:hint="eastAsia"/>
                      <w:color w:val="auto"/>
                      <w:szCs w:val="21"/>
                    </w:rPr>
                    <w:t>49</w:t>
                  </w:r>
                </w:p>
              </w:tc>
              <w:tc>
                <w:tcPr>
                  <w:tcW w:w="940" w:type="pct"/>
                  <w:vAlign w:val="center"/>
                </w:tcPr>
                <w:p>
                  <w:pPr>
                    <w:autoSpaceDE w:val="0"/>
                    <w:jc w:val="center"/>
                    <w:rPr>
                      <w:color w:val="auto"/>
                      <w:szCs w:val="21"/>
                    </w:rPr>
                  </w:pPr>
                  <w:r>
                    <w:rPr>
                      <w:rFonts w:hint="eastAsia"/>
                      <w:color w:val="auto"/>
                      <w:szCs w:val="21"/>
                    </w:rPr>
                    <w:t>41</w:t>
                  </w:r>
                </w:p>
              </w:tc>
              <w:tc>
                <w:tcPr>
                  <w:tcW w:w="1127" w:type="pct"/>
                  <w:vMerge w:val="continue"/>
                  <w:vAlign w:val="center"/>
                </w:tcPr>
                <w:p>
                  <w:pPr>
                    <w:jc w:val="center"/>
                    <w:rPr>
                      <w:color w:val="auto"/>
                      <w:kern w:val="0"/>
                      <w:szCs w:val="21"/>
                    </w:rPr>
                  </w:pPr>
                </w:p>
              </w:tc>
              <w:tc>
                <w:tcPr>
                  <w:tcW w:w="904" w:type="pct"/>
                  <w:vAlign w:val="center"/>
                </w:tcPr>
                <w:p>
                  <w:pPr>
                    <w:widowControl/>
                    <w:jc w:val="center"/>
                    <w:rPr>
                      <w:color w:val="auto"/>
                      <w:kern w:val="0"/>
                      <w:szCs w:val="21"/>
                    </w:rPr>
                  </w:pPr>
                  <w:r>
                    <w:rPr>
                      <w:color w:val="auto"/>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pct"/>
                  <w:vAlign w:val="center"/>
                </w:tcPr>
                <w:p>
                  <w:pPr>
                    <w:widowControl/>
                    <w:jc w:val="center"/>
                    <w:rPr>
                      <w:color w:val="auto"/>
                      <w:kern w:val="0"/>
                      <w:szCs w:val="21"/>
                    </w:rPr>
                  </w:pPr>
                  <w:r>
                    <w:rPr>
                      <w:color w:val="auto"/>
                      <w:kern w:val="0"/>
                      <w:szCs w:val="21"/>
                    </w:rPr>
                    <w:t>赵家堡</w:t>
                  </w:r>
                  <w:r>
                    <w:rPr>
                      <w:rFonts w:hint="eastAsia"/>
                      <w:color w:val="auto"/>
                      <w:kern w:val="0"/>
                      <w:szCs w:val="21"/>
                    </w:rPr>
                    <w:t>6#</w:t>
                  </w:r>
                </w:p>
              </w:tc>
              <w:tc>
                <w:tcPr>
                  <w:tcW w:w="1033" w:type="pct"/>
                  <w:vAlign w:val="center"/>
                </w:tcPr>
                <w:p>
                  <w:pPr>
                    <w:autoSpaceDE w:val="0"/>
                    <w:jc w:val="center"/>
                    <w:rPr>
                      <w:color w:val="auto"/>
                      <w:szCs w:val="21"/>
                    </w:rPr>
                  </w:pPr>
                  <w:r>
                    <w:rPr>
                      <w:rFonts w:hint="eastAsia"/>
                      <w:color w:val="auto"/>
                      <w:szCs w:val="21"/>
                    </w:rPr>
                    <w:t>47</w:t>
                  </w:r>
                </w:p>
              </w:tc>
              <w:tc>
                <w:tcPr>
                  <w:tcW w:w="940" w:type="pct"/>
                  <w:vAlign w:val="center"/>
                </w:tcPr>
                <w:p>
                  <w:pPr>
                    <w:autoSpaceDE w:val="0"/>
                    <w:jc w:val="center"/>
                    <w:rPr>
                      <w:color w:val="auto"/>
                      <w:szCs w:val="21"/>
                    </w:rPr>
                  </w:pPr>
                  <w:r>
                    <w:rPr>
                      <w:rFonts w:hint="eastAsia"/>
                      <w:color w:val="auto"/>
                      <w:szCs w:val="21"/>
                    </w:rPr>
                    <w:t>40</w:t>
                  </w:r>
                </w:p>
              </w:tc>
              <w:tc>
                <w:tcPr>
                  <w:tcW w:w="1127" w:type="pct"/>
                  <w:vMerge w:val="continue"/>
                  <w:vAlign w:val="center"/>
                </w:tcPr>
                <w:p>
                  <w:pPr>
                    <w:jc w:val="center"/>
                    <w:rPr>
                      <w:color w:val="auto"/>
                      <w:kern w:val="0"/>
                      <w:szCs w:val="21"/>
                    </w:rPr>
                  </w:pPr>
                </w:p>
              </w:tc>
              <w:tc>
                <w:tcPr>
                  <w:tcW w:w="904" w:type="pct"/>
                  <w:vAlign w:val="center"/>
                </w:tcPr>
                <w:p>
                  <w:pPr>
                    <w:widowControl/>
                    <w:jc w:val="center"/>
                    <w:rPr>
                      <w:color w:val="auto"/>
                      <w:kern w:val="0"/>
                      <w:szCs w:val="21"/>
                    </w:rPr>
                  </w:pPr>
                  <w:r>
                    <w:rPr>
                      <w:color w:val="auto"/>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6" w:type="pct"/>
                  <w:vAlign w:val="center"/>
                </w:tcPr>
                <w:p>
                  <w:pPr>
                    <w:widowControl/>
                    <w:jc w:val="center"/>
                    <w:rPr>
                      <w:color w:val="auto"/>
                      <w:kern w:val="0"/>
                      <w:szCs w:val="21"/>
                    </w:rPr>
                  </w:pPr>
                  <w:r>
                    <w:rPr>
                      <w:color w:val="auto"/>
                      <w:kern w:val="0"/>
                      <w:szCs w:val="21"/>
                    </w:rPr>
                    <w:t>黄家村</w:t>
                  </w:r>
                  <w:r>
                    <w:rPr>
                      <w:rFonts w:hint="eastAsia"/>
                      <w:color w:val="auto"/>
                      <w:kern w:val="0"/>
                      <w:szCs w:val="21"/>
                    </w:rPr>
                    <w:t>7#</w:t>
                  </w:r>
                </w:p>
              </w:tc>
              <w:tc>
                <w:tcPr>
                  <w:tcW w:w="1033" w:type="pct"/>
                  <w:vAlign w:val="center"/>
                </w:tcPr>
                <w:p>
                  <w:pPr>
                    <w:autoSpaceDE w:val="0"/>
                    <w:jc w:val="center"/>
                    <w:rPr>
                      <w:color w:val="auto"/>
                      <w:szCs w:val="21"/>
                    </w:rPr>
                  </w:pPr>
                  <w:r>
                    <w:rPr>
                      <w:rFonts w:hint="eastAsia"/>
                      <w:color w:val="auto"/>
                      <w:szCs w:val="21"/>
                    </w:rPr>
                    <w:t>50</w:t>
                  </w:r>
                </w:p>
              </w:tc>
              <w:tc>
                <w:tcPr>
                  <w:tcW w:w="940" w:type="pct"/>
                  <w:vAlign w:val="center"/>
                </w:tcPr>
                <w:p>
                  <w:pPr>
                    <w:autoSpaceDE w:val="0"/>
                    <w:jc w:val="center"/>
                    <w:rPr>
                      <w:color w:val="auto"/>
                      <w:szCs w:val="21"/>
                    </w:rPr>
                  </w:pPr>
                  <w:r>
                    <w:rPr>
                      <w:rFonts w:hint="eastAsia"/>
                      <w:color w:val="auto"/>
                      <w:szCs w:val="21"/>
                    </w:rPr>
                    <w:t>42</w:t>
                  </w:r>
                </w:p>
              </w:tc>
              <w:tc>
                <w:tcPr>
                  <w:tcW w:w="1127" w:type="pct"/>
                  <w:vMerge w:val="continue"/>
                  <w:vAlign w:val="center"/>
                </w:tcPr>
                <w:p>
                  <w:pPr>
                    <w:jc w:val="center"/>
                    <w:rPr>
                      <w:color w:val="auto"/>
                      <w:kern w:val="0"/>
                      <w:szCs w:val="21"/>
                    </w:rPr>
                  </w:pPr>
                </w:p>
              </w:tc>
              <w:tc>
                <w:tcPr>
                  <w:tcW w:w="904" w:type="pct"/>
                  <w:vAlign w:val="center"/>
                </w:tcPr>
                <w:p>
                  <w:pPr>
                    <w:widowControl/>
                    <w:jc w:val="center"/>
                    <w:rPr>
                      <w:color w:val="auto"/>
                      <w:kern w:val="0"/>
                      <w:szCs w:val="21"/>
                    </w:rPr>
                  </w:pPr>
                  <w:r>
                    <w:rPr>
                      <w:color w:val="auto"/>
                      <w:kern w:val="0"/>
                      <w:szCs w:val="21"/>
                    </w:rPr>
                    <w:t>达标</w:t>
                  </w:r>
                </w:p>
              </w:tc>
            </w:tr>
          </w:tbl>
          <w:p>
            <w:pPr>
              <w:spacing w:line="360" w:lineRule="auto"/>
              <w:ind w:firstLine="480" w:firstLineChars="200"/>
              <w:jc w:val="left"/>
              <w:rPr>
                <w:b/>
                <w:color w:val="auto"/>
                <w:sz w:val="24"/>
              </w:rPr>
            </w:pPr>
            <w:r>
              <w:rPr>
                <w:color w:val="auto"/>
                <w:sz w:val="24"/>
              </w:rPr>
              <w:t>监测结果</w:t>
            </w:r>
            <w:r>
              <w:rPr>
                <w:rFonts w:hint="eastAsia" w:ascii="宋体"/>
                <w:bCs/>
                <w:color w:val="auto"/>
                <w:sz w:val="24"/>
                <w:szCs w:val="20"/>
              </w:rPr>
              <w:t>（详见附件</w:t>
            </w:r>
            <w:r>
              <w:rPr>
                <w:rFonts w:hint="eastAsia"/>
                <w:bCs/>
                <w:color w:val="auto"/>
                <w:sz w:val="24"/>
                <w:szCs w:val="20"/>
              </w:rPr>
              <w:t>4</w:t>
            </w:r>
            <w:r>
              <w:rPr>
                <w:rFonts w:hint="eastAsia" w:ascii="宋体"/>
                <w:bCs/>
                <w:color w:val="auto"/>
                <w:sz w:val="24"/>
                <w:szCs w:val="20"/>
              </w:rPr>
              <w:t>）</w:t>
            </w:r>
            <w:r>
              <w:rPr>
                <w:color w:val="auto"/>
                <w:sz w:val="24"/>
              </w:rPr>
              <w:t>表明：项目各</w:t>
            </w:r>
            <w:r>
              <w:rPr>
                <w:rFonts w:hint="eastAsia"/>
                <w:color w:val="auto"/>
                <w:sz w:val="24"/>
              </w:rPr>
              <w:t>厂界及敏感点</w:t>
            </w:r>
            <w:r>
              <w:rPr>
                <w:color w:val="auto"/>
                <w:sz w:val="24"/>
              </w:rPr>
              <w:t>昼夜间噪声值均能满足《声环境质量标准》（GB3096-2008）</w:t>
            </w:r>
            <w:r>
              <w:rPr>
                <w:rFonts w:hint="eastAsia"/>
                <w:color w:val="auto"/>
                <w:sz w:val="24"/>
              </w:rPr>
              <w:t>2</w:t>
            </w:r>
            <w:r>
              <w:rPr>
                <w:color w:val="auto"/>
                <w:sz w:val="24"/>
              </w:rPr>
              <w:t>类区标准限值</w:t>
            </w:r>
            <w:r>
              <w:rPr>
                <w:rFonts w:hint="eastAsia" w:ascii="宋体"/>
                <w:color w:val="auto"/>
                <w:sz w:val="24"/>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8" w:hRule="atLeast"/>
          <w:jc w:val="center"/>
        </w:trPr>
        <w:tc>
          <w:tcPr>
            <w:tcW w:w="800" w:type="dxa"/>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环境</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保护</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目标</w:t>
            </w:r>
          </w:p>
        </w:tc>
        <w:tc>
          <w:tcPr>
            <w:tcW w:w="8190" w:type="dxa"/>
            <w:vAlign w:val="center"/>
          </w:tcPr>
          <w:p>
            <w:pPr>
              <w:spacing w:line="360" w:lineRule="auto"/>
              <w:ind w:firstLine="480" w:firstLineChars="200"/>
              <w:jc w:val="left"/>
              <w:rPr>
                <w:color w:val="auto"/>
                <w:sz w:val="24"/>
              </w:rPr>
            </w:pPr>
            <w:r>
              <w:rPr>
                <w:color w:val="auto"/>
                <w:sz w:val="24"/>
              </w:rPr>
              <w:t>本项目环境影响评价范围内保护目标见下表</w:t>
            </w:r>
            <w:r>
              <w:rPr>
                <w:rFonts w:hint="eastAsia"/>
                <w:color w:val="auto"/>
                <w:sz w:val="24"/>
              </w:rPr>
              <w:t>。</w:t>
            </w:r>
          </w:p>
          <w:p>
            <w:pPr>
              <w:jc w:val="center"/>
              <w:rPr>
                <w:b/>
                <w:color w:val="auto"/>
                <w:sz w:val="24"/>
                <w:highlight w:val="none"/>
              </w:rPr>
            </w:pPr>
            <w:r>
              <w:rPr>
                <w:rFonts w:hint="eastAsia"/>
                <w:b/>
                <w:color w:val="auto"/>
                <w:sz w:val="24"/>
                <w:highlight w:val="none"/>
              </w:rPr>
              <w:t>表3-4   项目周边主要环境保护目标</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95"/>
              <w:gridCol w:w="566"/>
              <w:gridCol w:w="709"/>
              <w:gridCol w:w="1700"/>
              <w:gridCol w:w="2271"/>
              <w:gridCol w:w="979"/>
              <w:gridCol w:w="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6" w:type="pct"/>
                  <w:vMerge w:val="restart"/>
                  <w:vAlign w:val="center"/>
                </w:tcPr>
                <w:p>
                  <w:pPr>
                    <w:jc w:val="center"/>
                    <w:rPr>
                      <w:color w:val="auto"/>
                      <w:kern w:val="0"/>
                      <w:szCs w:val="21"/>
                    </w:rPr>
                  </w:pPr>
                  <w:r>
                    <w:rPr>
                      <w:color w:val="auto"/>
                      <w:kern w:val="0"/>
                      <w:szCs w:val="21"/>
                    </w:rPr>
                    <w:t>名称</w:t>
                  </w:r>
                </w:p>
              </w:tc>
              <w:tc>
                <w:tcPr>
                  <w:tcW w:w="802" w:type="pct"/>
                  <w:gridSpan w:val="2"/>
                  <w:vAlign w:val="center"/>
                </w:tcPr>
                <w:p>
                  <w:pPr>
                    <w:widowControl/>
                    <w:jc w:val="center"/>
                    <w:rPr>
                      <w:color w:val="auto"/>
                      <w:kern w:val="0"/>
                      <w:szCs w:val="21"/>
                    </w:rPr>
                  </w:pPr>
                  <w:r>
                    <w:rPr>
                      <w:color w:val="auto"/>
                      <w:kern w:val="0"/>
                      <w:szCs w:val="21"/>
                    </w:rPr>
                    <w:t>坐标</w:t>
                  </w:r>
                </w:p>
              </w:tc>
              <w:tc>
                <w:tcPr>
                  <w:tcW w:w="1069" w:type="pct"/>
                  <w:vMerge w:val="restart"/>
                  <w:vAlign w:val="center"/>
                </w:tcPr>
                <w:p>
                  <w:pPr>
                    <w:jc w:val="center"/>
                    <w:rPr>
                      <w:color w:val="auto"/>
                      <w:kern w:val="0"/>
                      <w:szCs w:val="21"/>
                    </w:rPr>
                  </w:pPr>
                  <w:r>
                    <w:rPr>
                      <w:color w:val="auto"/>
                      <w:kern w:val="0"/>
                      <w:szCs w:val="21"/>
                    </w:rPr>
                    <w:t>保护内容</w:t>
                  </w:r>
                </w:p>
              </w:tc>
              <w:tc>
                <w:tcPr>
                  <w:tcW w:w="1428" w:type="pct"/>
                  <w:vMerge w:val="restart"/>
                  <w:vAlign w:val="center"/>
                </w:tcPr>
                <w:p>
                  <w:pPr>
                    <w:jc w:val="center"/>
                    <w:rPr>
                      <w:color w:val="auto"/>
                      <w:kern w:val="0"/>
                      <w:szCs w:val="21"/>
                    </w:rPr>
                  </w:pPr>
                  <w:r>
                    <w:rPr>
                      <w:color w:val="auto"/>
                      <w:kern w:val="0"/>
                      <w:szCs w:val="21"/>
                    </w:rPr>
                    <w:t>环境功能区</w:t>
                  </w:r>
                </w:p>
              </w:tc>
              <w:tc>
                <w:tcPr>
                  <w:tcW w:w="616" w:type="pct"/>
                  <w:vMerge w:val="restart"/>
                  <w:vAlign w:val="center"/>
                </w:tcPr>
                <w:p>
                  <w:pPr>
                    <w:jc w:val="center"/>
                    <w:rPr>
                      <w:color w:val="auto"/>
                      <w:kern w:val="0"/>
                      <w:szCs w:val="21"/>
                    </w:rPr>
                  </w:pPr>
                  <w:r>
                    <w:rPr>
                      <w:color w:val="auto"/>
                      <w:kern w:val="0"/>
                      <w:szCs w:val="21"/>
                    </w:rPr>
                    <w:t>相对场址方位</w:t>
                  </w:r>
                </w:p>
              </w:tc>
              <w:tc>
                <w:tcPr>
                  <w:tcW w:w="455" w:type="pct"/>
                  <w:vMerge w:val="restart"/>
                  <w:vAlign w:val="center"/>
                </w:tcPr>
                <w:p>
                  <w:pPr>
                    <w:jc w:val="center"/>
                    <w:rPr>
                      <w:color w:val="auto"/>
                      <w:kern w:val="0"/>
                      <w:szCs w:val="21"/>
                    </w:rPr>
                  </w:pPr>
                  <w:r>
                    <w:rPr>
                      <w:color w:val="auto"/>
                      <w:kern w:val="0"/>
                      <w:szCs w:val="21"/>
                    </w:rPr>
                    <w:t>相对场址距离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6" w:type="pct"/>
                  <w:vMerge w:val="continue"/>
                  <w:vAlign w:val="center"/>
                </w:tcPr>
                <w:p>
                  <w:pPr>
                    <w:widowControl/>
                    <w:jc w:val="center"/>
                    <w:rPr>
                      <w:color w:val="auto"/>
                      <w:kern w:val="0"/>
                      <w:szCs w:val="21"/>
                    </w:rPr>
                  </w:pPr>
                </w:p>
              </w:tc>
              <w:tc>
                <w:tcPr>
                  <w:tcW w:w="356" w:type="pct"/>
                  <w:vAlign w:val="center"/>
                </w:tcPr>
                <w:p>
                  <w:pPr>
                    <w:widowControl/>
                    <w:jc w:val="center"/>
                    <w:rPr>
                      <w:color w:val="auto"/>
                      <w:kern w:val="0"/>
                      <w:szCs w:val="21"/>
                    </w:rPr>
                  </w:pPr>
                  <w:r>
                    <w:rPr>
                      <w:color w:val="auto"/>
                      <w:kern w:val="0"/>
                      <w:szCs w:val="21"/>
                    </w:rPr>
                    <w:t>x</w:t>
                  </w:r>
                </w:p>
              </w:tc>
              <w:tc>
                <w:tcPr>
                  <w:tcW w:w="446" w:type="pct"/>
                  <w:vAlign w:val="center"/>
                </w:tcPr>
                <w:p>
                  <w:pPr>
                    <w:widowControl/>
                    <w:jc w:val="center"/>
                    <w:rPr>
                      <w:color w:val="auto"/>
                      <w:kern w:val="0"/>
                      <w:szCs w:val="21"/>
                    </w:rPr>
                  </w:pPr>
                  <w:r>
                    <w:rPr>
                      <w:color w:val="auto"/>
                      <w:kern w:val="0"/>
                      <w:szCs w:val="21"/>
                    </w:rPr>
                    <w:t>y</w:t>
                  </w:r>
                </w:p>
              </w:tc>
              <w:tc>
                <w:tcPr>
                  <w:tcW w:w="1069" w:type="pct"/>
                  <w:vMerge w:val="continue"/>
                  <w:vAlign w:val="center"/>
                </w:tcPr>
                <w:p>
                  <w:pPr>
                    <w:widowControl/>
                    <w:jc w:val="center"/>
                    <w:rPr>
                      <w:color w:val="auto"/>
                      <w:kern w:val="0"/>
                      <w:szCs w:val="21"/>
                    </w:rPr>
                  </w:pPr>
                </w:p>
              </w:tc>
              <w:tc>
                <w:tcPr>
                  <w:tcW w:w="1428" w:type="pct"/>
                  <w:vMerge w:val="continue"/>
                  <w:vAlign w:val="center"/>
                </w:tcPr>
                <w:p>
                  <w:pPr>
                    <w:widowControl/>
                    <w:jc w:val="center"/>
                    <w:rPr>
                      <w:color w:val="auto"/>
                      <w:kern w:val="0"/>
                      <w:szCs w:val="21"/>
                    </w:rPr>
                  </w:pPr>
                </w:p>
              </w:tc>
              <w:tc>
                <w:tcPr>
                  <w:tcW w:w="616" w:type="pct"/>
                  <w:vMerge w:val="continue"/>
                  <w:vAlign w:val="center"/>
                </w:tcPr>
                <w:p>
                  <w:pPr>
                    <w:widowControl/>
                    <w:jc w:val="center"/>
                    <w:rPr>
                      <w:color w:val="auto"/>
                      <w:kern w:val="0"/>
                      <w:szCs w:val="21"/>
                    </w:rPr>
                  </w:pPr>
                </w:p>
              </w:tc>
              <w:tc>
                <w:tcPr>
                  <w:tcW w:w="455" w:type="pct"/>
                  <w:vMerge w:val="continue"/>
                  <w:vAlign w:val="center"/>
                </w:tcPr>
                <w:p>
                  <w:pPr>
                    <w:widowControl/>
                    <w:jc w:val="center"/>
                    <w:rPr>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6" w:type="pct"/>
                  <w:vAlign w:val="center"/>
                </w:tcPr>
                <w:p>
                  <w:pPr>
                    <w:widowControl/>
                    <w:jc w:val="center"/>
                    <w:rPr>
                      <w:color w:val="auto"/>
                      <w:kern w:val="0"/>
                      <w:szCs w:val="21"/>
                    </w:rPr>
                  </w:pPr>
                  <w:r>
                    <w:rPr>
                      <w:color w:val="auto"/>
                      <w:kern w:val="0"/>
                      <w:szCs w:val="21"/>
                    </w:rPr>
                    <w:t>姚家村</w:t>
                  </w:r>
                </w:p>
              </w:tc>
              <w:tc>
                <w:tcPr>
                  <w:tcW w:w="356" w:type="pct"/>
                  <w:vAlign w:val="center"/>
                </w:tcPr>
                <w:p>
                  <w:pPr>
                    <w:widowControl/>
                    <w:jc w:val="center"/>
                    <w:rPr>
                      <w:color w:val="auto"/>
                      <w:kern w:val="0"/>
                      <w:szCs w:val="21"/>
                    </w:rPr>
                  </w:pPr>
                  <w:r>
                    <w:rPr>
                      <w:rFonts w:hint="eastAsia"/>
                      <w:color w:val="auto"/>
                      <w:kern w:val="0"/>
                      <w:szCs w:val="21"/>
                    </w:rPr>
                    <w:t>-3</w:t>
                  </w:r>
                </w:p>
              </w:tc>
              <w:tc>
                <w:tcPr>
                  <w:tcW w:w="446" w:type="pct"/>
                  <w:vAlign w:val="center"/>
                </w:tcPr>
                <w:p>
                  <w:pPr>
                    <w:widowControl/>
                    <w:jc w:val="center"/>
                    <w:rPr>
                      <w:color w:val="auto"/>
                      <w:kern w:val="0"/>
                      <w:szCs w:val="21"/>
                    </w:rPr>
                  </w:pPr>
                  <w:r>
                    <w:rPr>
                      <w:rFonts w:hint="eastAsia"/>
                      <w:color w:val="auto"/>
                      <w:kern w:val="0"/>
                      <w:szCs w:val="21"/>
                    </w:rPr>
                    <w:t>0</w:t>
                  </w:r>
                </w:p>
              </w:tc>
              <w:tc>
                <w:tcPr>
                  <w:tcW w:w="1069" w:type="pct"/>
                  <w:vMerge w:val="restart"/>
                  <w:vAlign w:val="center"/>
                </w:tcPr>
                <w:p>
                  <w:pPr>
                    <w:jc w:val="center"/>
                    <w:rPr>
                      <w:color w:val="auto"/>
                      <w:kern w:val="0"/>
                      <w:szCs w:val="21"/>
                    </w:rPr>
                  </w:pPr>
                  <w:r>
                    <w:rPr>
                      <w:color w:val="auto"/>
                      <w:kern w:val="0"/>
                      <w:szCs w:val="21"/>
                    </w:rPr>
                    <w:t>人群环境、</w:t>
                  </w:r>
                  <w:r>
                    <w:rPr>
                      <w:rFonts w:hint="eastAsia"/>
                      <w:color w:val="auto"/>
                      <w:kern w:val="0"/>
                      <w:szCs w:val="21"/>
                    </w:rPr>
                    <w:t>声环境</w:t>
                  </w:r>
                </w:p>
              </w:tc>
              <w:tc>
                <w:tcPr>
                  <w:tcW w:w="1428" w:type="pct"/>
                  <w:vMerge w:val="restart"/>
                  <w:vAlign w:val="center"/>
                </w:tcPr>
                <w:p>
                  <w:pPr>
                    <w:widowControl/>
                    <w:jc w:val="center"/>
                    <w:rPr>
                      <w:color w:val="auto"/>
                      <w:kern w:val="0"/>
                      <w:szCs w:val="21"/>
                    </w:rPr>
                  </w:pPr>
                  <w:r>
                    <w:rPr>
                      <w:color w:val="auto"/>
                      <w:kern w:val="0"/>
                      <w:szCs w:val="21"/>
                    </w:rPr>
                    <w:t>《环境空气质量标准》（</w:t>
                  </w:r>
                  <w:r>
                    <w:rPr>
                      <w:rFonts w:hint="eastAsia"/>
                      <w:color w:val="auto"/>
                      <w:kern w:val="0"/>
                      <w:szCs w:val="21"/>
                    </w:rPr>
                    <w:t>GB3095-2012</w:t>
                  </w:r>
                  <w:r>
                    <w:rPr>
                      <w:color w:val="auto"/>
                      <w:kern w:val="0"/>
                      <w:szCs w:val="21"/>
                    </w:rPr>
                    <w:t>）、《声环境质量标准》（</w:t>
                  </w:r>
                  <w:r>
                    <w:rPr>
                      <w:rFonts w:hint="eastAsia"/>
                      <w:color w:val="auto"/>
                      <w:kern w:val="0"/>
                      <w:szCs w:val="21"/>
                    </w:rPr>
                    <w:t>GB3096-2008</w:t>
                  </w:r>
                  <w:r>
                    <w:rPr>
                      <w:color w:val="auto"/>
                      <w:kern w:val="0"/>
                      <w:szCs w:val="21"/>
                    </w:rPr>
                    <w:t>）</w:t>
                  </w:r>
                  <w:r>
                    <w:rPr>
                      <w:rFonts w:hint="eastAsia"/>
                      <w:color w:val="auto"/>
                      <w:kern w:val="0"/>
                      <w:szCs w:val="21"/>
                    </w:rPr>
                    <w:t>2类区</w:t>
                  </w:r>
                </w:p>
              </w:tc>
              <w:tc>
                <w:tcPr>
                  <w:tcW w:w="616" w:type="pct"/>
                  <w:vAlign w:val="center"/>
                </w:tcPr>
                <w:p>
                  <w:pPr>
                    <w:widowControl/>
                    <w:jc w:val="center"/>
                    <w:rPr>
                      <w:color w:val="auto"/>
                      <w:kern w:val="0"/>
                      <w:szCs w:val="21"/>
                    </w:rPr>
                  </w:pPr>
                  <w:r>
                    <w:rPr>
                      <w:rFonts w:hint="eastAsia"/>
                      <w:color w:val="auto"/>
                      <w:kern w:val="0"/>
                      <w:szCs w:val="21"/>
                    </w:rPr>
                    <w:t>W</w:t>
                  </w:r>
                </w:p>
              </w:tc>
              <w:tc>
                <w:tcPr>
                  <w:tcW w:w="455" w:type="pct"/>
                  <w:vAlign w:val="center"/>
                </w:tcPr>
                <w:p>
                  <w:pPr>
                    <w:widowControl/>
                    <w:jc w:val="center"/>
                    <w:rPr>
                      <w:color w:val="auto"/>
                      <w:kern w:val="0"/>
                      <w:szCs w:val="21"/>
                    </w:rPr>
                  </w:pPr>
                  <w:r>
                    <w:rPr>
                      <w:rFonts w:hint="eastAsia"/>
                      <w:color w:val="auto"/>
                      <w:kern w:val="0"/>
                      <w:szCs w:val="21"/>
                    </w:rPr>
                    <w:t>3m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6" w:type="pct"/>
                  <w:vAlign w:val="center"/>
                </w:tcPr>
                <w:p>
                  <w:pPr>
                    <w:widowControl/>
                    <w:jc w:val="center"/>
                    <w:rPr>
                      <w:color w:val="auto"/>
                      <w:kern w:val="0"/>
                      <w:szCs w:val="21"/>
                    </w:rPr>
                  </w:pPr>
                  <w:r>
                    <w:rPr>
                      <w:color w:val="auto"/>
                      <w:kern w:val="0"/>
                      <w:szCs w:val="21"/>
                    </w:rPr>
                    <w:t>黄家村</w:t>
                  </w:r>
                </w:p>
              </w:tc>
              <w:tc>
                <w:tcPr>
                  <w:tcW w:w="356" w:type="pct"/>
                  <w:vAlign w:val="center"/>
                </w:tcPr>
                <w:p>
                  <w:pPr>
                    <w:widowControl/>
                    <w:jc w:val="center"/>
                    <w:rPr>
                      <w:color w:val="auto"/>
                      <w:kern w:val="0"/>
                      <w:szCs w:val="21"/>
                    </w:rPr>
                  </w:pPr>
                  <w:r>
                    <w:rPr>
                      <w:rFonts w:hint="eastAsia"/>
                      <w:color w:val="auto"/>
                      <w:kern w:val="0"/>
                      <w:szCs w:val="21"/>
                    </w:rPr>
                    <w:t>33</w:t>
                  </w:r>
                </w:p>
              </w:tc>
              <w:tc>
                <w:tcPr>
                  <w:tcW w:w="446" w:type="pct"/>
                  <w:vAlign w:val="center"/>
                </w:tcPr>
                <w:p>
                  <w:pPr>
                    <w:widowControl/>
                    <w:jc w:val="center"/>
                    <w:rPr>
                      <w:color w:val="auto"/>
                      <w:kern w:val="0"/>
                      <w:szCs w:val="21"/>
                    </w:rPr>
                  </w:pPr>
                  <w:r>
                    <w:rPr>
                      <w:rFonts w:hint="eastAsia"/>
                      <w:color w:val="auto"/>
                      <w:kern w:val="0"/>
                      <w:szCs w:val="21"/>
                    </w:rPr>
                    <w:t>0</w:t>
                  </w:r>
                </w:p>
              </w:tc>
              <w:tc>
                <w:tcPr>
                  <w:tcW w:w="1069" w:type="pct"/>
                  <w:vMerge w:val="continue"/>
                  <w:vAlign w:val="center"/>
                </w:tcPr>
                <w:p>
                  <w:pPr>
                    <w:jc w:val="center"/>
                    <w:rPr>
                      <w:color w:val="auto"/>
                      <w:kern w:val="0"/>
                      <w:szCs w:val="21"/>
                    </w:rPr>
                  </w:pPr>
                </w:p>
              </w:tc>
              <w:tc>
                <w:tcPr>
                  <w:tcW w:w="1428" w:type="pct"/>
                  <w:vMerge w:val="continue"/>
                  <w:vAlign w:val="center"/>
                </w:tcPr>
                <w:p>
                  <w:pPr>
                    <w:widowControl/>
                    <w:jc w:val="center"/>
                    <w:rPr>
                      <w:color w:val="auto"/>
                      <w:kern w:val="0"/>
                      <w:szCs w:val="21"/>
                    </w:rPr>
                  </w:pPr>
                </w:p>
              </w:tc>
              <w:tc>
                <w:tcPr>
                  <w:tcW w:w="616" w:type="pct"/>
                  <w:vAlign w:val="center"/>
                </w:tcPr>
                <w:p>
                  <w:pPr>
                    <w:widowControl/>
                    <w:jc w:val="center"/>
                    <w:rPr>
                      <w:color w:val="auto"/>
                      <w:kern w:val="0"/>
                      <w:szCs w:val="21"/>
                    </w:rPr>
                  </w:pPr>
                  <w:r>
                    <w:rPr>
                      <w:rFonts w:hint="eastAsia"/>
                      <w:color w:val="auto"/>
                      <w:kern w:val="0"/>
                      <w:szCs w:val="21"/>
                    </w:rPr>
                    <w:t>E</w:t>
                  </w:r>
                </w:p>
              </w:tc>
              <w:tc>
                <w:tcPr>
                  <w:tcW w:w="455" w:type="pct"/>
                  <w:vAlign w:val="center"/>
                </w:tcPr>
                <w:p>
                  <w:pPr>
                    <w:widowControl/>
                    <w:jc w:val="center"/>
                    <w:rPr>
                      <w:color w:val="auto"/>
                      <w:kern w:val="0"/>
                      <w:szCs w:val="21"/>
                    </w:rPr>
                  </w:pPr>
                  <w:r>
                    <w:rPr>
                      <w:rFonts w:hint="eastAsia"/>
                      <w:color w:val="auto"/>
                      <w:kern w:val="0"/>
                      <w:szCs w:val="21"/>
                    </w:rPr>
                    <w:t>33m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26" w:type="pct"/>
                  <w:vAlign w:val="center"/>
                </w:tcPr>
                <w:p>
                  <w:pPr>
                    <w:widowControl/>
                    <w:jc w:val="center"/>
                    <w:rPr>
                      <w:color w:val="auto"/>
                      <w:kern w:val="0"/>
                      <w:szCs w:val="21"/>
                    </w:rPr>
                  </w:pPr>
                  <w:r>
                    <w:rPr>
                      <w:color w:val="auto"/>
                      <w:kern w:val="0"/>
                      <w:szCs w:val="21"/>
                    </w:rPr>
                    <w:t>赵家堡</w:t>
                  </w:r>
                </w:p>
              </w:tc>
              <w:tc>
                <w:tcPr>
                  <w:tcW w:w="356" w:type="pct"/>
                  <w:vAlign w:val="center"/>
                </w:tcPr>
                <w:p>
                  <w:pPr>
                    <w:widowControl/>
                    <w:jc w:val="center"/>
                    <w:rPr>
                      <w:color w:val="auto"/>
                      <w:kern w:val="0"/>
                      <w:szCs w:val="21"/>
                    </w:rPr>
                  </w:pPr>
                  <w:r>
                    <w:rPr>
                      <w:rFonts w:hint="eastAsia"/>
                      <w:color w:val="auto"/>
                      <w:kern w:val="0"/>
                      <w:szCs w:val="21"/>
                    </w:rPr>
                    <w:t>0</w:t>
                  </w:r>
                </w:p>
              </w:tc>
              <w:tc>
                <w:tcPr>
                  <w:tcW w:w="446" w:type="pct"/>
                  <w:vAlign w:val="center"/>
                </w:tcPr>
                <w:p>
                  <w:pPr>
                    <w:widowControl/>
                    <w:jc w:val="center"/>
                    <w:rPr>
                      <w:color w:val="auto"/>
                      <w:kern w:val="0"/>
                      <w:szCs w:val="21"/>
                    </w:rPr>
                  </w:pPr>
                  <w:r>
                    <w:rPr>
                      <w:rFonts w:hint="eastAsia"/>
                      <w:color w:val="auto"/>
                      <w:kern w:val="0"/>
                      <w:szCs w:val="21"/>
                    </w:rPr>
                    <w:t>-23</w:t>
                  </w:r>
                </w:p>
              </w:tc>
              <w:tc>
                <w:tcPr>
                  <w:tcW w:w="1069" w:type="pct"/>
                  <w:vMerge w:val="continue"/>
                  <w:vAlign w:val="center"/>
                </w:tcPr>
                <w:p>
                  <w:pPr>
                    <w:jc w:val="center"/>
                    <w:rPr>
                      <w:color w:val="auto"/>
                      <w:kern w:val="0"/>
                      <w:szCs w:val="21"/>
                    </w:rPr>
                  </w:pPr>
                </w:p>
              </w:tc>
              <w:tc>
                <w:tcPr>
                  <w:tcW w:w="1428" w:type="pct"/>
                  <w:vMerge w:val="continue"/>
                  <w:vAlign w:val="center"/>
                </w:tcPr>
                <w:p>
                  <w:pPr>
                    <w:widowControl/>
                    <w:jc w:val="center"/>
                    <w:rPr>
                      <w:color w:val="auto"/>
                      <w:kern w:val="0"/>
                      <w:szCs w:val="21"/>
                    </w:rPr>
                  </w:pPr>
                </w:p>
              </w:tc>
              <w:tc>
                <w:tcPr>
                  <w:tcW w:w="616" w:type="pct"/>
                  <w:vAlign w:val="center"/>
                </w:tcPr>
                <w:p>
                  <w:pPr>
                    <w:widowControl/>
                    <w:jc w:val="center"/>
                    <w:rPr>
                      <w:color w:val="auto"/>
                      <w:kern w:val="0"/>
                      <w:szCs w:val="21"/>
                    </w:rPr>
                  </w:pPr>
                  <w:r>
                    <w:rPr>
                      <w:rFonts w:hint="eastAsia"/>
                      <w:color w:val="auto"/>
                      <w:kern w:val="0"/>
                      <w:szCs w:val="21"/>
                    </w:rPr>
                    <w:t>S</w:t>
                  </w:r>
                </w:p>
              </w:tc>
              <w:tc>
                <w:tcPr>
                  <w:tcW w:w="455" w:type="pct"/>
                  <w:vAlign w:val="center"/>
                </w:tcPr>
                <w:p>
                  <w:pPr>
                    <w:widowControl/>
                    <w:jc w:val="center"/>
                    <w:rPr>
                      <w:color w:val="auto"/>
                      <w:kern w:val="0"/>
                      <w:szCs w:val="21"/>
                    </w:rPr>
                  </w:pPr>
                  <w:r>
                    <w:rPr>
                      <w:rFonts w:hint="eastAsia"/>
                      <w:color w:val="auto"/>
                      <w:kern w:val="0"/>
                      <w:szCs w:val="21"/>
                    </w:rPr>
                    <w:t>23m</w:t>
                  </w:r>
                </w:p>
              </w:tc>
            </w:tr>
          </w:tbl>
          <w:p>
            <w:pPr>
              <w:adjustRightInd w:val="0"/>
              <w:snapToGrid w:val="0"/>
              <w:jc w:val="left"/>
              <w:rPr>
                <w:rFonts w:ascii="宋体" w:hAnsi="宋体" w:cs="宋体"/>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800" w:type="dxa"/>
            <w:tcMar>
              <w:left w:w="28" w:type="dxa"/>
              <w:right w:w="28" w:type="dxa"/>
            </w:tcMar>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污染</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物排</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放控</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制标</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准</w:t>
            </w:r>
          </w:p>
        </w:tc>
        <w:tc>
          <w:tcPr>
            <w:tcW w:w="8190" w:type="dxa"/>
            <w:vAlign w:val="center"/>
          </w:tcPr>
          <w:p>
            <w:pPr>
              <w:snapToGrid w:val="0"/>
              <w:spacing w:line="360" w:lineRule="auto"/>
              <w:ind w:firstLine="480" w:firstLineChars="200"/>
              <w:rPr>
                <w:color w:val="auto"/>
                <w:sz w:val="24"/>
                <w:szCs w:val="20"/>
                <w:highlight w:val="none"/>
              </w:rPr>
            </w:pPr>
            <w:r>
              <w:rPr>
                <w:color w:val="auto"/>
                <w:sz w:val="24"/>
                <w:szCs w:val="20"/>
                <w:highlight w:val="none"/>
              </w:rPr>
              <w:t>1、</w:t>
            </w:r>
            <w:r>
              <w:rPr>
                <w:rFonts w:hint="eastAsia"/>
                <w:color w:val="auto"/>
                <w:sz w:val="24"/>
                <w:szCs w:val="20"/>
                <w:highlight w:val="none"/>
              </w:rPr>
              <w:t>废气：</w:t>
            </w:r>
            <w:r>
              <w:rPr>
                <w:color w:val="auto"/>
                <w:sz w:val="24"/>
                <w:szCs w:val="20"/>
                <w:highlight w:val="none"/>
              </w:rPr>
              <w:t>施工期</w:t>
            </w:r>
            <w:r>
              <w:rPr>
                <w:rFonts w:hint="eastAsia"/>
                <w:color w:val="auto"/>
                <w:sz w:val="24"/>
                <w:szCs w:val="20"/>
                <w:highlight w:val="none"/>
              </w:rPr>
              <w:t>厂</w:t>
            </w:r>
            <w:r>
              <w:rPr>
                <w:color w:val="auto"/>
                <w:sz w:val="24"/>
                <w:szCs w:val="20"/>
                <w:highlight w:val="none"/>
              </w:rPr>
              <w:t>界扬尘执行《施工厂界扬尘排放限值》（DB61/1078-2017）</w:t>
            </w:r>
            <w:r>
              <w:rPr>
                <w:rFonts w:hint="eastAsia"/>
                <w:color w:val="auto"/>
                <w:sz w:val="24"/>
                <w:szCs w:val="20"/>
                <w:highlight w:val="none"/>
              </w:rPr>
              <w:t>中相关规定；</w:t>
            </w:r>
            <w:r>
              <w:rPr>
                <w:bCs/>
                <w:color w:val="auto"/>
                <w:sz w:val="24"/>
                <w:highlight w:val="none"/>
              </w:rPr>
              <w:t>运营期颗粒物</w:t>
            </w:r>
            <w:r>
              <w:rPr>
                <w:bCs/>
                <w:color w:val="auto"/>
                <w:sz w:val="24"/>
                <w:highlight w:val="none"/>
                <w:lang w:val="en-GB"/>
              </w:rPr>
              <w:t>排放执行</w:t>
            </w:r>
            <w:bookmarkStart w:id="1" w:name="_Hlk523325561"/>
            <w:r>
              <w:rPr>
                <w:bCs/>
                <w:color w:val="auto"/>
                <w:sz w:val="24"/>
                <w:highlight w:val="none"/>
                <w:lang w:val="en-GB"/>
              </w:rPr>
              <w:t>《大气污染物综合排放标准》（GB16297-1996）表2中二级及无组织排放标准</w:t>
            </w:r>
            <w:bookmarkEnd w:id="1"/>
            <w:r>
              <w:rPr>
                <w:color w:val="auto"/>
                <w:sz w:val="24"/>
                <w:highlight w:val="none"/>
              </w:rPr>
              <w:t>。</w:t>
            </w:r>
            <w:r>
              <w:rPr>
                <w:rFonts w:hint="eastAsia"/>
                <w:color w:val="auto"/>
                <w:sz w:val="24"/>
                <w:highlight w:val="none"/>
              </w:rPr>
              <w:t>具体数值详</w:t>
            </w:r>
            <w:r>
              <w:rPr>
                <w:rFonts w:hint="eastAsia"/>
                <w:color w:val="auto"/>
                <w:sz w:val="24"/>
                <w:szCs w:val="20"/>
                <w:highlight w:val="none"/>
              </w:rPr>
              <w:t>见下表。</w:t>
            </w:r>
          </w:p>
          <w:p>
            <w:pPr>
              <w:jc w:val="center"/>
              <w:rPr>
                <w:b/>
                <w:color w:val="auto"/>
                <w:sz w:val="24"/>
              </w:rPr>
            </w:pPr>
            <w:r>
              <w:rPr>
                <w:b/>
                <w:color w:val="auto"/>
                <w:sz w:val="24"/>
              </w:rPr>
              <w:t>表</w:t>
            </w:r>
            <w:r>
              <w:rPr>
                <w:rFonts w:hint="eastAsia"/>
                <w:b/>
                <w:color w:val="auto"/>
                <w:sz w:val="24"/>
              </w:rPr>
              <w:t>3-5   大气污染物排放浓度执行标准</w:t>
            </w:r>
          </w:p>
          <w:tbl>
            <w:tblPr>
              <w:tblStyle w:val="18"/>
              <w:tblW w:w="7944" w:type="dxa"/>
              <w:tblInd w:w="1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13"/>
              <w:gridCol w:w="1609"/>
              <w:gridCol w:w="1470"/>
              <w:gridCol w:w="2349"/>
              <w:gridCol w:w="15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013" w:type="dxa"/>
                  <w:vAlign w:val="center"/>
                </w:tcPr>
                <w:p>
                  <w:pPr>
                    <w:jc w:val="center"/>
                    <w:rPr>
                      <w:bCs/>
                      <w:color w:val="auto"/>
                      <w:szCs w:val="21"/>
                      <w:lang w:val="en-GB"/>
                    </w:rPr>
                  </w:pPr>
                  <w:r>
                    <w:rPr>
                      <w:bCs/>
                      <w:color w:val="auto"/>
                      <w:szCs w:val="21"/>
                      <w:lang w:val="en-GB"/>
                    </w:rPr>
                    <w:t>污染物项目</w:t>
                  </w:r>
                </w:p>
              </w:tc>
              <w:tc>
                <w:tcPr>
                  <w:tcW w:w="1609" w:type="dxa"/>
                  <w:vAlign w:val="center"/>
                </w:tcPr>
                <w:p>
                  <w:pPr>
                    <w:jc w:val="center"/>
                    <w:rPr>
                      <w:bCs/>
                      <w:color w:val="auto"/>
                      <w:szCs w:val="21"/>
                      <w:lang w:val="en-GB"/>
                    </w:rPr>
                  </w:pPr>
                  <w:r>
                    <w:rPr>
                      <w:bCs/>
                      <w:color w:val="auto"/>
                      <w:szCs w:val="21"/>
                      <w:lang w:val="en-GB"/>
                    </w:rPr>
                    <w:t>最高允许排放浓度</w:t>
                  </w:r>
                </w:p>
              </w:tc>
              <w:tc>
                <w:tcPr>
                  <w:tcW w:w="1470" w:type="dxa"/>
                  <w:vAlign w:val="center"/>
                </w:tcPr>
                <w:p>
                  <w:pPr>
                    <w:spacing w:line="360" w:lineRule="auto"/>
                    <w:jc w:val="center"/>
                    <w:rPr>
                      <w:bCs/>
                      <w:color w:val="auto"/>
                      <w:szCs w:val="21"/>
                      <w:lang w:val="en-GB"/>
                    </w:rPr>
                  </w:pPr>
                  <w:r>
                    <w:rPr>
                      <w:bCs/>
                      <w:color w:val="auto"/>
                      <w:szCs w:val="21"/>
                      <w:lang w:val="en-GB"/>
                    </w:rPr>
                    <w:t>排气筒高度</w:t>
                  </w:r>
                </w:p>
              </w:tc>
              <w:tc>
                <w:tcPr>
                  <w:tcW w:w="2349" w:type="dxa"/>
                  <w:vAlign w:val="center"/>
                </w:tcPr>
                <w:p>
                  <w:pPr>
                    <w:spacing w:line="360" w:lineRule="auto"/>
                    <w:jc w:val="center"/>
                    <w:rPr>
                      <w:bCs/>
                      <w:color w:val="auto"/>
                      <w:szCs w:val="21"/>
                      <w:lang w:val="en-GB"/>
                    </w:rPr>
                  </w:pPr>
                  <w:r>
                    <w:rPr>
                      <w:bCs/>
                      <w:color w:val="auto"/>
                      <w:szCs w:val="21"/>
                      <w:lang w:val="en-GB"/>
                    </w:rPr>
                    <w:t>最高允许排放速率</w:t>
                  </w:r>
                </w:p>
              </w:tc>
              <w:tc>
                <w:tcPr>
                  <w:tcW w:w="1503" w:type="dxa"/>
                  <w:vAlign w:val="center"/>
                </w:tcPr>
                <w:p>
                  <w:pPr>
                    <w:jc w:val="center"/>
                    <w:rPr>
                      <w:bCs/>
                      <w:color w:val="auto"/>
                      <w:szCs w:val="21"/>
                      <w:lang w:val="en-GB"/>
                    </w:rPr>
                  </w:pPr>
                  <w:r>
                    <w:rPr>
                      <w:bCs/>
                      <w:color w:val="auto"/>
                      <w:szCs w:val="21"/>
                      <w:lang w:val="en-GB"/>
                    </w:rPr>
                    <w:t>无组织排放监测浓度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1013" w:type="dxa"/>
                  <w:vMerge w:val="restart"/>
                  <w:vAlign w:val="center"/>
                </w:tcPr>
                <w:p>
                  <w:pPr>
                    <w:spacing w:line="360" w:lineRule="auto"/>
                    <w:jc w:val="center"/>
                    <w:rPr>
                      <w:bCs/>
                      <w:color w:val="auto"/>
                      <w:szCs w:val="21"/>
                      <w:lang w:val="en-GB"/>
                    </w:rPr>
                  </w:pPr>
                  <w:r>
                    <w:rPr>
                      <w:bCs/>
                      <w:color w:val="auto"/>
                      <w:szCs w:val="21"/>
                      <w:lang w:val="en-GB"/>
                    </w:rPr>
                    <w:t>颗粒物</w:t>
                  </w:r>
                </w:p>
              </w:tc>
              <w:tc>
                <w:tcPr>
                  <w:tcW w:w="1609" w:type="dxa"/>
                  <w:vMerge w:val="restart"/>
                  <w:vAlign w:val="center"/>
                </w:tcPr>
                <w:p>
                  <w:pPr>
                    <w:spacing w:line="360" w:lineRule="auto"/>
                    <w:jc w:val="center"/>
                    <w:rPr>
                      <w:bCs/>
                      <w:color w:val="auto"/>
                      <w:szCs w:val="21"/>
                      <w:lang w:val="en-GB"/>
                    </w:rPr>
                  </w:pPr>
                  <w:r>
                    <w:rPr>
                      <w:bCs/>
                      <w:color w:val="auto"/>
                      <w:szCs w:val="21"/>
                      <w:lang w:val="en-GB"/>
                    </w:rPr>
                    <w:t>120mg/m</w:t>
                  </w:r>
                  <w:r>
                    <w:rPr>
                      <w:bCs/>
                      <w:color w:val="auto"/>
                      <w:szCs w:val="21"/>
                      <w:vertAlign w:val="superscript"/>
                      <w:lang w:val="en-GB"/>
                    </w:rPr>
                    <w:t>3</w:t>
                  </w:r>
                </w:p>
              </w:tc>
              <w:tc>
                <w:tcPr>
                  <w:tcW w:w="1470" w:type="dxa"/>
                  <w:vAlign w:val="center"/>
                </w:tcPr>
                <w:p>
                  <w:pPr>
                    <w:spacing w:line="360" w:lineRule="auto"/>
                    <w:jc w:val="center"/>
                    <w:rPr>
                      <w:bCs/>
                      <w:color w:val="auto"/>
                      <w:szCs w:val="21"/>
                      <w:lang w:val="en-GB"/>
                    </w:rPr>
                  </w:pPr>
                  <w:r>
                    <w:rPr>
                      <w:rFonts w:hint="eastAsia"/>
                      <w:bCs/>
                      <w:color w:val="auto"/>
                      <w:szCs w:val="21"/>
                      <w:lang w:val="en-GB"/>
                    </w:rPr>
                    <w:t>19</w:t>
                  </w:r>
                  <w:r>
                    <w:rPr>
                      <w:bCs/>
                      <w:color w:val="auto"/>
                      <w:szCs w:val="21"/>
                      <w:lang w:val="en-GB"/>
                    </w:rPr>
                    <w:t>m</w:t>
                  </w:r>
                </w:p>
              </w:tc>
              <w:tc>
                <w:tcPr>
                  <w:tcW w:w="2349" w:type="dxa"/>
                  <w:vAlign w:val="center"/>
                </w:tcPr>
                <w:p>
                  <w:pPr>
                    <w:spacing w:line="360" w:lineRule="auto"/>
                    <w:jc w:val="center"/>
                    <w:rPr>
                      <w:bCs/>
                      <w:color w:val="auto"/>
                      <w:szCs w:val="21"/>
                      <w:lang w:val="en-GB"/>
                    </w:rPr>
                  </w:pPr>
                  <w:r>
                    <w:rPr>
                      <w:rFonts w:hint="eastAsia"/>
                      <w:bCs/>
                      <w:color w:val="auto"/>
                      <w:szCs w:val="21"/>
                    </w:rPr>
                    <w:t>5.42</w:t>
                  </w:r>
                  <w:r>
                    <w:rPr>
                      <w:bCs/>
                      <w:color w:val="auto"/>
                      <w:szCs w:val="21"/>
                      <w:lang w:val="en-GB"/>
                    </w:rPr>
                    <w:t>kg/h</w:t>
                  </w:r>
                </w:p>
              </w:tc>
              <w:tc>
                <w:tcPr>
                  <w:tcW w:w="1503" w:type="dxa"/>
                  <w:vMerge w:val="restart"/>
                  <w:vAlign w:val="center"/>
                </w:tcPr>
                <w:p>
                  <w:pPr>
                    <w:spacing w:line="360" w:lineRule="auto"/>
                    <w:jc w:val="center"/>
                    <w:rPr>
                      <w:bCs/>
                      <w:color w:val="auto"/>
                      <w:szCs w:val="21"/>
                      <w:lang w:val="en-GB"/>
                    </w:rPr>
                  </w:pPr>
                  <w:r>
                    <w:rPr>
                      <w:bCs/>
                      <w:color w:val="auto"/>
                      <w:szCs w:val="21"/>
                    </w:rPr>
                    <w:t>1</w:t>
                  </w:r>
                  <w:r>
                    <w:rPr>
                      <w:bCs/>
                      <w:color w:val="auto"/>
                      <w:szCs w:val="21"/>
                      <w:lang w:val="en-GB"/>
                    </w:rPr>
                    <w:t>.0mg/m</w:t>
                  </w:r>
                  <w:r>
                    <w:rPr>
                      <w:bCs/>
                      <w:color w:val="auto"/>
                      <w:szCs w:val="21"/>
                      <w:vertAlign w:val="superscript"/>
                      <w:lang w:val="en-GB"/>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atLeast"/>
              </w:trPr>
              <w:tc>
                <w:tcPr>
                  <w:tcW w:w="1013" w:type="dxa"/>
                  <w:vMerge w:val="continue"/>
                  <w:vAlign w:val="center"/>
                </w:tcPr>
                <w:p>
                  <w:pPr>
                    <w:spacing w:line="360" w:lineRule="auto"/>
                    <w:jc w:val="center"/>
                    <w:rPr>
                      <w:bCs/>
                      <w:color w:val="auto"/>
                      <w:szCs w:val="21"/>
                      <w:lang w:val="en-GB"/>
                    </w:rPr>
                  </w:pPr>
                </w:p>
              </w:tc>
              <w:tc>
                <w:tcPr>
                  <w:tcW w:w="1609" w:type="dxa"/>
                  <w:vMerge w:val="continue"/>
                  <w:vAlign w:val="center"/>
                </w:tcPr>
                <w:p>
                  <w:pPr>
                    <w:spacing w:line="360" w:lineRule="auto"/>
                    <w:jc w:val="center"/>
                    <w:rPr>
                      <w:bCs/>
                      <w:color w:val="auto"/>
                      <w:szCs w:val="21"/>
                      <w:lang w:val="en-GB"/>
                    </w:rPr>
                  </w:pPr>
                </w:p>
              </w:tc>
              <w:tc>
                <w:tcPr>
                  <w:tcW w:w="1470" w:type="dxa"/>
                  <w:vAlign w:val="center"/>
                </w:tcPr>
                <w:p>
                  <w:pPr>
                    <w:spacing w:line="360" w:lineRule="auto"/>
                    <w:jc w:val="center"/>
                    <w:rPr>
                      <w:bCs/>
                      <w:color w:val="auto"/>
                      <w:szCs w:val="21"/>
                      <w:lang w:val="en-GB"/>
                    </w:rPr>
                  </w:pPr>
                  <w:r>
                    <w:rPr>
                      <w:rFonts w:hint="eastAsia"/>
                      <w:bCs/>
                      <w:color w:val="auto"/>
                      <w:szCs w:val="21"/>
                      <w:lang w:val="en-GB"/>
                    </w:rPr>
                    <w:t>25</w:t>
                  </w:r>
                  <w:r>
                    <w:rPr>
                      <w:bCs/>
                      <w:color w:val="auto"/>
                      <w:szCs w:val="21"/>
                      <w:lang w:val="en-GB"/>
                    </w:rPr>
                    <w:t>m</w:t>
                  </w:r>
                </w:p>
              </w:tc>
              <w:tc>
                <w:tcPr>
                  <w:tcW w:w="2349" w:type="dxa"/>
                  <w:vAlign w:val="center"/>
                </w:tcPr>
                <w:p>
                  <w:pPr>
                    <w:spacing w:line="360" w:lineRule="auto"/>
                    <w:jc w:val="center"/>
                    <w:rPr>
                      <w:bCs/>
                      <w:color w:val="auto"/>
                      <w:szCs w:val="21"/>
                      <w:lang w:val="en-GB"/>
                    </w:rPr>
                  </w:pPr>
                  <w:r>
                    <w:rPr>
                      <w:rFonts w:hint="eastAsia"/>
                      <w:bCs/>
                      <w:color w:val="auto"/>
                      <w:szCs w:val="21"/>
                    </w:rPr>
                    <w:t>14.45</w:t>
                  </w:r>
                  <w:r>
                    <w:rPr>
                      <w:bCs/>
                      <w:color w:val="auto"/>
                      <w:szCs w:val="21"/>
                      <w:lang w:val="en-GB"/>
                    </w:rPr>
                    <w:t>kg/h</w:t>
                  </w:r>
                </w:p>
              </w:tc>
              <w:tc>
                <w:tcPr>
                  <w:tcW w:w="1503" w:type="dxa"/>
                  <w:vMerge w:val="continue"/>
                  <w:vAlign w:val="center"/>
                </w:tcPr>
                <w:p>
                  <w:pPr>
                    <w:spacing w:line="360" w:lineRule="auto"/>
                    <w:jc w:val="center"/>
                    <w:rPr>
                      <w:bCs/>
                      <w:color w:val="auto"/>
                      <w:szCs w:val="21"/>
                    </w:rPr>
                  </w:pPr>
                </w:p>
              </w:tc>
            </w:tr>
          </w:tbl>
          <w:p>
            <w:pPr>
              <w:spacing w:before="120" w:beforeLines="50" w:line="360" w:lineRule="auto"/>
              <w:ind w:firstLine="480" w:firstLineChars="200"/>
              <w:rPr>
                <w:rFonts w:hAnsi="宋体"/>
                <w:color w:val="auto"/>
                <w:sz w:val="24"/>
                <w:szCs w:val="20"/>
              </w:rPr>
            </w:pPr>
            <w:r>
              <w:rPr>
                <w:color w:val="auto"/>
                <w:sz w:val="24"/>
                <w:szCs w:val="20"/>
              </w:rPr>
              <w:t>2、</w:t>
            </w:r>
            <w:r>
              <w:rPr>
                <w:rFonts w:hint="eastAsia"/>
                <w:color w:val="auto"/>
                <w:sz w:val="24"/>
                <w:szCs w:val="20"/>
              </w:rPr>
              <w:t>本</w:t>
            </w:r>
            <w:r>
              <w:rPr>
                <w:rFonts w:hAnsi="宋体"/>
                <w:color w:val="auto"/>
                <w:sz w:val="24"/>
                <w:szCs w:val="20"/>
              </w:rPr>
              <w:t>项目仅产生少量生活污水。生活污水排入厂区化粪池，之后由市政污水收集管网排入高新区污水处理厂处理。废水排放标准执行高新区污水处理厂协议入厂水质要求；缺项执行《污水综合排放标准》（</w:t>
            </w:r>
            <w:r>
              <w:rPr>
                <w:rFonts w:hint="eastAsia" w:hAnsi="宋体"/>
                <w:color w:val="auto"/>
                <w:sz w:val="24"/>
                <w:szCs w:val="20"/>
              </w:rPr>
              <w:t>GB8978-1996</w:t>
            </w:r>
            <w:r>
              <w:rPr>
                <w:rFonts w:hAnsi="宋体"/>
                <w:color w:val="auto"/>
                <w:sz w:val="24"/>
                <w:szCs w:val="20"/>
              </w:rPr>
              <w:t>）限值要求；具体数值详见下表。</w:t>
            </w:r>
          </w:p>
          <w:p>
            <w:pPr>
              <w:jc w:val="center"/>
              <w:rPr>
                <w:b/>
                <w:color w:val="auto"/>
                <w:sz w:val="24"/>
              </w:rPr>
            </w:pPr>
            <w:r>
              <w:rPr>
                <w:b/>
                <w:color w:val="auto"/>
                <w:sz w:val="24"/>
              </w:rPr>
              <w:t>表</w:t>
            </w:r>
            <w:r>
              <w:rPr>
                <w:rFonts w:hint="eastAsia"/>
                <w:b/>
                <w:color w:val="auto"/>
                <w:sz w:val="24"/>
              </w:rPr>
              <w:t>3-6   废水污染物排放浓度执行标准</w:t>
            </w:r>
          </w:p>
          <w:tbl>
            <w:tblPr>
              <w:tblStyle w:val="18"/>
              <w:tblW w:w="5000" w:type="pct"/>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0" w:type="dxa"/>
                <w:bottom w:w="0" w:type="dxa"/>
                <w:right w:w="0" w:type="dxa"/>
              </w:tblCellMar>
            </w:tblPr>
            <w:tblGrid>
              <w:gridCol w:w="2059"/>
              <w:gridCol w:w="2944"/>
              <w:gridCol w:w="2941"/>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jc w:val="center"/>
              </w:trPr>
              <w:tc>
                <w:tcPr>
                  <w:tcW w:w="1296" w:type="pct"/>
                  <w:tcMar>
                    <w:left w:w="28" w:type="dxa"/>
                    <w:right w:w="28" w:type="dxa"/>
                  </w:tcMar>
                  <w:vAlign w:val="center"/>
                </w:tcPr>
                <w:p>
                  <w:pPr>
                    <w:widowControl/>
                    <w:jc w:val="center"/>
                    <w:rPr>
                      <w:color w:val="auto"/>
                      <w:kern w:val="0"/>
                      <w:szCs w:val="21"/>
                    </w:rPr>
                  </w:pPr>
                  <w:r>
                    <w:rPr>
                      <w:color w:val="auto"/>
                      <w:kern w:val="0"/>
                      <w:szCs w:val="21"/>
                    </w:rPr>
                    <w:t>控制项目名称</w:t>
                  </w:r>
                </w:p>
              </w:tc>
              <w:tc>
                <w:tcPr>
                  <w:tcW w:w="1853" w:type="pct"/>
                  <w:vAlign w:val="center"/>
                </w:tcPr>
                <w:p>
                  <w:pPr>
                    <w:widowControl/>
                    <w:jc w:val="center"/>
                    <w:rPr>
                      <w:color w:val="auto"/>
                      <w:kern w:val="0"/>
                      <w:szCs w:val="21"/>
                    </w:rPr>
                  </w:pPr>
                  <w:r>
                    <w:rPr>
                      <w:color w:val="auto"/>
                      <w:kern w:val="0"/>
                      <w:szCs w:val="21"/>
                    </w:rPr>
                    <w:t>排放限值（mg</w:t>
                  </w:r>
                  <w:r>
                    <w:rPr>
                      <w:rFonts w:hint="eastAsia"/>
                      <w:color w:val="auto"/>
                      <w:kern w:val="0"/>
                      <w:szCs w:val="21"/>
                    </w:rPr>
                    <w:t>/L</w:t>
                  </w:r>
                  <w:r>
                    <w:rPr>
                      <w:color w:val="auto"/>
                      <w:kern w:val="0"/>
                      <w:szCs w:val="21"/>
                    </w:rPr>
                    <w:t>）</w:t>
                  </w:r>
                </w:p>
              </w:tc>
              <w:tc>
                <w:tcPr>
                  <w:tcW w:w="1851" w:type="pct"/>
                  <w:vAlign w:val="center"/>
                </w:tcPr>
                <w:p>
                  <w:pPr>
                    <w:widowControl/>
                    <w:jc w:val="center"/>
                    <w:rPr>
                      <w:color w:val="auto"/>
                      <w:kern w:val="0"/>
                      <w:szCs w:val="21"/>
                    </w:rPr>
                  </w:pPr>
                  <w:r>
                    <w:rPr>
                      <w:color w:val="auto"/>
                      <w:szCs w:val="21"/>
                    </w:rPr>
                    <w:t>依据标准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jc w:val="center"/>
              </w:trPr>
              <w:tc>
                <w:tcPr>
                  <w:tcW w:w="1296" w:type="pct"/>
                  <w:tcMar>
                    <w:left w:w="28" w:type="dxa"/>
                    <w:right w:w="28" w:type="dxa"/>
                  </w:tcMar>
                  <w:vAlign w:val="center"/>
                </w:tcPr>
                <w:p>
                  <w:pPr>
                    <w:widowControl/>
                    <w:jc w:val="center"/>
                    <w:rPr>
                      <w:color w:val="auto"/>
                      <w:kern w:val="0"/>
                      <w:szCs w:val="21"/>
                    </w:rPr>
                  </w:pPr>
                  <w:r>
                    <w:rPr>
                      <w:rFonts w:hint="eastAsia"/>
                      <w:color w:val="auto"/>
                      <w:kern w:val="0"/>
                      <w:szCs w:val="21"/>
                    </w:rPr>
                    <w:t>COD</w:t>
                  </w:r>
                </w:p>
              </w:tc>
              <w:tc>
                <w:tcPr>
                  <w:tcW w:w="1853" w:type="pct"/>
                  <w:vAlign w:val="center"/>
                </w:tcPr>
                <w:p>
                  <w:pPr>
                    <w:widowControl/>
                    <w:jc w:val="center"/>
                    <w:rPr>
                      <w:color w:val="auto"/>
                      <w:kern w:val="0"/>
                      <w:szCs w:val="21"/>
                    </w:rPr>
                  </w:pPr>
                  <w:r>
                    <w:rPr>
                      <w:rFonts w:hint="eastAsia"/>
                      <w:color w:val="auto"/>
                      <w:kern w:val="0"/>
                      <w:szCs w:val="21"/>
                    </w:rPr>
                    <w:t>400</w:t>
                  </w:r>
                </w:p>
              </w:tc>
              <w:tc>
                <w:tcPr>
                  <w:tcW w:w="1852" w:type="pct"/>
                  <w:vMerge w:val="restart"/>
                  <w:vAlign w:val="center"/>
                </w:tcPr>
                <w:p>
                  <w:pPr>
                    <w:widowControl/>
                    <w:jc w:val="center"/>
                    <w:rPr>
                      <w:color w:val="auto"/>
                      <w:kern w:val="0"/>
                      <w:szCs w:val="21"/>
                    </w:rPr>
                  </w:pPr>
                  <w:r>
                    <w:rPr>
                      <w:rFonts w:hint="eastAsia"/>
                      <w:color w:val="auto"/>
                      <w:kern w:val="0"/>
                      <w:szCs w:val="21"/>
                    </w:rPr>
                    <w:t>渭南市高新区污水处理厂入厂水质要求</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jc w:val="center"/>
              </w:trPr>
              <w:tc>
                <w:tcPr>
                  <w:tcW w:w="1296" w:type="pct"/>
                  <w:tcMar>
                    <w:left w:w="28" w:type="dxa"/>
                    <w:right w:w="28" w:type="dxa"/>
                  </w:tcMar>
                  <w:vAlign w:val="center"/>
                </w:tcPr>
                <w:p>
                  <w:pPr>
                    <w:widowControl/>
                    <w:jc w:val="center"/>
                    <w:rPr>
                      <w:color w:val="auto"/>
                      <w:kern w:val="0"/>
                      <w:szCs w:val="21"/>
                    </w:rPr>
                  </w:pPr>
                  <w:r>
                    <w:rPr>
                      <w:rFonts w:hint="eastAsia"/>
                      <w:color w:val="auto"/>
                      <w:kern w:val="0"/>
                      <w:szCs w:val="21"/>
                    </w:rPr>
                    <w:t>BOD</w:t>
                  </w:r>
                  <w:r>
                    <w:rPr>
                      <w:rFonts w:hint="eastAsia"/>
                      <w:color w:val="auto"/>
                      <w:kern w:val="0"/>
                      <w:szCs w:val="21"/>
                      <w:vertAlign w:val="subscript"/>
                    </w:rPr>
                    <w:t>5</w:t>
                  </w:r>
                </w:p>
              </w:tc>
              <w:tc>
                <w:tcPr>
                  <w:tcW w:w="1853" w:type="pct"/>
                  <w:vAlign w:val="center"/>
                </w:tcPr>
                <w:p>
                  <w:pPr>
                    <w:widowControl/>
                    <w:jc w:val="center"/>
                    <w:rPr>
                      <w:color w:val="auto"/>
                      <w:kern w:val="0"/>
                      <w:szCs w:val="21"/>
                    </w:rPr>
                  </w:pPr>
                  <w:r>
                    <w:rPr>
                      <w:rFonts w:hint="eastAsia"/>
                      <w:color w:val="auto"/>
                      <w:kern w:val="0"/>
                      <w:szCs w:val="21"/>
                    </w:rPr>
                    <w:t>200</w:t>
                  </w:r>
                </w:p>
              </w:tc>
              <w:tc>
                <w:tcPr>
                  <w:tcW w:w="1851" w:type="pct"/>
                  <w:vMerge w:val="continue"/>
                  <w:vAlign w:val="center"/>
                </w:tcPr>
                <w:p>
                  <w:pPr>
                    <w:widowControl/>
                    <w:jc w:val="center"/>
                    <w:rPr>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jc w:val="center"/>
              </w:trPr>
              <w:tc>
                <w:tcPr>
                  <w:tcW w:w="1296" w:type="pct"/>
                  <w:tcMar>
                    <w:left w:w="28" w:type="dxa"/>
                    <w:right w:w="28" w:type="dxa"/>
                  </w:tcMar>
                  <w:vAlign w:val="center"/>
                </w:tcPr>
                <w:p>
                  <w:pPr>
                    <w:widowControl/>
                    <w:jc w:val="center"/>
                    <w:rPr>
                      <w:color w:val="auto"/>
                      <w:kern w:val="0"/>
                      <w:szCs w:val="21"/>
                    </w:rPr>
                  </w:pPr>
                  <w:r>
                    <w:rPr>
                      <w:color w:val="auto"/>
                      <w:kern w:val="0"/>
                      <w:szCs w:val="21"/>
                    </w:rPr>
                    <w:t>氨氮</w:t>
                  </w:r>
                </w:p>
              </w:tc>
              <w:tc>
                <w:tcPr>
                  <w:tcW w:w="1853" w:type="pct"/>
                  <w:vAlign w:val="center"/>
                </w:tcPr>
                <w:p>
                  <w:pPr>
                    <w:widowControl/>
                    <w:jc w:val="center"/>
                    <w:rPr>
                      <w:color w:val="auto"/>
                      <w:kern w:val="0"/>
                      <w:szCs w:val="21"/>
                    </w:rPr>
                  </w:pPr>
                  <w:r>
                    <w:rPr>
                      <w:rFonts w:hint="eastAsia"/>
                      <w:color w:val="auto"/>
                      <w:kern w:val="0"/>
                      <w:szCs w:val="21"/>
                    </w:rPr>
                    <w:t>40</w:t>
                  </w:r>
                </w:p>
              </w:tc>
              <w:tc>
                <w:tcPr>
                  <w:tcW w:w="1851" w:type="pct"/>
                  <w:vMerge w:val="continue"/>
                  <w:vAlign w:val="center"/>
                </w:tcPr>
                <w:p>
                  <w:pPr>
                    <w:widowControl/>
                    <w:jc w:val="center"/>
                    <w:rPr>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jc w:val="center"/>
              </w:trPr>
              <w:tc>
                <w:tcPr>
                  <w:tcW w:w="1296" w:type="pct"/>
                  <w:tcMar>
                    <w:left w:w="28" w:type="dxa"/>
                    <w:right w:w="28" w:type="dxa"/>
                  </w:tcMar>
                  <w:vAlign w:val="center"/>
                </w:tcPr>
                <w:p>
                  <w:pPr>
                    <w:widowControl/>
                    <w:jc w:val="center"/>
                    <w:rPr>
                      <w:color w:val="auto"/>
                      <w:kern w:val="0"/>
                      <w:szCs w:val="21"/>
                    </w:rPr>
                  </w:pPr>
                  <w:r>
                    <w:rPr>
                      <w:color w:val="auto"/>
                      <w:kern w:val="0"/>
                      <w:szCs w:val="21"/>
                    </w:rPr>
                    <w:t>悬浮物</w:t>
                  </w:r>
                </w:p>
              </w:tc>
              <w:tc>
                <w:tcPr>
                  <w:tcW w:w="1853" w:type="pct"/>
                  <w:vAlign w:val="center"/>
                </w:tcPr>
                <w:p>
                  <w:pPr>
                    <w:widowControl/>
                    <w:jc w:val="center"/>
                    <w:rPr>
                      <w:color w:val="auto"/>
                      <w:kern w:val="0"/>
                      <w:szCs w:val="21"/>
                    </w:rPr>
                  </w:pPr>
                  <w:r>
                    <w:rPr>
                      <w:rFonts w:hint="eastAsia"/>
                      <w:color w:val="auto"/>
                      <w:kern w:val="0"/>
                      <w:szCs w:val="21"/>
                    </w:rPr>
                    <w:t>300</w:t>
                  </w:r>
                </w:p>
              </w:tc>
              <w:tc>
                <w:tcPr>
                  <w:tcW w:w="1851" w:type="pct"/>
                  <w:vMerge w:val="continue"/>
                  <w:vAlign w:val="center"/>
                </w:tcPr>
                <w:p>
                  <w:pPr>
                    <w:widowControl/>
                    <w:jc w:val="center"/>
                    <w:rPr>
                      <w:color w:val="auto"/>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jc w:val="center"/>
              </w:trPr>
              <w:tc>
                <w:tcPr>
                  <w:tcW w:w="1296" w:type="pct"/>
                  <w:tcMar>
                    <w:left w:w="28" w:type="dxa"/>
                    <w:right w:w="28" w:type="dxa"/>
                  </w:tcMar>
                  <w:vAlign w:val="center"/>
                </w:tcPr>
                <w:p>
                  <w:pPr>
                    <w:widowControl/>
                    <w:jc w:val="center"/>
                    <w:rPr>
                      <w:color w:val="auto"/>
                      <w:kern w:val="0"/>
                      <w:szCs w:val="21"/>
                    </w:rPr>
                  </w:pPr>
                  <w:r>
                    <w:rPr>
                      <w:color w:val="auto"/>
                      <w:kern w:val="0"/>
                      <w:szCs w:val="21"/>
                    </w:rPr>
                    <w:t>动植物油</w:t>
                  </w:r>
                </w:p>
              </w:tc>
              <w:tc>
                <w:tcPr>
                  <w:tcW w:w="1853" w:type="pct"/>
                  <w:vAlign w:val="center"/>
                </w:tcPr>
                <w:p>
                  <w:pPr>
                    <w:widowControl/>
                    <w:jc w:val="center"/>
                    <w:rPr>
                      <w:color w:val="auto"/>
                      <w:kern w:val="0"/>
                      <w:szCs w:val="21"/>
                    </w:rPr>
                  </w:pPr>
                  <w:r>
                    <w:rPr>
                      <w:rFonts w:hint="eastAsia"/>
                      <w:color w:val="auto"/>
                      <w:kern w:val="0"/>
                      <w:szCs w:val="21"/>
                    </w:rPr>
                    <w:t>100</w:t>
                  </w:r>
                </w:p>
              </w:tc>
              <w:tc>
                <w:tcPr>
                  <w:tcW w:w="1851" w:type="pct"/>
                  <w:vAlign w:val="center"/>
                </w:tcPr>
                <w:p>
                  <w:pPr>
                    <w:widowControl/>
                    <w:jc w:val="center"/>
                    <w:rPr>
                      <w:color w:val="auto"/>
                      <w:kern w:val="0"/>
                      <w:szCs w:val="21"/>
                    </w:rPr>
                  </w:pPr>
                  <w:r>
                    <w:rPr>
                      <w:rFonts w:hint="eastAsia"/>
                      <w:color w:val="auto"/>
                      <w:kern w:val="0"/>
                      <w:szCs w:val="21"/>
                    </w:rPr>
                    <w:t>《污水综合排放标准》（GB8978-1996）限值要求</w:t>
                  </w:r>
                </w:p>
              </w:tc>
            </w:tr>
          </w:tbl>
          <w:p>
            <w:pPr>
              <w:spacing w:before="120" w:beforeLines="50" w:line="360" w:lineRule="auto"/>
              <w:ind w:firstLine="480" w:firstLineChars="200"/>
              <w:rPr>
                <w:color w:val="auto"/>
                <w:sz w:val="24"/>
                <w:szCs w:val="20"/>
              </w:rPr>
            </w:pPr>
            <w:r>
              <w:rPr>
                <w:rFonts w:hint="eastAsia"/>
                <w:color w:val="auto"/>
                <w:sz w:val="24"/>
                <w:szCs w:val="20"/>
              </w:rPr>
              <w:t>3</w:t>
            </w:r>
            <w:r>
              <w:rPr>
                <w:color w:val="auto"/>
                <w:sz w:val="24"/>
                <w:szCs w:val="20"/>
              </w:rPr>
              <w:t>、</w:t>
            </w:r>
            <w:r>
              <w:rPr>
                <w:color w:val="auto"/>
                <w:sz w:val="24"/>
              </w:rPr>
              <w:t>运营期</w:t>
            </w:r>
            <w:r>
              <w:rPr>
                <w:rFonts w:hint="eastAsia"/>
                <w:color w:val="auto"/>
                <w:sz w:val="24"/>
              </w:rPr>
              <w:t>厂界</w:t>
            </w:r>
            <w:r>
              <w:rPr>
                <w:color w:val="auto"/>
                <w:sz w:val="24"/>
              </w:rPr>
              <w:t>噪声排放执行《工业企业厂界环境噪声排放标准》（GB12348-2008）</w:t>
            </w:r>
            <w:r>
              <w:rPr>
                <w:rFonts w:hint="eastAsia"/>
                <w:color w:val="auto"/>
                <w:sz w:val="24"/>
              </w:rPr>
              <w:t>2</w:t>
            </w:r>
            <w:r>
              <w:rPr>
                <w:color w:val="auto"/>
                <w:sz w:val="24"/>
              </w:rPr>
              <w:t>类标准，具体数值详见下表</w:t>
            </w:r>
            <w:r>
              <w:rPr>
                <w:rFonts w:hint="eastAsia"/>
                <w:color w:val="auto"/>
                <w:sz w:val="24"/>
                <w:szCs w:val="20"/>
              </w:rPr>
              <w:t>。</w:t>
            </w:r>
          </w:p>
          <w:p>
            <w:pPr>
              <w:spacing w:before="120" w:beforeLines="50" w:line="360" w:lineRule="auto"/>
              <w:ind w:firstLine="480" w:firstLineChars="200"/>
              <w:rPr>
                <w:color w:val="auto"/>
                <w:sz w:val="24"/>
                <w:szCs w:val="20"/>
              </w:rPr>
            </w:pPr>
          </w:p>
          <w:p>
            <w:pPr>
              <w:jc w:val="center"/>
              <w:rPr>
                <w:b/>
                <w:color w:val="auto"/>
                <w:sz w:val="24"/>
              </w:rPr>
            </w:pPr>
            <w:r>
              <w:rPr>
                <w:b/>
                <w:color w:val="auto"/>
                <w:sz w:val="24"/>
              </w:rPr>
              <w:t>表</w:t>
            </w:r>
            <w:r>
              <w:rPr>
                <w:rFonts w:hint="eastAsia"/>
                <w:b/>
                <w:color w:val="auto"/>
                <w:sz w:val="24"/>
              </w:rPr>
              <w:t xml:space="preserve">3-7   工业企业厂区环境噪声排放限值        </w:t>
            </w:r>
            <w:r>
              <w:rPr>
                <w:b/>
                <w:color w:val="auto"/>
                <w:sz w:val="24"/>
              </w:rPr>
              <w:t>（单位：dB（A））</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27"/>
              <w:gridCol w:w="982"/>
              <w:gridCol w:w="1174"/>
              <w:gridCol w:w="1323"/>
              <w:gridCol w:w="1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031" w:type="pct"/>
                  <w:vMerge w:val="restart"/>
                  <w:vAlign w:val="center"/>
                </w:tcPr>
                <w:p>
                  <w:pPr>
                    <w:jc w:val="center"/>
                    <w:rPr>
                      <w:color w:val="auto"/>
                      <w:szCs w:val="21"/>
                    </w:rPr>
                  </w:pPr>
                  <w:r>
                    <w:rPr>
                      <w:color w:val="auto"/>
                      <w:szCs w:val="21"/>
                    </w:rPr>
                    <w:t>执行标准</w:t>
                  </w:r>
                </w:p>
              </w:tc>
              <w:tc>
                <w:tcPr>
                  <w:tcW w:w="618" w:type="pct"/>
                  <w:vMerge w:val="restart"/>
                  <w:vAlign w:val="center"/>
                </w:tcPr>
                <w:p>
                  <w:pPr>
                    <w:jc w:val="center"/>
                    <w:rPr>
                      <w:color w:val="auto"/>
                      <w:szCs w:val="21"/>
                    </w:rPr>
                  </w:pPr>
                  <w:r>
                    <w:rPr>
                      <w:color w:val="auto"/>
                      <w:szCs w:val="21"/>
                    </w:rPr>
                    <w:t>类别</w:t>
                  </w:r>
                </w:p>
              </w:tc>
              <w:tc>
                <w:tcPr>
                  <w:tcW w:w="739" w:type="pct"/>
                  <w:vMerge w:val="restart"/>
                  <w:vAlign w:val="center"/>
                </w:tcPr>
                <w:p>
                  <w:pPr>
                    <w:jc w:val="center"/>
                    <w:rPr>
                      <w:color w:val="auto"/>
                      <w:szCs w:val="21"/>
                    </w:rPr>
                  </w:pPr>
                  <w:r>
                    <w:rPr>
                      <w:color w:val="auto"/>
                      <w:szCs w:val="21"/>
                    </w:rPr>
                    <w:t>单</w:t>
                  </w:r>
                  <w:r>
                    <w:rPr>
                      <w:rFonts w:hint="eastAsia"/>
                      <w:color w:val="auto"/>
                      <w:szCs w:val="21"/>
                    </w:rPr>
                    <w:t>位</w:t>
                  </w:r>
                </w:p>
              </w:tc>
              <w:tc>
                <w:tcPr>
                  <w:tcW w:w="1612" w:type="pct"/>
                  <w:gridSpan w:val="2"/>
                  <w:vAlign w:val="center"/>
                </w:tcPr>
                <w:p>
                  <w:pPr>
                    <w:jc w:val="center"/>
                    <w:rPr>
                      <w:color w:val="auto"/>
                      <w:szCs w:val="21"/>
                    </w:rPr>
                  </w:pPr>
                  <w:r>
                    <w:rPr>
                      <w:color w:val="auto"/>
                      <w:szCs w:val="21"/>
                    </w:rPr>
                    <w:t>标准限值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031" w:type="pct"/>
                  <w:vMerge w:val="continue"/>
                  <w:vAlign w:val="center"/>
                </w:tcPr>
                <w:p>
                  <w:pPr>
                    <w:widowControl/>
                    <w:jc w:val="left"/>
                    <w:rPr>
                      <w:color w:val="auto"/>
                      <w:szCs w:val="21"/>
                    </w:rPr>
                  </w:pPr>
                </w:p>
              </w:tc>
              <w:tc>
                <w:tcPr>
                  <w:tcW w:w="618" w:type="pct"/>
                  <w:vMerge w:val="continue"/>
                  <w:vAlign w:val="center"/>
                </w:tcPr>
                <w:p>
                  <w:pPr>
                    <w:widowControl/>
                    <w:jc w:val="left"/>
                    <w:rPr>
                      <w:color w:val="auto"/>
                      <w:szCs w:val="21"/>
                    </w:rPr>
                  </w:pPr>
                </w:p>
              </w:tc>
              <w:tc>
                <w:tcPr>
                  <w:tcW w:w="739" w:type="pct"/>
                  <w:vMerge w:val="continue"/>
                  <w:vAlign w:val="center"/>
                </w:tcPr>
                <w:p>
                  <w:pPr>
                    <w:widowControl/>
                    <w:jc w:val="left"/>
                    <w:rPr>
                      <w:color w:val="auto"/>
                      <w:szCs w:val="21"/>
                    </w:rPr>
                  </w:pPr>
                </w:p>
              </w:tc>
              <w:tc>
                <w:tcPr>
                  <w:tcW w:w="833" w:type="pct"/>
                  <w:vAlign w:val="center"/>
                </w:tcPr>
                <w:p>
                  <w:pPr>
                    <w:jc w:val="center"/>
                    <w:rPr>
                      <w:color w:val="auto"/>
                      <w:szCs w:val="21"/>
                    </w:rPr>
                  </w:pPr>
                  <w:r>
                    <w:rPr>
                      <w:color w:val="auto"/>
                      <w:szCs w:val="21"/>
                    </w:rPr>
                    <w:t>昼间</w:t>
                  </w:r>
                </w:p>
              </w:tc>
              <w:tc>
                <w:tcPr>
                  <w:tcW w:w="779" w:type="pct"/>
                  <w:vAlign w:val="center"/>
                </w:tcPr>
                <w:p>
                  <w:pPr>
                    <w:jc w:val="center"/>
                    <w:rPr>
                      <w:color w:val="auto"/>
                      <w:szCs w:val="21"/>
                    </w:rPr>
                  </w:pPr>
                  <w:r>
                    <w:rPr>
                      <w:color w:val="auto"/>
                      <w:szCs w:val="21"/>
                    </w:rPr>
                    <w:t>夜</w:t>
                  </w:r>
                  <w:r>
                    <w:rPr>
                      <w:rFonts w:hint="eastAsia"/>
                      <w:color w:val="auto"/>
                      <w:szCs w:val="21"/>
                    </w:rPr>
                    <w:t>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031" w:type="pct"/>
                  <w:vAlign w:val="center"/>
                </w:tcPr>
                <w:p>
                  <w:pPr>
                    <w:jc w:val="center"/>
                    <w:rPr>
                      <w:color w:val="auto"/>
                      <w:szCs w:val="21"/>
                    </w:rPr>
                  </w:pPr>
                  <w:r>
                    <w:rPr>
                      <w:color w:val="auto"/>
                      <w:szCs w:val="21"/>
                    </w:rPr>
                    <w:t>《工业企业厂界环境噪声排放标准》（GB12348-20</w:t>
                  </w:r>
                  <w:r>
                    <w:rPr>
                      <w:rFonts w:hint="eastAsia"/>
                      <w:color w:val="auto"/>
                      <w:szCs w:val="21"/>
                    </w:rPr>
                    <w:t>0</w:t>
                  </w:r>
                  <w:r>
                    <w:rPr>
                      <w:color w:val="auto"/>
                      <w:szCs w:val="21"/>
                    </w:rPr>
                    <w:t>8）</w:t>
                  </w:r>
                </w:p>
              </w:tc>
              <w:tc>
                <w:tcPr>
                  <w:tcW w:w="618" w:type="pct"/>
                  <w:vAlign w:val="center"/>
                </w:tcPr>
                <w:p>
                  <w:pPr>
                    <w:jc w:val="center"/>
                    <w:rPr>
                      <w:color w:val="auto"/>
                      <w:szCs w:val="21"/>
                    </w:rPr>
                  </w:pPr>
                  <w:r>
                    <w:rPr>
                      <w:rFonts w:hint="eastAsia"/>
                      <w:color w:val="auto"/>
                      <w:szCs w:val="21"/>
                    </w:rPr>
                    <w:t>2</w:t>
                  </w:r>
                  <w:r>
                    <w:rPr>
                      <w:color w:val="auto"/>
                      <w:szCs w:val="21"/>
                    </w:rPr>
                    <w:t>类</w:t>
                  </w:r>
                </w:p>
              </w:tc>
              <w:tc>
                <w:tcPr>
                  <w:tcW w:w="739" w:type="pct"/>
                  <w:vAlign w:val="center"/>
                </w:tcPr>
                <w:p>
                  <w:pPr>
                    <w:jc w:val="center"/>
                    <w:rPr>
                      <w:color w:val="auto"/>
                      <w:szCs w:val="21"/>
                    </w:rPr>
                  </w:pPr>
                  <w:r>
                    <w:rPr>
                      <w:color w:val="auto"/>
                      <w:szCs w:val="21"/>
                    </w:rPr>
                    <w:t>dB（A）</w:t>
                  </w:r>
                </w:p>
              </w:tc>
              <w:tc>
                <w:tcPr>
                  <w:tcW w:w="833" w:type="pct"/>
                  <w:vAlign w:val="center"/>
                </w:tcPr>
                <w:p>
                  <w:pPr>
                    <w:jc w:val="center"/>
                    <w:rPr>
                      <w:color w:val="auto"/>
                      <w:szCs w:val="21"/>
                    </w:rPr>
                  </w:pPr>
                  <w:r>
                    <w:rPr>
                      <w:rFonts w:hint="eastAsia"/>
                      <w:color w:val="auto"/>
                      <w:szCs w:val="21"/>
                    </w:rPr>
                    <w:t>60</w:t>
                  </w:r>
                </w:p>
              </w:tc>
              <w:tc>
                <w:tcPr>
                  <w:tcW w:w="779" w:type="pct"/>
                  <w:vAlign w:val="center"/>
                </w:tcPr>
                <w:p>
                  <w:pPr>
                    <w:jc w:val="center"/>
                    <w:rPr>
                      <w:color w:val="auto"/>
                      <w:szCs w:val="21"/>
                    </w:rPr>
                  </w:pPr>
                  <w:r>
                    <w:rPr>
                      <w:rFonts w:hint="eastAsia"/>
                      <w:color w:val="auto"/>
                      <w:szCs w:val="21"/>
                    </w:rPr>
                    <w:t>50</w:t>
                  </w:r>
                </w:p>
              </w:tc>
            </w:tr>
          </w:tbl>
          <w:p>
            <w:pPr>
              <w:spacing w:before="120" w:beforeLines="50" w:line="360" w:lineRule="auto"/>
              <w:ind w:firstLine="480" w:firstLineChars="200"/>
              <w:rPr>
                <w:color w:val="auto"/>
                <w:sz w:val="24"/>
                <w:szCs w:val="20"/>
              </w:rPr>
            </w:pPr>
            <w:r>
              <w:rPr>
                <w:rFonts w:hint="eastAsia"/>
                <w:color w:val="auto"/>
                <w:sz w:val="24"/>
                <w:szCs w:val="20"/>
              </w:rPr>
              <w:t>4</w:t>
            </w:r>
            <w:r>
              <w:rPr>
                <w:color w:val="auto"/>
                <w:sz w:val="24"/>
                <w:szCs w:val="20"/>
              </w:rPr>
              <w:t>、一般固体废物执行</w:t>
            </w:r>
            <w:r>
              <w:rPr>
                <w:rFonts w:hint="eastAsia"/>
                <w:color w:val="auto"/>
                <w:sz w:val="24"/>
                <w:szCs w:val="20"/>
              </w:rPr>
              <w:t>《一般工业固体废物贮存和填埋污染控制标准》（GB18599-2020），危险废物执行《危险废物贮存污染控制标准》（GB18597-2001）及2013年修改单要求</w:t>
            </w:r>
            <w:r>
              <w:rPr>
                <w:color w:val="auto"/>
                <w:sz w:val="24"/>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rFonts w:ascii="宋体" w:hAnsi="宋体" w:cs="宋体"/>
                <w:color w:val="auto"/>
                <w:kern w:val="0"/>
                <w:sz w:val="24"/>
              </w:rPr>
            </w:pPr>
            <w:r>
              <w:rPr>
                <w:rFonts w:hint="eastAsia" w:ascii="宋体" w:hAnsi="宋体" w:cs="宋体"/>
                <w:color w:val="auto"/>
                <w:kern w:val="0"/>
                <w:sz w:val="24"/>
              </w:rPr>
              <w:t>总量</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控制</w:t>
            </w:r>
          </w:p>
          <w:p>
            <w:pPr>
              <w:adjustRightInd w:val="0"/>
              <w:snapToGrid w:val="0"/>
              <w:jc w:val="center"/>
              <w:rPr>
                <w:rFonts w:ascii="宋体" w:hAnsi="宋体" w:cs="宋体"/>
                <w:color w:val="auto"/>
                <w:kern w:val="0"/>
                <w:sz w:val="24"/>
              </w:rPr>
            </w:pPr>
            <w:r>
              <w:rPr>
                <w:rFonts w:hint="eastAsia" w:ascii="宋体" w:hAnsi="宋体" w:cs="宋体"/>
                <w:color w:val="auto"/>
                <w:kern w:val="0"/>
                <w:sz w:val="24"/>
              </w:rPr>
              <w:t>指标</w:t>
            </w:r>
          </w:p>
        </w:tc>
        <w:tc>
          <w:tcPr>
            <w:tcW w:w="8190" w:type="dxa"/>
            <w:vAlign w:val="center"/>
          </w:tcPr>
          <w:p>
            <w:pPr>
              <w:spacing w:line="440" w:lineRule="exact"/>
              <w:ind w:firstLine="480" w:firstLineChars="200"/>
              <w:rPr>
                <w:color w:val="auto"/>
                <w:sz w:val="24"/>
              </w:rPr>
            </w:pPr>
            <w:r>
              <w:rPr>
                <w:color w:val="auto"/>
                <w:sz w:val="24"/>
              </w:rPr>
              <w:t>根据“十四五”期间总量控制要求，“十四五”期间污染物控制指标为</w:t>
            </w:r>
            <w:r>
              <w:rPr>
                <w:rFonts w:hint="eastAsia"/>
                <w:color w:val="auto"/>
                <w:sz w:val="24"/>
              </w:rPr>
              <w:t>VOC</w:t>
            </w:r>
            <w:r>
              <w:rPr>
                <w:rFonts w:hint="eastAsia"/>
                <w:color w:val="auto"/>
                <w:sz w:val="24"/>
                <w:vertAlign w:val="subscript"/>
              </w:rPr>
              <w:t>S</w:t>
            </w:r>
            <w:r>
              <w:rPr>
                <w:rFonts w:hint="eastAsia"/>
                <w:color w:val="auto"/>
                <w:sz w:val="24"/>
              </w:rPr>
              <w:t>、</w:t>
            </w:r>
            <w:r>
              <w:rPr>
                <w:color w:val="auto"/>
                <w:sz w:val="24"/>
              </w:rPr>
              <w:t>NO</w:t>
            </w:r>
            <w:r>
              <w:rPr>
                <w:color w:val="auto"/>
                <w:sz w:val="24"/>
                <w:vertAlign w:val="subscript"/>
              </w:rPr>
              <w:t>x</w:t>
            </w:r>
            <w:r>
              <w:rPr>
                <w:color w:val="auto"/>
                <w:sz w:val="24"/>
              </w:rPr>
              <w:t>、COD、NH</w:t>
            </w:r>
            <w:r>
              <w:rPr>
                <w:color w:val="auto"/>
                <w:sz w:val="24"/>
                <w:vertAlign w:val="subscript"/>
              </w:rPr>
              <w:t>3</w:t>
            </w:r>
            <w:r>
              <w:rPr>
                <w:color w:val="auto"/>
                <w:sz w:val="24"/>
              </w:rPr>
              <w:t>-N、。</w:t>
            </w:r>
          </w:p>
          <w:p>
            <w:pPr>
              <w:spacing w:line="440" w:lineRule="exact"/>
              <w:ind w:firstLine="480" w:firstLineChars="200"/>
              <w:rPr>
                <w:color w:val="auto"/>
                <w:sz w:val="24"/>
              </w:rPr>
            </w:pPr>
            <w:r>
              <w:rPr>
                <w:color w:val="auto"/>
                <w:sz w:val="24"/>
              </w:rPr>
              <w:t>本项目无</w:t>
            </w:r>
            <w:r>
              <w:rPr>
                <w:rFonts w:hint="eastAsia"/>
                <w:color w:val="auto"/>
                <w:sz w:val="24"/>
              </w:rPr>
              <w:t>VOC</w:t>
            </w:r>
            <w:r>
              <w:rPr>
                <w:rFonts w:hint="eastAsia"/>
                <w:color w:val="auto"/>
                <w:sz w:val="24"/>
                <w:vertAlign w:val="subscript"/>
              </w:rPr>
              <w:t>S</w:t>
            </w:r>
            <w:r>
              <w:rPr>
                <w:rFonts w:hint="eastAsia"/>
                <w:color w:val="auto"/>
                <w:sz w:val="24"/>
              </w:rPr>
              <w:t>、</w:t>
            </w:r>
            <w:r>
              <w:rPr>
                <w:color w:val="auto"/>
                <w:sz w:val="24"/>
              </w:rPr>
              <w:t>NO</w:t>
            </w:r>
            <w:r>
              <w:rPr>
                <w:color w:val="auto"/>
                <w:sz w:val="24"/>
                <w:vertAlign w:val="subscript"/>
              </w:rPr>
              <w:t>x</w:t>
            </w:r>
            <w:r>
              <w:rPr>
                <w:color w:val="auto"/>
                <w:sz w:val="24"/>
              </w:rPr>
              <w:t>排放；生活污水最终进入高新区污水处理厂处理，因此本项目COD、NH</w:t>
            </w:r>
            <w:r>
              <w:rPr>
                <w:color w:val="auto"/>
                <w:sz w:val="24"/>
                <w:vertAlign w:val="subscript"/>
              </w:rPr>
              <w:t>3</w:t>
            </w:r>
            <w:r>
              <w:rPr>
                <w:color w:val="auto"/>
                <w:sz w:val="24"/>
              </w:rPr>
              <w:t>-N总量纳入污水处理厂；因此无需申请总量控制指标。</w:t>
            </w:r>
          </w:p>
          <w:p>
            <w:pPr>
              <w:spacing w:before="120" w:beforeLines="50" w:line="360" w:lineRule="auto"/>
              <w:ind w:firstLine="482"/>
              <w:rPr>
                <w:bCs/>
                <w:color w:val="auto"/>
                <w:sz w:val="24"/>
                <w:szCs w:val="20"/>
              </w:rPr>
            </w:pPr>
          </w:p>
          <w:p>
            <w:pPr>
              <w:spacing w:before="120" w:beforeLines="50" w:line="360" w:lineRule="auto"/>
              <w:ind w:firstLine="482"/>
              <w:rPr>
                <w:bCs/>
                <w:color w:val="auto"/>
                <w:sz w:val="24"/>
                <w:szCs w:val="20"/>
              </w:rPr>
            </w:pPr>
          </w:p>
          <w:p>
            <w:pPr>
              <w:spacing w:before="120" w:beforeLines="50" w:line="360" w:lineRule="auto"/>
              <w:rPr>
                <w:bCs/>
                <w:color w:val="auto"/>
                <w:sz w:val="24"/>
                <w:szCs w:val="20"/>
              </w:rPr>
            </w:pPr>
          </w:p>
          <w:p>
            <w:pPr>
              <w:spacing w:before="120" w:beforeLines="50" w:line="360" w:lineRule="auto"/>
              <w:ind w:firstLine="482"/>
              <w:rPr>
                <w:bCs/>
                <w:color w:val="auto"/>
                <w:sz w:val="24"/>
                <w:szCs w:val="20"/>
              </w:rPr>
            </w:pPr>
          </w:p>
          <w:p>
            <w:pPr>
              <w:spacing w:before="120" w:beforeLines="50" w:line="360" w:lineRule="auto"/>
              <w:ind w:firstLine="482"/>
              <w:rPr>
                <w:bCs/>
                <w:color w:val="auto"/>
                <w:sz w:val="24"/>
                <w:szCs w:val="20"/>
              </w:rPr>
            </w:pPr>
          </w:p>
          <w:p>
            <w:pPr>
              <w:spacing w:before="120" w:beforeLines="50" w:line="360" w:lineRule="auto"/>
              <w:ind w:firstLine="482"/>
              <w:rPr>
                <w:bCs/>
                <w:color w:val="auto"/>
                <w:sz w:val="24"/>
                <w:szCs w:val="20"/>
              </w:rPr>
            </w:pPr>
          </w:p>
          <w:p>
            <w:pPr>
              <w:spacing w:before="120" w:beforeLines="50" w:line="360" w:lineRule="auto"/>
              <w:ind w:firstLine="482"/>
              <w:rPr>
                <w:bCs/>
                <w:color w:val="auto"/>
                <w:sz w:val="24"/>
                <w:szCs w:val="20"/>
              </w:rPr>
            </w:pPr>
          </w:p>
          <w:p>
            <w:pPr>
              <w:spacing w:before="120" w:beforeLines="50" w:line="360" w:lineRule="auto"/>
              <w:ind w:firstLine="482"/>
              <w:rPr>
                <w:bCs/>
                <w:color w:val="auto"/>
                <w:sz w:val="24"/>
                <w:szCs w:val="20"/>
              </w:rPr>
            </w:pPr>
          </w:p>
          <w:p>
            <w:pPr>
              <w:spacing w:before="120" w:beforeLines="50" w:line="360" w:lineRule="auto"/>
              <w:ind w:firstLine="482"/>
              <w:rPr>
                <w:bCs/>
                <w:color w:val="auto"/>
                <w:sz w:val="24"/>
                <w:szCs w:val="20"/>
              </w:rPr>
            </w:pPr>
          </w:p>
          <w:p>
            <w:pPr>
              <w:spacing w:before="120" w:beforeLines="50" w:line="360" w:lineRule="auto"/>
              <w:ind w:firstLine="482"/>
              <w:rPr>
                <w:bCs/>
                <w:color w:val="auto"/>
                <w:sz w:val="24"/>
                <w:szCs w:val="20"/>
              </w:rPr>
            </w:pPr>
          </w:p>
          <w:p>
            <w:pPr>
              <w:spacing w:before="120" w:beforeLines="50" w:line="360" w:lineRule="auto"/>
              <w:rPr>
                <w:bCs/>
                <w:color w:val="auto"/>
                <w:sz w:val="24"/>
                <w:szCs w:val="20"/>
              </w:rPr>
            </w:pPr>
          </w:p>
          <w:p>
            <w:pPr>
              <w:spacing w:before="120" w:beforeLines="50" w:line="360" w:lineRule="auto"/>
              <w:rPr>
                <w:rFonts w:ascii="宋体" w:hAnsi="宋体" w:cs="宋体"/>
                <w:color w:val="auto"/>
                <w:kern w:val="0"/>
                <w:sz w:val="24"/>
              </w:rPr>
            </w:pPr>
          </w:p>
        </w:tc>
      </w:tr>
    </w:tbl>
    <w:p>
      <w:pPr>
        <w:pStyle w:val="15"/>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83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746" w:type="dxa"/>
            <w:tcMar>
              <w:left w:w="28" w:type="dxa"/>
              <w:right w:w="28" w:type="dxa"/>
            </w:tcMar>
            <w:vAlign w:val="center"/>
          </w:tcPr>
          <w:p>
            <w:pPr>
              <w:pStyle w:val="15"/>
              <w:adjustRightInd w:val="0"/>
              <w:snapToGrid w:val="0"/>
              <w:spacing w:before="0" w:beforeAutospacing="0" w:after="0" w:afterAutospacing="0"/>
              <w:jc w:val="center"/>
              <w:rPr>
                <w:rFonts w:cs="宋体"/>
                <w:color w:val="auto"/>
                <w:kern w:val="2"/>
                <w:szCs w:val="24"/>
              </w:rPr>
            </w:pPr>
            <w:r>
              <w:rPr>
                <w:rFonts w:hint="eastAsia" w:cs="宋体"/>
                <w:color w:val="auto"/>
                <w:kern w:val="2"/>
                <w:szCs w:val="24"/>
              </w:rPr>
              <w:t>施工</w:t>
            </w:r>
          </w:p>
          <w:p>
            <w:pPr>
              <w:pStyle w:val="15"/>
              <w:adjustRightInd w:val="0"/>
              <w:snapToGrid w:val="0"/>
              <w:spacing w:before="0" w:beforeAutospacing="0" w:after="0" w:afterAutospacing="0"/>
              <w:jc w:val="center"/>
              <w:rPr>
                <w:rFonts w:cs="宋体"/>
                <w:color w:val="auto"/>
                <w:kern w:val="2"/>
                <w:szCs w:val="24"/>
              </w:rPr>
            </w:pPr>
            <w:r>
              <w:rPr>
                <w:rFonts w:hint="eastAsia" w:cs="宋体"/>
                <w:color w:val="auto"/>
                <w:kern w:val="2"/>
                <w:szCs w:val="24"/>
              </w:rPr>
              <w:t>期环</w:t>
            </w:r>
          </w:p>
          <w:p>
            <w:pPr>
              <w:pStyle w:val="15"/>
              <w:adjustRightInd w:val="0"/>
              <w:snapToGrid w:val="0"/>
              <w:spacing w:before="0" w:beforeAutospacing="0" w:after="0" w:afterAutospacing="0"/>
              <w:jc w:val="center"/>
              <w:rPr>
                <w:rFonts w:cs="宋体"/>
                <w:color w:val="auto"/>
                <w:kern w:val="2"/>
                <w:szCs w:val="24"/>
              </w:rPr>
            </w:pPr>
            <w:r>
              <w:rPr>
                <w:rFonts w:hint="eastAsia" w:cs="宋体"/>
                <w:color w:val="auto"/>
                <w:kern w:val="2"/>
                <w:szCs w:val="24"/>
              </w:rPr>
              <w:t>境保</w:t>
            </w:r>
          </w:p>
          <w:p>
            <w:pPr>
              <w:pStyle w:val="15"/>
              <w:adjustRightInd w:val="0"/>
              <w:snapToGrid w:val="0"/>
              <w:spacing w:before="0" w:beforeAutospacing="0" w:after="0" w:afterAutospacing="0"/>
              <w:jc w:val="center"/>
              <w:rPr>
                <w:rFonts w:cs="宋体"/>
                <w:color w:val="auto"/>
                <w:kern w:val="2"/>
                <w:szCs w:val="24"/>
              </w:rPr>
            </w:pPr>
            <w:r>
              <w:rPr>
                <w:rFonts w:hint="eastAsia" w:cs="宋体"/>
                <w:color w:val="auto"/>
                <w:kern w:val="2"/>
                <w:szCs w:val="24"/>
              </w:rPr>
              <w:t>护措</w:t>
            </w:r>
          </w:p>
          <w:p>
            <w:pPr>
              <w:pStyle w:val="15"/>
              <w:adjustRightInd w:val="0"/>
              <w:snapToGrid w:val="0"/>
              <w:spacing w:before="0" w:beforeAutospacing="0" w:after="0" w:afterAutospacing="0"/>
              <w:jc w:val="center"/>
              <w:rPr>
                <w:rFonts w:cs="宋体"/>
                <w:bCs/>
                <w:color w:val="auto"/>
                <w:kern w:val="2"/>
                <w:szCs w:val="24"/>
              </w:rPr>
            </w:pPr>
            <w:r>
              <w:rPr>
                <w:rFonts w:hint="eastAsia" w:cs="宋体"/>
                <w:color w:val="auto"/>
                <w:kern w:val="2"/>
                <w:szCs w:val="24"/>
              </w:rPr>
              <w:t>施</w:t>
            </w:r>
          </w:p>
        </w:tc>
        <w:tc>
          <w:tcPr>
            <w:tcW w:w="8162" w:type="dxa"/>
            <w:vAlign w:val="center"/>
          </w:tcPr>
          <w:p>
            <w:pPr>
              <w:keepNext/>
              <w:keepLines/>
              <w:spacing w:line="360" w:lineRule="auto"/>
              <w:ind w:firstLine="480" w:firstLineChars="200"/>
              <w:rPr>
                <w:color w:val="auto"/>
                <w:kern w:val="0"/>
                <w:sz w:val="24"/>
                <w:szCs w:val="20"/>
              </w:rPr>
            </w:pPr>
            <w:r>
              <w:rPr>
                <w:rFonts w:hint="eastAsia"/>
                <w:color w:val="auto"/>
                <w:kern w:val="0"/>
                <w:sz w:val="24"/>
                <w:szCs w:val="20"/>
              </w:rPr>
              <w:t>项目施工阶段主要包括基础工程、主体工程以及设备安装、调试等，施工期污染主要为废气、废水、噪声、固废等。</w:t>
            </w:r>
          </w:p>
          <w:p>
            <w:pPr>
              <w:keepNext/>
              <w:keepLines/>
              <w:spacing w:line="360" w:lineRule="auto"/>
              <w:ind w:firstLine="482" w:firstLineChars="200"/>
              <w:jc w:val="left"/>
              <w:rPr>
                <w:b/>
                <w:color w:val="auto"/>
                <w:kern w:val="0"/>
                <w:sz w:val="24"/>
                <w:szCs w:val="20"/>
              </w:rPr>
            </w:pPr>
            <w:r>
              <w:rPr>
                <w:rFonts w:hint="eastAsia"/>
                <w:b/>
                <w:color w:val="auto"/>
                <w:kern w:val="0"/>
                <w:sz w:val="24"/>
                <w:szCs w:val="20"/>
              </w:rPr>
              <w:t>1、废气</w:t>
            </w:r>
          </w:p>
          <w:p>
            <w:pPr>
              <w:keepNext/>
              <w:keepLines/>
              <w:spacing w:line="360" w:lineRule="auto"/>
              <w:ind w:firstLine="480" w:firstLineChars="200"/>
              <w:jc w:val="left"/>
              <w:rPr>
                <w:color w:val="auto"/>
                <w:kern w:val="0"/>
                <w:sz w:val="24"/>
                <w:szCs w:val="20"/>
              </w:rPr>
            </w:pPr>
            <w:r>
              <w:rPr>
                <w:rFonts w:hint="eastAsia"/>
                <w:color w:val="auto"/>
                <w:kern w:val="0"/>
                <w:sz w:val="24"/>
                <w:szCs w:val="20"/>
              </w:rPr>
              <w:t>（1）施工扬尘</w:t>
            </w:r>
          </w:p>
          <w:p>
            <w:pPr>
              <w:keepNext/>
              <w:keepLines/>
              <w:spacing w:line="360" w:lineRule="auto"/>
              <w:ind w:firstLine="480" w:firstLineChars="200"/>
              <w:jc w:val="left"/>
              <w:rPr>
                <w:color w:val="auto"/>
                <w:kern w:val="0"/>
                <w:sz w:val="24"/>
                <w:szCs w:val="20"/>
              </w:rPr>
            </w:pPr>
            <w:r>
              <w:rPr>
                <w:rFonts w:hint="eastAsia"/>
                <w:color w:val="auto"/>
                <w:kern w:val="0"/>
                <w:sz w:val="24"/>
                <w:szCs w:val="20"/>
              </w:rPr>
              <w:t>项目施工期间，土石方开挖、建筑材料砂石装卸、转运、运输均会造成扬尘污水，其扬尘量大小与施工现场条件、施工管理水平、机械化程度高低及施工季节、时间长短以及土质结构、天气条件等诸多因素有关。为了改善环境空气质量，加强扬尘污染控制，本项目应严格执行《陕西省人民政府关于印发&lt;陕西省全面改善城市空气质量工作方案&gt;的通知》、《陕西省城市空气重污染日应急方案（暂行）》、《陕西省建筑施工扬尘治理行动方案》、《建筑施工扬尘治理措施19条》中的相关规定，积极采取相关控制措施，如：加强施工现场管理、不露天堆放易产尘物料，做到标准化施工和文明施工；运输车辆限速行驶，并及时清扫、冲洗运输通道，减少汽车运输扬尘；工地内应当设置相应的车辆冲洗设施和排水、泥浆沉淀设施，进出车辆应当冲洗干净后进出场等。</w:t>
            </w:r>
          </w:p>
          <w:p>
            <w:pPr>
              <w:keepNext/>
              <w:keepLines/>
              <w:spacing w:line="360" w:lineRule="auto"/>
              <w:ind w:firstLine="480" w:firstLineChars="200"/>
              <w:jc w:val="left"/>
              <w:rPr>
                <w:color w:val="auto"/>
                <w:kern w:val="0"/>
                <w:sz w:val="24"/>
                <w:szCs w:val="20"/>
              </w:rPr>
            </w:pPr>
            <w:r>
              <w:rPr>
                <w:rFonts w:hint="eastAsia"/>
                <w:color w:val="auto"/>
                <w:kern w:val="0"/>
                <w:sz w:val="24"/>
                <w:szCs w:val="20"/>
              </w:rPr>
              <w:t>（2）施工机械和运输车辆废气</w:t>
            </w:r>
          </w:p>
          <w:p>
            <w:pPr>
              <w:keepNext/>
              <w:keepLines/>
              <w:spacing w:line="360" w:lineRule="auto"/>
              <w:ind w:firstLine="480" w:firstLineChars="200"/>
              <w:jc w:val="left"/>
              <w:rPr>
                <w:color w:val="auto"/>
                <w:kern w:val="0"/>
                <w:sz w:val="24"/>
                <w:szCs w:val="20"/>
              </w:rPr>
            </w:pPr>
            <w:r>
              <w:rPr>
                <w:rFonts w:hint="eastAsia"/>
                <w:color w:val="auto"/>
                <w:kern w:val="0"/>
                <w:sz w:val="24"/>
                <w:szCs w:val="20"/>
              </w:rPr>
              <w:t>项目施工期间，各种设备和运输车辆将产生尾气，主要污染物为CO、NO</w:t>
            </w:r>
            <w:r>
              <w:rPr>
                <w:rFonts w:hint="eastAsia"/>
                <w:color w:val="auto"/>
                <w:kern w:val="0"/>
                <w:sz w:val="24"/>
                <w:szCs w:val="20"/>
                <w:vertAlign w:val="subscript"/>
              </w:rPr>
              <w:t>X</w:t>
            </w:r>
            <w:r>
              <w:rPr>
                <w:rFonts w:hint="eastAsia"/>
                <w:color w:val="auto"/>
                <w:kern w:val="0"/>
                <w:sz w:val="24"/>
                <w:szCs w:val="20"/>
              </w:rPr>
              <w:t>及THC等，间断运行工程在加强施工车辆运行管理与维护保养情况下，可减少尾气排放对环境的污染。</w:t>
            </w:r>
          </w:p>
          <w:p>
            <w:pPr>
              <w:keepNext/>
              <w:keepLines/>
              <w:spacing w:line="360" w:lineRule="auto"/>
              <w:ind w:firstLine="482" w:firstLineChars="200"/>
              <w:jc w:val="left"/>
              <w:rPr>
                <w:b/>
                <w:color w:val="auto"/>
                <w:kern w:val="0"/>
                <w:sz w:val="24"/>
                <w:szCs w:val="20"/>
              </w:rPr>
            </w:pPr>
            <w:r>
              <w:rPr>
                <w:rFonts w:hint="eastAsia"/>
                <w:b/>
                <w:color w:val="auto"/>
                <w:kern w:val="0"/>
                <w:sz w:val="24"/>
                <w:szCs w:val="20"/>
              </w:rPr>
              <w:t>2、废水</w:t>
            </w:r>
          </w:p>
          <w:p>
            <w:pPr>
              <w:keepNext/>
              <w:keepLines/>
              <w:spacing w:line="360" w:lineRule="auto"/>
              <w:ind w:firstLine="480" w:firstLineChars="200"/>
              <w:jc w:val="left"/>
              <w:rPr>
                <w:color w:val="auto"/>
                <w:kern w:val="0"/>
                <w:sz w:val="24"/>
                <w:szCs w:val="20"/>
              </w:rPr>
            </w:pPr>
            <w:r>
              <w:rPr>
                <w:rFonts w:hint="eastAsia"/>
                <w:color w:val="auto"/>
                <w:kern w:val="0"/>
                <w:sz w:val="24"/>
                <w:szCs w:val="20"/>
              </w:rPr>
              <w:t>（1）施工废水</w:t>
            </w:r>
          </w:p>
          <w:p>
            <w:pPr>
              <w:keepNext/>
              <w:keepLines/>
              <w:spacing w:line="360" w:lineRule="auto"/>
              <w:ind w:firstLine="480" w:firstLineChars="200"/>
              <w:jc w:val="left"/>
              <w:rPr>
                <w:color w:val="auto"/>
                <w:kern w:val="0"/>
                <w:sz w:val="24"/>
                <w:szCs w:val="20"/>
              </w:rPr>
            </w:pPr>
            <w:r>
              <w:rPr>
                <w:rFonts w:hint="eastAsia"/>
                <w:color w:val="auto"/>
                <w:kern w:val="0"/>
                <w:sz w:val="24"/>
                <w:szCs w:val="20"/>
              </w:rPr>
              <w:t>项目施工废水主要污染物为SS，水质较为简单，要求设置沉淀池，施工废水经沉淀处理后回用于施工过程或者场地喷洒等，不外排。</w:t>
            </w:r>
          </w:p>
          <w:p>
            <w:pPr>
              <w:keepNext/>
              <w:keepLines/>
              <w:spacing w:line="360" w:lineRule="auto"/>
              <w:ind w:firstLine="480" w:firstLineChars="200"/>
              <w:jc w:val="left"/>
              <w:rPr>
                <w:color w:val="auto"/>
                <w:kern w:val="0"/>
                <w:sz w:val="24"/>
                <w:szCs w:val="20"/>
              </w:rPr>
            </w:pPr>
            <w:r>
              <w:rPr>
                <w:rFonts w:hint="eastAsia"/>
                <w:color w:val="auto"/>
                <w:kern w:val="0"/>
                <w:sz w:val="24"/>
                <w:szCs w:val="20"/>
              </w:rPr>
              <w:t>（2）生活污水</w:t>
            </w:r>
          </w:p>
          <w:p>
            <w:pPr>
              <w:keepNext/>
              <w:keepLines/>
              <w:spacing w:line="360" w:lineRule="auto"/>
              <w:ind w:firstLine="480" w:firstLineChars="200"/>
              <w:jc w:val="left"/>
              <w:rPr>
                <w:color w:val="auto"/>
                <w:kern w:val="0"/>
                <w:sz w:val="24"/>
                <w:szCs w:val="20"/>
              </w:rPr>
            </w:pPr>
            <w:r>
              <w:rPr>
                <w:rFonts w:hint="eastAsia"/>
                <w:color w:val="auto"/>
                <w:kern w:val="0"/>
                <w:sz w:val="24"/>
                <w:szCs w:val="20"/>
              </w:rPr>
              <w:t>项目生活污水主要是施工人员的盥洗水等，主要污染物为COD、SS、氨氮等。可依托厂区现有设施，最终排入高新区污水处理厂处理。</w:t>
            </w:r>
          </w:p>
          <w:p>
            <w:pPr>
              <w:keepNext/>
              <w:keepLines/>
              <w:spacing w:line="360" w:lineRule="auto"/>
              <w:ind w:firstLine="482" w:firstLineChars="200"/>
              <w:jc w:val="left"/>
              <w:rPr>
                <w:b/>
                <w:color w:val="auto"/>
                <w:kern w:val="0"/>
                <w:sz w:val="24"/>
                <w:szCs w:val="20"/>
              </w:rPr>
            </w:pPr>
            <w:r>
              <w:rPr>
                <w:rFonts w:hint="eastAsia"/>
                <w:b/>
                <w:color w:val="auto"/>
                <w:kern w:val="0"/>
                <w:sz w:val="24"/>
                <w:szCs w:val="20"/>
              </w:rPr>
              <w:t>3、噪声</w:t>
            </w:r>
          </w:p>
          <w:p>
            <w:pPr>
              <w:keepNext/>
              <w:keepLines/>
              <w:spacing w:line="360" w:lineRule="auto"/>
              <w:ind w:firstLine="480" w:firstLineChars="200"/>
              <w:jc w:val="left"/>
              <w:rPr>
                <w:color w:val="auto"/>
                <w:kern w:val="0"/>
                <w:sz w:val="24"/>
                <w:szCs w:val="20"/>
              </w:rPr>
            </w:pPr>
            <w:r>
              <w:rPr>
                <w:rFonts w:hint="eastAsia"/>
                <w:color w:val="auto"/>
                <w:kern w:val="0"/>
                <w:sz w:val="24"/>
                <w:szCs w:val="20"/>
              </w:rPr>
              <w:t>项目施工期噪声主要来自施工过程中各种施工机械产生的噪声，包括各种轻重型运输车、土石方开挖阶段的推土机、挖掘机、装载机，打桩阶段的打桩机，以及装修阶段的电焊机、电锯等。这些机械的噪声污染多属于高强度噪声源间断性排放噪声。项目厂界周边50m范围内存在敏感点，应积极采取相应的降噪措施，如：（1）施工过程中应保证项目厂界噪声污染符合国家规定的建筑施工场界噪声限值；（2）施工期间加强管理，合理布置施工场地，合理安排工期，严格控制施工时间，禁止夜间22：00～06：00施工作业；（3）选用低噪声设备，必要时设置基础减振措施等。</w:t>
            </w:r>
          </w:p>
          <w:p>
            <w:pPr>
              <w:keepNext/>
              <w:keepLines/>
              <w:spacing w:line="360" w:lineRule="auto"/>
              <w:ind w:firstLine="482" w:firstLineChars="200"/>
              <w:jc w:val="left"/>
              <w:rPr>
                <w:b/>
                <w:color w:val="auto"/>
                <w:kern w:val="0"/>
                <w:sz w:val="24"/>
                <w:szCs w:val="20"/>
              </w:rPr>
            </w:pPr>
            <w:r>
              <w:rPr>
                <w:rFonts w:hint="eastAsia"/>
                <w:b/>
                <w:color w:val="auto"/>
                <w:kern w:val="0"/>
                <w:sz w:val="24"/>
                <w:szCs w:val="20"/>
              </w:rPr>
              <w:t>4、固体废物</w:t>
            </w:r>
          </w:p>
          <w:p>
            <w:pPr>
              <w:keepNext/>
              <w:keepLines/>
              <w:spacing w:line="360" w:lineRule="auto"/>
              <w:ind w:firstLine="480" w:firstLineChars="200"/>
              <w:jc w:val="left"/>
              <w:rPr>
                <w:color w:val="auto"/>
                <w:kern w:val="0"/>
                <w:sz w:val="24"/>
                <w:szCs w:val="20"/>
              </w:rPr>
            </w:pPr>
            <w:r>
              <w:rPr>
                <w:rFonts w:hint="eastAsia"/>
                <w:color w:val="auto"/>
                <w:kern w:val="0"/>
                <w:sz w:val="24"/>
                <w:szCs w:val="20"/>
              </w:rPr>
              <w:t>（1）建筑垃圾</w:t>
            </w:r>
          </w:p>
          <w:p>
            <w:pPr>
              <w:keepNext/>
              <w:keepLines/>
              <w:spacing w:line="360" w:lineRule="auto"/>
              <w:ind w:firstLine="480" w:firstLineChars="200"/>
              <w:jc w:val="left"/>
              <w:rPr>
                <w:color w:val="auto"/>
                <w:kern w:val="0"/>
                <w:sz w:val="24"/>
                <w:szCs w:val="20"/>
              </w:rPr>
            </w:pPr>
            <w:r>
              <w:rPr>
                <w:rFonts w:hint="eastAsia"/>
                <w:color w:val="auto"/>
                <w:kern w:val="0"/>
                <w:sz w:val="24"/>
                <w:szCs w:val="20"/>
              </w:rPr>
              <w:t>项目施工建筑垃圾包括基础开挖及土建工程产生的砖瓦石块、渣土、泥土、废弃的混凝土、水泥和砂浆等。项目建筑垃圾应采取有计划的堆放，分类处置、综合回收利用后，按当地环保部门及城建部门的要求送指定地点集中处置，建设期由于地表开挖产生的土石方，尽量在场内周转，就地用于绿化、道路等生态景观建设，多余弃土及建筑垃圾应运至环卫部门和城建部门指定的场所堆放，不可随意堆放侵占土地。经处置后对周围环境基本无不利影响。</w:t>
            </w:r>
          </w:p>
          <w:p>
            <w:pPr>
              <w:keepNext/>
              <w:keepLines/>
              <w:spacing w:line="360" w:lineRule="auto"/>
              <w:ind w:firstLine="480" w:firstLineChars="200"/>
              <w:jc w:val="left"/>
              <w:rPr>
                <w:color w:val="auto"/>
                <w:kern w:val="0"/>
                <w:sz w:val="24"/>
                <w:szCs w:val="20"/>
              </w:rPr>
            </w:pPr>
            <w:r>
              <w:rPr>
                <w:rFonts w:hint="eastAsia"/>
                <w:color w:val="auto"/>
                <w:kern w:val="0"/>
                <w:sz w:val="24"/>
                <w:szCs w:val="20"/>
              </w:rPr>
              <w:t>（2）生活垃圾</w:t>
            </w:r>
          </w:p>
          <w:p>
            <w:pPr>
              <w:adjustRightInd w:val="0"/>
              <w:snapToGrid w:val="0"/>
              <w:ind w:firstLine="440" w:firstLineChars="200"/>
              <w:rPr>
                <w:rFonts w:ascii="宋体" w:hAnsi="宋体" w:cs="宋体"/>
                <w:bCs/>
                <w:color w:val="auto"/>
                <w:spacing w:val="-10"/>
                <w:sz w:val="24"/>
              </w:rPr>
            </w:pPr>
            <w:r>
              <w:rPr>
                <w:rFonts w:hint="eastAsia" w:ascii="宋体" w:hAnsi="宋体" w:cs="宋体"/>
                <w:bCs/>
                <w:color w:val="auto"/>
                <w:spacing w:val="-10"/>
                <w:sz w:val="24"/>
              </w:rPr>
              <w:t>施工人员生活垃圾经垃圾桶收集，由环卫部门统一处理。</w:t>
            </w:r>
          </w:p>
          <w:p>
            <w:pPr>
              <w:adjustRightInd w:val="0"/>
              <w:snapToGrid w:val="0"/>
              <w:ind w:firstLine="440" w:firstLineChars="200"/>
              <w:rPr>
                <w:rFonts w:ascii="宋体" w:hAnsi="宋体" w:cs="宋体"/>
                <w:bCs/>
                <w:color w:val="auto"/>
                <w:spacing w:val="-10"/>
                <w:sz w:val="24"/>
              </w:rPr>
            </w:pPr>
          </w:p>
          <w:p>
            <w:pPr>
              <w:adjustRightInd w:val="0"/>
              <w:snapToGrid w:val="0"/>
              <w:ind w:firstLine="440" w:firstLineChars="200"/>
              <w:rPr>
                <w:rFonts w:ascii="宋体" w:hAnsi="宋体" w:cs="宋体"/>
                <w:bCs/>
                <w:color w:val="auto"/>
                <w:spacing w:val="-10"/>
                <w:sz w:val="24"/>
              </w:rPr>
            </w:pPr>
          </w:p>
          <w:p>
            <w:pPr>
              <w:adjustRightInd w:val="0"/>
              <w:snapToGrid w:val="0"/>
              <w:ind w:firstLine="440" w:firstLineChars="200"/>
              <w:rPr>
                <w:rFonts w:ascii="宋体" w:hAnsi="宋体" w:cs="宋体"/>
                <w:bCs/>
                <w:color w:val="auto"/>
                <w:spacing w:val="-10"/>
                <w:sz w:val="24"/>
              </w:rPr>
            </w:pPr>
          </w:p>
          <w:p>
            <w:pPr>
              <w:adjustRightInd w:val="0"/>
              <w:snapToGrid w:val="0"/>
              <w:ind w:firstLine="440" w:firstLineChars="200"/>
              <w:rPr>
                <w:rFonts w:ascii="宋体" w:hAnsi="宋体" w:cs="宋体"/>
                <w:bCs/>
                <w:color w:val="auto"/>
                <w:spacing w:val="-10"/>
                <w:sz w:val="24"/>
              </w:rPr>
            </w:pPr>
          </w:p>
          <w:p>
            <w:pPr>
              <w:adjustRightInd w:val="0"/>
              <w:snapToGrid w:val="0"/>
              <w:ind w:firstLine="440" w:firstLineChars="200"/>
              <w:rPr>
                <w:rFonts w:ascii="宋体" w:hAnsi="宋体" w:cs="宋体"/>
                <w:bCs/>
                <w:color w:val="auto"/>
                <w:spacing w:val="-10"/>
                <w:sz w:val="24"/>
              </w:rPr>
            </w:pPr>
          </w:p>
          <w:p>
            <w:pPr>
              <w:adjustRightInd w:val="0"/>
              <w:snapToGrid w:val="0"/>
              <w:rPr>
                <w:rFonts w:ascii="宋体" w:hAnsi="宋体" w:cs="宋体"/>
                <w:bCs/>
                <w:color w:val="auto"/>
                <w:spacing w:val="-10"/>
                <w:sz w:val="24"/>
              </w:rPr>
            </w:pPr>
          </w:p>
          <w:p>
            <w:pPr>
              <w:adjustRightInd w:val="0"/>
              <w:snapToGrid w:val="0"/>
              <w:rPr>
                <w:rFonts w:ascii="宋体" w:hAnsi="宋体" w:cs="宋体"/>
                <w:bCs/>
                <w:color w:val="auto"/>
                <w:spacing w:val="-1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adjustRightInd w:val="0"/>
              <w:snapToGrid w:val="0"/>
              <w:jc w:val="center"/>
              <w:rPr>
                <w:rFonts w:ascii="宋体" w:hAnsi="宋体" w:cs="宋体"/>
                <w:bCs/>
                <w:color w:val="auto"/>
                <w:sz w:val="24"/>
              </w:rPr>
            </w:pPr>
            <w:r>
              <w:rPr>
                <w:rFonts w:hint="eastAsia" w:ascii="宋体" w:hAnsi="宋体" w:cs="宋体"/>
                <w:bCs/>
                <w:color w:val="auto"/>
                <w:sz w:val="24"/>
              </w:rPr>
              <w:t>运营</w:t>
            </w:r>
          </w:p>
          <w:p>
            <w:pPr>
              <w:adjustRightInd w:val="0"/>
              <w:snapToGrid w:val="0"/>
              <w:jc w:val="center"/>
              <w:rPr>
                <w:rFonts w:ascii="宋体" w:hAnsi="宋体" w:cs="宋体"/>
                <w:bCs/>
                <w:color w:val="auto"/>
                <w:sz w:val="24"/>
              </w:rPr>
            </w:pPr>
            <w:r>
              <w:rPr>
                <w:rFonts w:hint="eastAsia" w:ascii="宋体" w:hAnsi="宋体" w:cs="宋体"/>
                <w:bCs/>
                <w:color w:val="auto"/>
                <w:sz w:val="24"/>
              </w:rPr>
              <w:t>期环</w:t>
            </w:r>
          </w:p>
          <w:p>
            <w:pPr>
              <w:adjustRightInd w:val="0"/>
              <w:snapToGrid w:val="0"/>
              <w:jc w:val="center"/>
              <w:rPr>
                <w:rFonts w:ascii="宋体" w:hAnsi="宋体" w:cs="宋体"/>
                <w:bCs/>
                <w:color w:val="auto"/>
                <w:sz w:val="24"/>
              </w:rPr>
            </w:pPr>
            <w:r>
              <w:rPr>
                <w:rFonts w:hint="eastAsia" w:ascii="宋体" w:hAnsi="宋体" w:cs="宋体"/>
                <w:bCs/>
                <w:color w:val="auto"/>
                <w:sz w:val="24"/>
              </w:rPr>
              <w:t>境影</w:t>
            </w:r>
          </w:p>
          <w:p>
            <w:pPr>
              <w:adjustRightInd w:val="0"/>
              <w:snapToGrid w:val="0"/>
              <w:jc w:val="center"/>
              <w:rPr>
                <w:rFonts w:ascii="宋体" w:hAnsi="宋体" w:cs="宋体"/>
                <w:bCs/>
                <w:color w:val="auto"/>
                <w:sz w:val="24"/>
              </w:rPr>
            </w:pPr>
            <w:r>
              <w:rPr>
                <w:rFonts w:hint="eastAsia" w:ascii="宋体" w:hAnsi="宋体" w:cs="宋体"/>
                <w:bCs/>
                <w:color w:val="auto"/>
                <w:sz w:val="24"/>
              </w:rPr>
              <w:t>响和</w:t>
            </w:r>
          </w:p>
          <w:p>
            <w:pPr>
              <w:adjustRightInd w:val="0"/>
              <w:snapToGrid w:val="0"/>
              <w:jc w:val="center"/>
              <w:rPr>
                <w:rFonts w:ascii="宋体" w:hAnsi="宋体" w:cs="宋体"/>
                <w:bCs/>
                <w:color w:val="auto"/>
                <w:sz w:val="24"/>
              </w:rPr>
            </w:pPr>
            <w:r>
              <w:rPr>
                <w:rFonts w:hint="eastAsia" w:ascii="宋体" w:hAnsi="宋体" w:cs="宋体"/>
                <w:bCs/>
                <w:color w:val="auto"/>
                <w:sz w:val="24"/>
              </w:rPr>
              <w:t>保护</w:t>
            </w:r>
          </w:p>
          <w:p>
            <w:pPr>
              <w:adjustRightInd w:val="0"/>
              <w:snapToGrid w:val="0"/>
              <w:jc w:val="center"/>
              <w:rPr>
                <w:rFonts w:ascii="宋体" w:hAnsi="宋体" w:cs="宋体"/>
                <w:bCs/>
                <w:color w:val="auto"/>
                <w:sz w:val="24"/>
              </w:rPr>
            </w:pPr>
            <w:r>
              <w:rPr>
                <w:rFonts w:hint="eastAsia" w:ascii="宋体" w:hAnsi="宋体" w:cs="宋体"/>
                <w:bCs/>
                <w:color w:val="auto"/>
                <w:sz w:val="24"/>
              </w:rPr>
              <w:t>措施</w:t>
            </w:r>
          </w:p>
        </w:tc>
        <w:tc>
          <w:tcPr>
            <w:tcW w:w="8162" w:type="dxa"/>
            <w:vAlign w:val="center"/>
          </w:tcPr>
          <w:p>
            <w:pPr>
              <w:keepNext/>
              <w:keepLines/>
              <w:adjustRightInd w:val="0"/>
              <w:snapToGrid w:val="0"/>
              <w:spacing w:line="360" w:lineRule="auto"/>
              <w:ind w:firstLine="482" w:firstLineChars="200"/>
              <w:jc w:val="left"/>
              <w:rPr>
                <w:b/>
                <w:color w:val="auto"/>
                <w:sz w:val="24"/>
                <w:szCs w:val="20"/>
              </w:rPr>
            </w:pPr>
            <w:r>
              <w:rPr>
                <w:rFonts w:hint="eastAsia"/>
                <w:b/>
                <w:color w:val="auto"/>
                <w:sz w:val="24"/>
                <w:szCs w:val="20"/>
              </w:rPr>
              <w:t>1、废气</w:t>
            </w:r>
          </w:p>
          <w:p>
            <w:pPr>
              <w:adjustRightInd w:val="0"/>
              <w:snapToGrid w:val="0"/>
              <w:spacing w:line="360" w:lineRule="auto"/>
              <w:ind w:firstLine="480" w:firstLineChars="200"/>
              <w:jc w:val="left"/>
              <w:rPr>
                <w:rFonts w:hAnsi="宋体"/>
                <w:color w:val="auto"/>
                <w:sz w:val="24"/>
                <w:szCs w:val="20"/>
              </w:rPr>
            </w:pPr>
            <w:r>
              <w:rPr>
                <w:rFonts w:hint="eastAsia" w:hAnsi="宋体"/>
                <w:color w:val="auto"/>
                <w:sz w:val="24"/>
                <w:szCs w:val="20"/>
              </w:rPr>
              <w:t>（1）废气产排情况</w:t>
            </w:r>
          </w:p>
          <w:p>
            <w:pPr>
              <w:adjustRightInd w:val="0"/>
              <w:snapToGrid w:val="0"/>
              <w:spacing w:line="360" w:lineRule="auto"/>
              <w:ind w:firstLine="480" w:firstLineChars="200"/>
              <w:rPr>
                <w:rFonts w:hAnsi="宋体"/>
                <w:color w:val="auto"/>
                <w:sz w:val="24"/>
                <w:szCs w:val="20"/>
              </w:rPr>
            </w:pPr>
            <w:r>
              <w:rPr>
                <w:rFonts w:hAnsi="宋体"/>
                <w:color w:val="auto"/>
                <w:sz w:val="24"/>
                <w:szCs w:val="20"/>
              </w:rPr>
              <w:t>项目运营期</w:t>
            </w:r>
            <w:r>
              <w:rPr>
                <w:rFonts w:hint="eastAsia" w:hAnsi="宋体"/>
                <w:color w:val="auto"/>
                <w:sz w:val="24"/>
                <w:szCs w:val="20"/>
              </w:rPr>
              <w:t>在生产过程中</w:t>
            </w:r>
            <w:r>
              <w:rPr>
                <w:rFonts w:hAnsi="宋体"/>
                <w:color w:val="auto"/>
                <w:sz w:val="24"/>
                <w:szCs w:val="20"/>
              </w:rPr>
              <w:t>产生</w:t>
            </w:r>
            <w:r>
              <w:rPr>
                <w:rFonts w:hint="eastAsia" w:hAnsi="宋体"/>
                <w:color w:val="auto"/>
                <w:sz w:val="24"/>
                <w:szCs w:val="20"/>
              </w:rPr>
              <w:t>的</w:t>
            </w:r>
            <w:r>
              <w:rPr>
                <w:rFonts w:hAnsi="宋体"/>
                <w:color w:val="auto"/>
                <w:sz w:val="24"/>
                <w:szCs w:val="20"/>
              </w:rPr>
              <w:t>废气主要</w:t>
            </w:r>
            <w:r>
              <w:rPr>
                <w:rFonts w:hint="eastAsia" w:hAnsi="宋体"/>
                <w:color w:val="auto"/>
                <w:sz w:val="24"/>
                <w:szCs w:val="20"/>
              </w:rPr>
              <w:t>为水泥筒仓储存粉尘、砂石进料粉尘、砂石筒仓储存粉尘、上料工序粉尘、配料工序粉尘、混料工序粉尘、包装工序粉尘。</w:t>
            </w:r>
          </w:p>
          <w:p>
            <w:pPr>
              <w:adjustRightInd w:val="0"/>
              <w:snapToGrid w:val="0"/>
              <w:spacing w:line="360" w:lineRule="auto"/>
              <w:ind w:firstLine="480" w:firstLineChars="200"/>
              <w:jc w:val="left"/>
              <w:rPr>
                <w:rFonts w:hAnsi="宋体"/>
                <w:color w:val="auto"/>
                <w:sz w:val="24"/>
                <w:szCs w:val="20"/>
              </w:rPr>
            </w:pPr>
            <w:r>
              <w:rPr>
                <w:rFonts w:hint="eastAsia" w:hAnsi="宋体"/>
                <w:color w:val="auto"/>
                <w:sz w:val="24"/>
                <w:szCs w:val="20"/>
              </w:rPr>
              <w:t>①水泥筒仓储存粉尘</w:t>
            </w:r>
          </w:p>
          <w:p>
            <w:pPr>
              <w:adjustRightInd w:val="0"/>
              <w:snapToGrid w:val="0"/>
              <w:spacing w:line="360" w:lineRule="auto"/>
              <w:ind w:firstLine="480" w:firstLineChars="200"/>
              <w:rPr>
                <w:rFonts w:hAnsi="宋体"/>
                <w:color w:val="auto"/>
                <w:sz w:val="24"/>
                <w:szCs w:val="20"/>
              </w:rPr>
            </w:pPr>
            <w:r>
              <w:rPr>
                <w:rFonts w:hint="eastAsia" w:hAnsi="宋体"/>
                <w:color w:val="auto"/>
                <w:sz w:val="24"/>
                <w:szCs w:val="20"/>
              </w:rPr>
              <w:t>外购的铝酸盐水泥、硫铝酸盐水泥和普通硅酸盐水泥分别由水泥罐车运至厂内，通过压力打入对应的水泥筒仓。</w:t>
            </w:r>
            <w:r>
              <w:rPr>
                <w:color w:val="auto"/>
                <w:sz w:val="24"/>
              </w:rPr>
              <w:t>参照</w:t>
            </w:r>
            <w:r>
              <w:rPr>
                <w:color w:val="auto"/>
                <w:sz w:val="24"/>
                <w:lang w:val="en-GB"/>
              </w:rPr>
              <w:t>《</w:t>
            </w:r>
            <w:r>
              <w:rPr>
                <w:rFonts w:hint="eastAsia"/>
                <w:color w:val="auto"/>
                <w:sz w:val="24"/>
                <w:lang w:val="en-GB"/>
              </w:rPr>
              <w:t>排放源统计调查产排污核算方法和系数手册</w:t>
            </w:r>
            <w:r>
              <w:rPr>
                <w:color w:val="auto"/>
                <w:sz w:val="24"/>
                <w:lang w:val="en-GB"/>
              </w:rPr>
              <w:t>》（20</w:t>
            </w:r>
            <w:r>
              <w:rPr>
                <w:rFonts w:hint="eastAsia"/>
                <w:color w:val="auto"/>
                <w:sz w:val="24"/>
                <w:lang w:val="en-GB"/>
              </w:rPr>
              <w:t>21</w:t>
            </w:r>
            <w:r>
              <w:rPr>
                <w:color w:val="auto"/>
                <w:sz w:val="24"/>
                <w:lang w:val="en-GB"/>
              </w:rPr>
              <w:t>年），物料输送储存工序粉尘产污系数为</w:t>
            </w:r>
            <w:r>
              <w:rPr>
                <w:rFonts w:hint="eastAsia"/>
                <w:color w:val="auto"/>
                <w:sz w:val="24"/>
                <w:lang w:val="en-GB"/>
              </w:rPr>
              <w:t>0.19</w:t>
            </w:r>
            <w:r>
              <w:rPr>
                <w:color w:val="auto"/>
                <w:sz w:val="24"/>
                <w:lang w:val="en-GB"/>
              </w:rPr>
              <w:t>kg/t，工艺废气量为</w:t>
            </w:r>
            <w:r>
              <w:rPr>
                <w:rFonts w:hint="eastAsia"/>
                <w:color w:val="auto"/>
                <w:sz w:val="24"/>
                <w:lang w:val="en-GB"/>
              </w:rPr>
              <w:t>41.8</w:t>
            </w:r>
            <w:r>
              <w:rPr>
                <w:color w:val="auto"/>
                <w:sz w:val="24"/>
                <w:lang w:val="en-GB"/>
              </w:rPr>
              <w:t>m</w:t>
            </w:r>
            <w:r>
              <w:rPr>
                <w:color w:val="auto"/>
                <w:sz w:val="24"/>
                <w:vertAlign w:val="superscript"/>
                <w:lang w:val="en-GB"/>
              </w:rPr>
              <w:t>3</w:t>
            </w:r>
            <w:r>
              <w:rPr>
                <w:rFonts w:hint="eastAsia"/>
                <w:color w:val="auto"/>
                <w:sz w:val="24"/>
                <w:lang w:val="en-GB"/>
              </w:rPr>
              <w:t>/t</w:t>
            </w:r>
            <w:r>
              <w:rPr>
                <w:color w:val="auto"/>
                <w:sz w:val="24"/>
                <w:lang w:val="en-GB"/>
              </w:rPr>
              <w:t>，据此计算：</w:t>
            </w:r>
          </w:p>
          <w:p>
            <w:pPr>
              <w:spacing w:line="360" w:lineRule="auto"/>
              <w:ind w:firstLine="480" w:firstLineChars="200"/>
              <w:jc w:val="left"/>
              <w:rPr>
                <w:color w:val="auto"/>
                <w:sz w:val="24"/>
                <w:lang w:val="en-GB"/>
              </w:rPr>
            </w:pPr>
            <w:r>
              <w:rPr>
                <w:color w:val="auto"/>
                <w:sz w:val="24"/>
                <w:lang w:val="en-GB"/>
              </w:rPr>
              <w:t>项目</w:t>
            </w:r>
            <w:r>
              <w:rPr>
                <w:rFonts w:hint="eastAsia" w:hAnsi="宋体"/>
                <w:color w:val="auto"/>
                <w:sz w:val="24"/>
                <w:szCs w:val="20"/>
              </w:rPr>
              <w:t>硫铝酸盐水泥</w:t>
            </w:r>
            <w:r>
              <w:rPr>
                <w:color w:val="auto"/>
                <w:sz w:val="24"/>
                <w:lang w:val="en-GB"/>
              </w:rPr>
              <w:t>年用量</w:t>
            </w:r>
            <w:r>
              <w:rPr>
                <w:rFonts w:hint="eastAsia"/>
                <w:color w:val="auto"/>
                <w:sz w:val="24"/>
                <w:lang w:val="en-GB"/>
              </w:rPr>
              <w:t>10434.26</w:t>
            </w:r>
            <w:r>
              <w:rPr>
                <w:color w:val="auto"/>
                <w:sz w:val="24"/>
                <w:lang w:val="en-GB"/>
              </w:rPr>
              <w:t>t，则</w:t>
            </w:r>
            <w:r>
              <w:rPr>
                <w:rFonts w:hint="eastAsia" w:hAnsi="宋体"/>
                <w:color w:val="auto"/>
                <w:sz w:val="24"/>
                <w:szCs w:val="20"/>
              </w:rPr>
              <w:t>铝酸盐水泥</w:t>
            </w:r>
            <w:r>
              <w:rPr>
                <w:color w:val="auto"/>
                <w:sz w:val="24"/>
                <w:lang w:val="en-GB"/>
              </w:rPr>
              <w:t>入筒仓粉尘产生量约为</w:t>
            </w:r>
            <w:r>
              <w:rPr>
                <w:rFonts w:hint="eastAsia"/>
                <w:color w:val="auto"/>
                <w:sz w:val="24"/>
                <w:lang w:val="en-GB"/>
              </w:rPr>
              <w:t>1.98</w:t>
            </w:r>
            <w:r>
              <w:rPr>
                <w:color w:val="auto"/>
                <w:sz w:val="24"/>
                <w:lang w:val="en-GB"/>
              </w:rPr>
              <w:t>t/a。根据建设单位提供资料，该工序年工作时间为</w:t>
            </w:r>
            <w:r>
              <w:rPr>
                <w:rFonts w:hint="eastAsia"/>
                <w:color w:val="auto"/>
                <w:sz w:val="24"/>
                <w:lang w:val="en-GB"/>
              </w:rPr>
              <w:t>342h</w:t>
            </w:r>
            <w:r>
              <w:rPr>
                <w:color w:val="auto"/>
                <w:sz w:val="24"/>
                <w:lang w:val="en-GB"/>
              </w:rPr>
              <w:t>。经计算，产生速率为</w:t>
            </w:r>
            <w:r>
              <w:rPr>
                <w:rFonts w:hint="eastAsia"/>
                <w:color w:val="auto"/>
                <w:sz w:val="24"/>
                <w:lang w:val="en-GB"/>
              </w:rPr>
              <w:t>5.80</w:t>
            </w:r>
            <w:r>
              <w:rPr>
                <w:color w:val="auto"/>
                <w:sz w:val="24"/>
                <w:lang w:val="en-GB"/>
              </w:rPr>
              <w:t>kg/h。该工序产生的废气量为4.</w:t>
            </w:r>
            <w:r>
              <w:rPr>
                <w:rFonts w:hint="eastAsia"/>
                <w:color w:val="auto"/>
                <w:sz w:val="24"/>
                <w:lang w:val="en-GB"/>
              </w:rPr>
              <w:t>36</w:t>
            </w:r>
            <w:r>
              <w:rPr>
                <w:color w:val="auto"/>
                <w:sz w:val="24"/>
                <w:lang w:val="en-GB"/>
              </w:rPr>
              <w:t>×10</w:t>
            </w:r>
            <w:r>
              <w:rPr>
                <w:color w:val="auto"/>
                <w:sz w:val="24"/>
                <w:vertAlign w:val="superscript"/>
                <w:lang w:val="en-GB"/>
              </w:rPr>
              <w:t>5</w:t>
            </w:r>
            <w:r>
              <w:rPr>
                <w:color w:val="auto"/>
                <w:sz w:val="24"/>
                <w:lang w:val="en-GB"/>
              </w:rPr>
              <w:t xml:space="preserve"> m</w:t>
            </w:r>
            <w:r>
              <w:rPr>
                <w:color w:val="auto"/>
                <w:sz w:val="24"/>
                <w:vertAlign w:val="superscript"/>
                <w:lang w:val="en-GB"/>
              </w:rPr>
              <w:t>3</w:t>
            </w:r>
            <w:r>
              <w:rPr>
                <w:color w:val="auto"/>
                <w:sz w:val="24"/>
                <w:lang w:val="en-GB"/>
              </w:rPr>
              <w:t>/a，则产生浓度为</w:t>
            </w:r>
            <w:r>
              <w:rPr>
                <w:rFonts w:hint="eastAsia"/>
                <w:color w:val="auto"/>
                <w:sz w:val="24"/>
                <w:lang w:val="en-GB"/>
              </w:rPr>
              <w:t>4545.45</w:t>
            </w:r>
            <w:r>
              <w:rPr>
                <w:color w:val="auto"/>
                <w:sz w:val="24"/>
                <w:lang w:val="en-GB"/>
              </w:rPr>
              <w:t>mg/m</w:t>
            </w:r>
            <w:r>
              <w:rPr>
                <w:color w:val="auto"/>
                <w:sz w:val="24"/>
                <w:vertAlign w:val="superscript"/>
                <w:lang w:val="en-GB"/>
              </w:rPr>
              <w:t>3</w:t>
            </w:r>
            <w:r>
              <w:rPr>
                <w:color w:val="auto"/>
                <w:sz w:val="24"/>
                <w:lang w:val="en-GB"/>
              </w:rPr>
              <w:t>。</w:t>
            </w:r>
            <w:r>
              <w:rPr>
                <w:rFonts w:hint="eastAsia" w:hAnsi="宋体"/>
                <w:color w:val="auto"/>
                <w:sz w:val="24"/>
                <w:szCs w:val="20"/>
              </w:rPr>
              <w:t>硫铝酸盐水泥</w:t>
            </w:r>
            <w:r>
              <w:rPr>
                <w:color w:val="auto"/>
                <w:sz w:val="24"/>
                <w:lang w:val="en-GB"/>
              </w:rPr>
              <w:t>筒仓储存粉尘经仓顶</w:t>
            </w:r>
            <w:r>
              <w:rPr>
                <w:color w:val="auto"/>
                <w:sz w:val="24"/>
              </w:rPr>
              <w:t>脉冲布袋除尘器</w:t>
            </w:r>
            <w:r>
              <w:rPr>
                <w:color w:val="auto"/>
                <w:sz w:val="24"/>
                <w:lang w:val="en-GB"/>
              </w:rPr>
              <w:t>（除尘效率99.</w:t>
            </w:r>
            <w:r>
              <w:rPr>
                <w:rFonts w:hint="eastAsia"/>
                <w:color w:val="auto"/>
                <w:sz w:val="24"/>
                <w:lang w:val="en-GB"/>
              </w:rPr>
              <w:t>9</w:t>
            </w:r>
            <w:r>
              <w:rPr>
                <w:color w:val="auto"/>
                <w:sz w:val="24"/>
                <w:lang w:val="en-GB"/>
              </w:rPr>
              <w:t>%）处理后排放，排放量约为</w:t>
            </w:r>
            <w:r>
              <w:rPr>
                <w:rFonts w:hint="eastAsia"/>
                <w:color w:val="auto"/>
                <w:sz w:val="24"/>
                <w:lang w:val="en-GB"/>
              </w:rPr>
              <w:t>0.002</w:t>
            </w:r>
            <w:r>
              <w:rPr>
                <w:color w:val="auto"/>
                <w:sz w:val="24"/>
                <w:lang w:val="en-GB"/>
              </w:rPr>
              <w:t>t/a，排放速率</w:t>
            </w:r>
            <w:r>
              <w:rPr>
                <w:rFonts w:hint="eastAsia"/>
                <w:color w:val="auto"/>
                <w:sz w:val="24"/>
                <w:lang w:val="en-GB"/>
              </w:rPr>
              <w:t>0.006</w:t>
            </w:r>
            <w:r>
              <w:rPr>
                <w:color w:val="auto"/>
                <w:sz w:val="24"/>
                <w:lang w:val="en-GB"/>
              </w:rPr>
              <w:t>kg/h，排放浓度为</w:t>
            </w:r>
            <w:r>
              <w:rPr>
                <w:rFonts w:hint="eastAsia"/>
                <w:color w:val="auto"/>
                <w:sz w:val="24"/>
                <w:lang w:val="en-GB"/>
              </w:rPr>
              <w:t>4.55</w:t>
            </w:r>
            <w:r>
              <w:rPr>
                <w:color w:val="auto"/>
                <w:sz w:val="24"/>
                <w:lang w:val="en-GB"/>
              </w:rPr>
              <w:t>mg/m</w:t>
            </w:r>
            <w:r>
              <w:rPr>
                <w:color w:val="auto"/>
                <w:sz w:val="24"/>
                <w:vertAlign w:val="superscript"/>
                <w:lang w:val="en-GB"/>
              </w:rPr>
              <w:t>3</w:t>
            </w:r>
            <w:r>
              <w:rPr>
                <w:color w:val="auto"/>
                <w:sz w:val="24"/>
                <w:lang w:val="en-GB"/>
              </w:rPr>
              <w:t>。项目设置</w:t>
            </w:r>
            <w:r>
              <w:rPr>
                <w:rFonts w:hint="eastAsia"/>
                <w:color w:val="auto"/>
                <w:sz w:val="24"/>
                <w:lang w:val="en-GB"/>
              </w:rPr>
              <w:t>2个容积相同的筒仓（A、B）存储，分别储存供给A、B产线所需的硫铝酸盐水泥，存储量比例约为3：1。根据上文计算及比例计算单个水泥筒仓的产排情况。详见表4-1。</w:t>
            </w:r>
          </w:p>
          <w:p>
            <w:pPr>
              <w:spacing w:line="360" w:lineRule="auto"/>
              <w:ind w:firstLine="480" w:firstLineChars="200"/>
              <w:jc w:val="left"/>
              <w:rPr>
                <w:color w:val="auto"/>
                <w:sz w:val="24"/>
                <w:lang w:val="en-GB"/>
              </w:rPr>
            </w:pPr>
            <w:r>
              <w:rPr>
                <w:color w:val="auto"/>
                <w:sz w:val="24"/>
                <w:lang w:val="en-GB"/>
              </w:rPr>
              <w:t>项目</w:t>
            </w:r>
            <w:r>
              <w:rPr>
                <w:rFonts w:hint="eastAsia" w:hAnsi="宋体"/>
                <w:color w:val="auto"/>
                <w:sz w:val="24"/>
                <w:szCs w:val="20"/>
              </w:rPr>
              <w:t>铝酸盐水泥</w:t>
            </w:r>
            <w:r>
              <w:rPr>
                <w:color w:val="auto"/>
                <w:sz w:val="24"/>
                <w:lang w:val="en-GB"/>
              </w:rPr>
              <w:t>年用量为</w:t>
            </w:r>
            <w:r>
              <w:rPr>
                <w:rFonts w:hint="eastAsia"/>
                <w:color w:val="auto"/>
                <w:sz w:val="24"/>
                <w:lang w:val="en-GB"/>
              </w:rPr>
              <w:t>1045.6</w:t>
            </w:r>
            <w:r>
              <w:rPr>
                <w:color w:val="auto"/>
                <w:sz w:val="24"/>
                <w:lang w:val="en-GB"/>
              </w:rPr>
              <w:t>t/a，则</w:t>
            </w:r>
            <w:r>
              <w:rPr>
                <w:rFonts w:hint="eastAsia" w:hAnsi="宋体"/>
                <w:color w:val="auto"/>
                <w:sz w:val="24"/>
                <w:szCs w:val="20"/>
              </w:rPr>
              <w:t>铝酸盐水泥</w:t>
            </w:r>
            <w:r>
              <w:rPr>
                <w:color w:val="auto"/>
                <w:sz w:val="24"/>
                <w:lang w:val="en-GB"/>
              </w:rPr>
              <w:t>存储过程中粉尘产生量为</w:t>
            </w:r>
            <w:r>
              <w:rPr>
                <w:rFonts w:hint="eastAsia"/>
                <w:color w:val="auto"/>
                <w:sz w:val="24"/>
                <w:lang w:val="en-GB"/>
              </w:rPr>
              <w:t>0.2</w:t>
            </w:r>
            <w:r>
              <w:rPr>
                <w:color w:val="auto"/>
                <w:sz w:val="24"/>
                <w:lang w:val="en-GB"/>
              </w:rPr>
              <w:t>t/a。根据建设单位提供资料，该工序年工作时间为</w:t>
            </w:r>
            <w:r>
              <w:rPr>
                <w:rFonts w:hint="eastAsia"/>
                <w:color w:val="auto"/>
                <w:sz w:val="24"/>
                <w:lang w:val="en-GB"/>
              </w:rPr>
              <w:t>32.45h</w:t>
            </w:r>
            <w:r>
              <w:rPr>
                <w:color w:val="auto"/>
                <w:sz w:val="24"/>
                <w:lang w:val="en-GB"/>
              </w:rPr>
              <w:t>。经计算，产生速率为</w:t>
            </w:r>
            <w:r>
              <w:rPr>
                <w:rFonts w:hint="eastAsia"/>
                <w:color w:val="auto"/>
                <w:sz w:val="24"/>
                <w:lang w:val="en-GB"/>
              </w:rPr>
              <w:t>6.12</w:t>
            </w:r>
            <w:r>
              <w:rPr>
                <w:color w:val="auto"/>
                <w:sz w:val="24"/>
                <w:lang w:val="en-GB"/>
              </w:rPr>
              <w:t>kg/h。该工序产生的废气量为</w:t>
            </w:r>
            <w:r>
              <w:rPr>
                <w:rFonts w:hint="eastAsia"/>
                <w:color w:val="auto"/>
                <w:sz w:val="24"/>
                <w:lang w:val="en-GB"/>
              </w:rPr>
              <w:t>4.37</w:t>
            </w:r>
            <w:r>
              <w:rPr>
                <w:color w:val="auto"/>
                <w:sz w:val="24"/>
                <w:lang w:val="en-GB"/>
              </w:rPr>
              <w:t>×10</w:t>
            </w:r>
            <w:r>
              <w:rPr>
                <w:rFonts w:hint="eastAsia"/>
                <w:color w:val="auto"/>
                <w:sz w:val="24"/>
                <w:vertAlign w:val="superscript"/>
                <w:lang w:val="en-GB"/>
              </w:rPr>
              <w:t>4</w:t>
            </w:r>
            <w:r>
              <w:rPr>
                <w:color w:val="auto"/>
                <w:sz w:val="24"/>
                <w:lang w:val="en-GB"/>
              </w:rPr>
              <w:t>m</w:t>
            </w:r>
            <w:r>
              <w:rPr>
                <w:color w:val="auto"/>
                <w:sz w:val="24"/>
                <w:vertAlign w:val="superscript"/>
                <w:lang w:val="en-GB"/>
              </w:rPr>
              <w:t>3</w:t>
            </w:r>
            <w:r>
              <w:rPr>
                <w:color w:val="auto"/>
                <w:sz w:val="24"/>
                <w:lang w:val="en-GB"/>
              </w:rPr>
              <w:t>/a，则产生浓度为454</w:t>
            </w:r>
            <w:r>
              <w:rPr>
                <w:rFonts w:hint="eastAsia"/>
                <w:color w:val="auto"/>
                <w:sz w:val="24"/>
                <w:lang w:val="en-GB"/>
              </w:rPr>
              <w:t>5.45</w:t>
            </w:r>
            <w:r>
              <w:rPr>
                <w:color w:val="auto"/>
                <w:sz w:val="24"/>
                <w:lang w:val="en-GB"/>
              </w:rPr>
              <w:t xml:space="preserve"> mg/m</w:t>
            </w:r>
            <w:r>
              <w:rPr>
                <w:color w:val="auto"/>
                <w:sz w:val="24"/>
                <w:vertAlign w:val="superscript"/>
                <w:lang w:val="en-GB"/>
              </w:rPr>
              <w:t>3</w:t>
            </w:r>
            <w:r>
              <w:rPr>
                <w:color w:val="auto"/>
                <w:sz w:val="24"/>
                <w:lang w:val="en-GB"/>
              </w:rPr>
              <w:t>。</w:t>
            </w:r>
            <w:r>
              <w:rPr>
                <w:rFonts w:hint="eastAsia" w:hAnsi="宋体"/>
                <w:color w:val="auto"/>
                <w:sz w:val="24"/>
                <w:szCs w:val="20"/>
              </w:rPr>
              <w:t>铝酸盐水泥筒仓储存</w:t>
            </w:r>
            <w:r>
              <w:rPr>
                <w:color w:val="auto"/>
                <w:sz w:val="24"/>
                <w:lang w:val="en-GB"/>
              </w:rPr>
              <w:t>粉尘经仓顶</w:t>
            </w:r>
            <w:r>
              <w:rPr>
                <w:color w:val="auto"/>
                <w:sz w:val="24"/>
              </w:rPr>
              <w:t>脉冲布袋除尘器</w:t>
            </w:r>
            <w:r>
              <w:rPr>
                <w:color w:val="auto"/>
                <w:sz w:val="24"/>
                <w:lang w:val="en-GB"/>
              </w:rPr>
              <w:t>（除尘效率99.</w:t>
            </w:r>
            <w:r>
              <w:rPr>
                <w:rFonts w:hint="eastAsia"/>
                <w:color w:val="auto"/>
                <w:sz w:val="24"/>
                <w:lang w:val="en-GB"/>
              </w:rPr>
              <w:t>9</w:t>
            </w:r>
            <w:r>
              <w:rPr>
                <w:color w:val="auto"/>
                <w:sz w:val="24"/>
                <w:lang w:val="en-GB"/>
              </w:rPr>
              <w:t>%）处理后排放。则排放量约为</w:t>
            </w:r>
            <w:r>
              <w:rPr>
                <w:rFonts w:hint="eastAsia"/>
                <w:color w:val="auto"/>
                <w:sz w:val="24"/>
                <w:lang w:val="en-GB"/>
              </w:rPr>
              <w:t>0.0002</w:t>
            </w:r>
            <w:r>
              <w:rPr>
                <w:color w:val="auto"/>
                <w:sz w:val="24"/>
                <w:lang w:val="en-GB"/>
              </w:rPr>
              <w:t>t/a，排放速率</w:t>
            </w:r>
            <w:r>
              <w:rPr>
                <w:rFonts w:hint="eastAsia"/>
                <w:color w:val="auto"/>
                <w:sz w:val="24"/>
                <w:lang w:val="en-GB"/>
              </w:rPr>
              <w:t>0.006</w:t>
            </w:r>
            <w:r>
              <w:rPr>
                <w:color w:val="auto"/>
                <w:sz w:val="24"/>
                <w:lang w:val="en-GB"/>
              </w:rPr>
              <w:t>kg/h，排放浓度为</w:t>
            </w:r>
            <w:r>
              <w:rPr>
                <w:rFonts w:hint="eastAsia"/>
                <w:color w:val="auto"/>
                <w:sz w:val="24"/>
                <w:lang w:val="en-GB"/>
              </w:rPr>
              <w:t>4.55</w:t>
            </w:r>
            <w:r>
              <w:rPr>
                <w:color w:val="auto"/>
                <w:sz w:val="24"/>
                <w:lang w:val="en-GB"/>
              </w:rPr>
              <w:t>mg/m</w:t>
            </w:r>
            <w:r>
              <w:rPr>
                <w:color w:val="auto"/>
                <w:sz w:val="24"/>
                <w:vertAlign w:val="superscript"/>
                <w:lang w:val="en-GB"/>
              </w:rPr>
              <w:t>3</w:t>
            </w:r>
            <w:r>
              <w:rPr>
                <w:color w:val="auto"/>
                <w:sz w:val="24"/>
                <w:lang w:val="en-GB"/>
              </w:rPr>
              <w:t>。</w:t>
            </w:r>
          </w:p>
          <w:p>
            <w:pPr>
              <w:spacing w:line="360" w:lineRule="auto"/>
              <w:ind w:firstLine="480" w:firstLineChars="200"/>
              <w:jc w:val="left"/>
              <w:rPr>
                <w:color w:val="auto"/>
                <w:sz w:val="24"/>
                <w:lang w:val="en-GB"/>
              </w:rPr>
            </w:pPr>
            <w:r>
              <w:rPr>
                <w:color w:val="auto"/>
                <w:sz w:val="24"/>
                <w:lang w:val="en-GB"/>
              </w:rPr>
              <w:t>项目</w:t>
            </w:r>
            <w:r>
              <w:rPr>
                <w:rFonts w:hint="eastAsia" w:hAnsi="宋体"/>
                <w:color w:val="auto"/>
                <w:sz w:val="24"/>
                <w:szCs w:val="20"/>
              </w:rPr>
              <w:t>普通硅酸盐水泥</w:t>
            </w:r>
            <w:r>
              <w:rPr>
                <w:color w:val="auto"/>
                <w:sz w:val="24"/>
                <w:lang w:val="en-GB"/>
              </w:rPr>
              <w:t>年用量</w:t>
            </w:r>
            <w:r>
              <w:rPr>
                <w:rFonts w:hint="eastAsia"/>
                <w:color w:val="auto"/>
                <w:sz w:val="24"/>
                <w:lang w:val="en-GB"/>
              </w:rPr>
              <w:t>6982.22687</w:t>
            </w:r>
            <w:r>
              <w:rPr>
                <w:color w:val="auto"/>
                <w:sz w:val="24"/>
                <w:lang w:val="en-GB"/>
              </w:rPr>
              <w:t>t，则</w:t>
            </w:r>
            <w:r>
              <w:rPr>
                <w:rFonts w:hint="eastAsia" w:hAnsi="宋体"/>
                <w:color w:val="auto"/>
                <w:sz w:val="24"/>
                <w:szCs w:val="20"/>
              </w:rPr>
              <w:t>普通硅酸盐水泥</w:t>
            </w:r>
            <w:r>
              <w:rPr>
                <w:color w:val="auto"/>
                <w:sz w:val="24"/>
                <w:lang w:val="en-GB"/>
              </w:rPr>
              <w:t>存储过程中粉尘产生量为</w:t>
            </w:r>
            <w:r>
              <w:rPr>
                <w:rFonts w:hint="eastAsia"/>
                <w:color w:val="auto"/>
                <w:sz w:val="24"/>
                <w:lang w:val="en-GB"/>
              </w:rPr>
              <w:t>1.3</w:t>
            </w:r>
            <w:r>
              <w:rPr>
                <w:color w:val="auto"/>
                <w:sz w:val="24"/>
                <w:lang w:val="en-GB"/>
              </w:rPr>
              <w:t>t/a。根据建设单位提供资料，该工序年工作时间为</w:t>
            </w:r>
            <w:r>
              <w:rPr>
                <w:rFonts w:hint="eastAsia"/>
                <w:color w:val="auto"/>
                <w:sz w:val="24"/>
                <w:lang w:val="en-GB"/>
              </w:rPr>
              <w:t>237.5h</w:t>
            </w:r>
            <w:r>
              <w:rPr>
                <w:color w:val="auto"/>
                <w:sz w:val="24"/>
                <w:lang w:val="en-GB"/>
              </w:rPr>
              <w:t>。经计算，产生速率为</w:t>
            </w:r>
            <w:r>
              <w:rPr>
                <w:rFonts w:hint="eastAsia"/>
                <w:color w:val="auto"/>
                <w:sz w:val="24"/>
                <w:lang w:val="en-GB"/>
              </w:rPr>
              <w:t>5.59</w:t>
            </w:r>
            <w:r>
              <w:rPr>
                <w:color w:val="auto"/>
                <w:sz w:val="24"/>
                <w:lang w:val="en-GB"/>
              </w:rPr>
              <w:t>kg/h。该工序产生的废气量为</w:t>
            </w:r>
            <w:r>
              <w:rPr>
                <w:rFonts w:hint="eastAsia"/>
                <w:color w:val="auto"/>
                <w:sz w:val="24"/>
                <w:lang w:val="en-GB"/>
              </w:rPr>
              <w:t>2.92</w:t>
            </w:r>
            <w:r>
              <w:rPr>
                <w:color w:val="auto"/>
                <w:sz w:val="24"/>
                <w:lang w:val="en-GB"/>
              </w:rPr>
              <w:t>×10</w:t>
            </w:r>
            <w:r>
              <w:rPr>
                <w:color w:val="auto"/>
                <w:sz w:val="24"/>
                <w:vertAlign w:val="superscript"/>
                <w:lang w:val="en-GB"/>
              </w:rPr>
              <w:t>5</w:t>
            </w:r>
            <w:r>
              <w:rPr>
                <w:color w:val="auto"/>
                <w:sz w:val="24"/>
                <w:lang w:val="en-GB"/>
              </w:rPr>
              <w:t>m</w:t>
            </w:r>
            <w:r>
              <w:rPr>
                <w:color w:val="auto"/>
                <w:sz w:val="24"/>
                <w:vertAlign w:val="superscript"/>
                <w:lang w:val="en-GB"/>
              </w:rPr>
              <w:t>3</w:t>
            </w:r>
            <w:r>
              <w:rPr>
                <w:color w:val="auto"/>
                <w:sz w:val="24"/>
                <w:lang w:val="en-GB"/>
              </w:rPr>
              <w:t>/a，则产生浓度为454</w:t>
            </w:r>
            <w:r>
              <w:rPr>
                <w:rFonts w:hint="eastAsia"/>
                <w:color w:val="auto"/>
                <w:sz w:val="24"/>
                <w:lang w:val="en-GB"/>
              </w:rPr>
              <w:t>5.45</w:t>
            </w:r>
            <w:r>
              <w:rPr>
                <w:color w:val="auto"/>
                <w:sz w:val="24"/>
                <w:lang w:val="en-GB"/>
              </w:rPr>
              <w:t xml:space="preserve"> mg/m</w:t>
            </w:r>
            <w:r>
              <w:rPr>
                <w:color w:val="auto"/>
                <w:sz w:val="24"/>
                <w:vertAlign w:val="superscript"/>
                <w:lang w:val="en-GB"/>
              </w:rPr>
              <w:t>3</w:t>
            </w:r>
            <w:r>
              <w:rPr>
                <w:color w:val="auto"/>
                <w:sz w:val="24"/>
                <w:lang w:val="en-GB"/>
              </w:rPr>
              <w:t>。</w:t>
            </w:r>
            <w:r>
              <w:rPr>
                <w:rFonts w:hint="eastAsia" w:hAnsi="宋体"/>
                <w:color w:val="auto"/>
                <w:sz w:val="24"/>
                <w:szCs w:val="20"/>
              </w:rPr>
              <w:t>普通硅酸盐水泥筒仓储存</w:t>
            </w:r>
            <w:r>
              <w:rPr>
                <w:color w:val="auto"/>
                <w:sz w:val="24"/>
                <w:lang w:val="en-GB"/>
              </w:rPr>
              <w:t>粉尘经仓顶</w:t>
            </w:r>
            <w:r>
              <w:rPr>
                <w:color w:val="auto"/>
                <w:sz w:val="24"/>
              </w:rPr>
              <w:t>脉冲布袋除尘器</w:t>
            </w:r>
            <w:r>
              <w:rPr>
                <w:color w:val="auto"/>
                <w:sz w:val="24"/>
                <w:lang w:val="en-GB"/>
              </w:rPr>
              <w:t>（除尘效率99.</w:t>
            </w:r>
            <w:r>
              <w:rPr>
                <w:rFonts w:hint="eastAsia"/>
                <w:color w:val="auto"/>
                <w:sz w:val="24"/>
                <w:lang w:val="en-GB"/>
              </w:rPr>
              <w:t>9</w:t>
            </w:r>
            <w:r>
              <w:rPr>
                <w:color w:val="auto"/>
                <w:sz w:val="24"/>
                <w:lang w:val="en-GB"/>
              </w:rPr>
              <w:t>%）处理后排放。则排放量约为</w:t>
            </w:r>
            <w:r>
              <w:rPr>
                <w:rFonts w:hint="eastAsia"/>
                <w:color w:val="auto"/>
                <w:sz w:val="24"/>
                <w:lang w:val="en-GB"/>
              </w:rPr>
              <w:t>0.001</w:t>
            </w:r>
            <w:r>
              <w:rPr>
                <w:color w:val="auto"/>
                <w:sz w:val="24"/>
                <w:lang w:val="en-GB"/>
              </w:rPr>
              <w:t>t/a，排放速率</w:t>
            </w:r>
            <w:r>
              <w:rPr>
                <w:rFonts w:hint="eastAsia"/>
                <w:color w:val="auto"/>
                <w:sz w:val="24"/>
                <w:lang w:val="en-GB"/>
              </w:rPr>
              <w:t>0.006</w:t>
            </w:r>
            <w:r>
              <w:rPr>
                <w:color w:val="auto"/>
                <w:sz w:val="24"/>
                <w:lang w:val="en-GB"/>
              </w:rPr>
              <w:t>kg/h，排放浓度为</w:t>
            </w:r>
            <w:r>
              <w:rPr>
                <w:rFonts w:hint="eastAsia"/>
                <w:color w:val="auto"/>
                <w:sz w:val="24"/>
                <w:lang w:val="en-GB"/>
              </w:rPr>
              <w:t>4.55</w:t>
            </w:r>
            <w:r>
              <w:rPr>
                <w:color w:val="auto"/>
                <w:sz w:val="24"/>
                <w:lang w:val="en-GB"/>
              </w:rPr>
              <w:t>mg/m</w:t>
            </w:r>
            <w:r>
              <w:rPr>
                <w:color w:val="auto"/>
                <w:sz w:val="24"/>
                <w:vertAlign w:val="superscript"/>
                <w:lang w:val="en-GB"/>
              </w:rPr>
              <w:t>3</w:t>
            </w:r>
            <w:r>
              <w:rPr>
                <w:color w:val="auto"/>
                <w:sz w:val="24"/>
                <w:lang w:val="en-GB"/>
              </w:rPr>
              <w:t>。</w:t>
            </w:r>
          </w:p>
          <w:p>
            <w:pPr>
              <w:adjustRightInd w:val="0"/>
              <w:snapToGrid w:val="0"/>
              <w:spacing w:line="360" w:lineRule="auto"/>
              <w:ind w:firstLine="480" w:firstLineChars="200"/>
              <w:jc w:val="left"/>
              <w:rPr>
                <w:rFonts w:hAnsi="宋体"/>
                <w:color w:val="auto"/>
                <w:sz w:val="24"/>
                <w:szCs w:val="20"/>
                <w:highlight w:val="none"/>
              </w:rPr>
            </w:pPr>
            <w:r>
              <w:rPr>
                <w:rFonts w:hint="eastAsia" w:hAnsi="宋体"/>
                <w:color w:val="auto"/>
                <w:sz w:val="24"/>
                <w:szCs w:val="20"/>
                <w:highlight w:val="none"/>
                <w:lang w:eastAsia="zh-CN"/>
              </w:rPr>
              <w:t>②</w:t>
            </w:r>
            <w:r>
              <w:rPr>
                <w:rFonts w:hint="eastAsia" w:hAnsi="宋体"/>
                <w:color w:val="auto"/>
                <w:sz w:val="24"/>
                <w:szCs w:val="20"/>
                <w:highlight w:val="none"/>
              </w:rPr>
              <w:t>砂石进料粉尘</w:t>
            </w:r>
          </w:p>
          <w:p>
            <w:pPr>
              <w:adjustRightInd w:val="0"/>
              <w:snapToGrid w:val="0"/>
              <w:spacing w:line="360" w:lineRule="auto"/>
              <w:ind w:firstLine="480" w:firstLineChars="200"/>
              <w:rPr>
                <w:rFonts w:hAnsi="宋体"/>
                <w:color w:val="auto"/>
                <w:sz w:val="24"/>
                <w:szCs w:val="20"/>
              </w:rPr>
            </w:pPr>
            <w:r>
              <w:rPr>
                <w:rFonts w:hint="eastAsia" w:hAnsi="宋体"/>
                <w:color w:val="auto"/>
                <w:sz w:val="24"/>
                <w:szCs w:val="20"/>
                <w:highlight w:val="none"/>
              </w:rPr>
              <w:t>项目外购的砂石由自卸式汽车运至厂内，</w:t>
            </w:r>
            <w:r>
              <w:rPr>
                <w:rFonts w:hint="eastAsia" w:hAnsi="宋体"/>
                <w:color w:val="auto"/>
                <w:sz w:val="24"/>
                <w:szCs w:val="20"/>
                <w:highlight w:val="none"/>
                <w:lang w:eastAsia="zh-CN"/>
              </w:rPr>
              <w:t>直接卸至提升斗机的地下进料口</w:t>
            </w:r>
            <w:r>
              <w:rPr>
                <w:rFonts w:hint="eastAsia" w:hAnsi="宋体"/>
                <w:color w:val="auto"/>
                <w:sz w:val="24"/>
                <w:szCs w:val="20"/>
                <w:highlight w:val="none"/>
              </w:rPr>
              <w:t>。</w:t>
            </w:r>
            <w:r>
              <w:rPr>
                <w:rFonts w:hint="eastAsia" w:hAnsi="宋体"/>
                <w:color w:val="auto"/>
                <w:sz w:val="24"/>
                <w:szCs w:val="20"/>
                <w:highlight w:val="none"/>
              </w:rPr>
              <w:t>砂</w:t>
            </w:r>
            <w:r>
              <w:rPr>
                <w:rFonts w:hint="eastAsia" w:hAnsi="宋体"/>
                <w:color w:val="auto"/>
                <w:sz w:val="24"/>
                <w:szCs w:val="20"/>
              </w:rPr>
              <w:t>石在装卸过程中易形成扬尘，其起尘量的装卸高度H、含水量W、风速U等有关。参照已批复的《四川省南充道路桥梁工程总公司阆中分公司阆中市公路局彭城搅拌站》（2019.1），采用下式计算：</w:t>
            </w:r>
          </w:p>
          <w:p>
            <w:pPr>
              <w:adjustRightInd w:val="0"/>
              <w:snapToGrid w:val="0"/>
              <w:spacing w:line="360" w:lineRule="auto"/>
              <w:ind w:firstLine="480" w:firstLineChars="200"/>
              <w:rPr>
                <w:rFonts w:hAnsi="宋体"/>
                <w:color w:val="auto"/>
                <w:sz w:val="24"/>
                <w:szCs w:val="20"/>
              </w:rPr>
            </w:pPr>
            <m:oMathPara>
              <m:oMath>
                <m:r>
                  <m:rPr>
                    <m:sty m:val="p"/>
                  </m:rPr>
                  <w:rPr>
                    <w:rFonts w:ascii="Cambria Math" w:hAnsi="Cambria Math"/>
                    <w:color w:val="auto"/>
                    <w:sz w:val="24"/>
                    <w:szCs w:val="20"/>
                  </w:rPr>
                  <m:t>Q=1133.33</m:t>
                </m:r>
                <m:sSup>
                  <m:sSupPr>
                    <m:ctrlPr>
                      <w:rPr>
                        <w:rFonts w:ascii="Cambria Math" w:hAnsi="Cambria Math"/>
                        <w:color w:val="auto"/>
                        <w:sz w:val="24"/>
                        <w:szCs w:val="20"/>
                      </w:rPr>
                    </m:ctrlPr>
                  </m:sSupPr>
                  <m:e>
                    <m:r>
                      <m:rPr/>
                      <w:rPr>
                        <w:rFonts w:ascii="Cambria Math" w:hAnsi="Cambria Math"/>
                        <w:color w:val="auto"/>
                        <w:sz w:val="24"/>
                        <w:szCs w:val="20"/>
                      </w:rPr>
                      <m:t>U</m:t>
                    </m:r>
                    <m:ctrlPr>
                      <w:rPr>
                        <w:rFonts w:ascii="Cambria Math" w:hAnsi="Cambria Math"/>
                        <w:color w:val="auto"/>
                        <w:sz w:val="24"/>
                        <w:szCs w:val="20"/>
                      </w:rPr>
                    </m:ctrlPr>
                  </m:e>
                  <m:sup>
                    <m:r>
                      <m:rPr/>
                      <w:rPr>
                        <w:rFonts w:ascii="Cambria Math" w:hAnsi="Cambria Math"/>
                        <w:color w:val="auto"/>
                        <w:sz w:val="24"/>
                        <w:szCs w:val="20"/>
                      </w:rPr>
                      <m:t>1.6</m:t>
                    </m:r>
                    <m:ctrlPr>
                      <w:rPr>
                        <w:rFonts w:ascii="Cambria Math" w:hAnsi="Cambria Math"/>
                        <w:color w:val="auto"/>
                        <w:sz w:val="24"/>
                        <w:szCs w:val="20"/>
                      </w:rPr>
                    </m:ctrlPr>
                  </m:sup>
                </m:sSup>
                <m:sSup>
                  <m:sSupPr>
                    <m:ctrlPr>
                      <w:rPr>
                        <w:rFonts w:ascii="Cambria Math" w:hAnsi="Cambria Math"/>
                        <w:i/>
                        <w:color w:val="auto"/>
                        <w:sz w:val="24"/>
                        <w:szCs w:val="20"/>
                      </w:rPr>
                    </m:ctrlPr>
                  </m:sSupPr>
                  <m:e>
                    <m:r>
                      <m:rPr/>
                      <w:rPr>
                        <w:rFonts w:ascii="Cambria Math" w:hAnsi="Cambria Math"/>
                        <w:color w:val="auto"/>
                        <w:sz w:val="24"/>
                        <w:szCs w:val="20"/>
                      </w:rPr>
                      <m:t>H</m:t>
                    </m:r>
                    <m:ctrlPr>
                      <w:rPr>
                        <w:rFonts w:ascii="Cambria Math" w:hAnsi="Cambria Math"/>
                        <w:i/>
                        <w:color w:val="auto"/>
                        <w:sz w:val="24"/>
                        <w:szCs w:val="20"/>
                      </w:rPr>
                    </m:ctrlPr>
                  </m:e>
                  <m:sup>
                    <m:r>
                      <m:rPr/>
                      <w:rPr>
                        <w:rFonts w:ascii="Cambria Math" w:hAnsi="Cambria Math"/>
                        <w:color w:val="auto"/>
                        <w:sz w:val="24"/>
                        <w:szCs w:val="20"/>
                      </w:rPr>
                      <m:t>1.23</m:t>
                    </m:r>
                    <m:ctrlPr>
                      <w:rPr>
                        <w:rFonts w:ascii="Cambria Math" w:hAnsi="Cambria Math"/>
                        <w:i/>
                        <w:color w:val="auto"/>
                        <w:sz w:val="24"/>
                        <w:szCs w:val="20"/>
                      </w:rPr>
                    </m:ctrlPr>
                  </m:sup>
                </m:sSup>
                <m:sSup>
                  <m:sSupPr>
                    <m:ctrlPr>
                      <w:rPr>
                        <w:rFonts w:ascii="Cambria Math" w:hAnsi="Cambria Math"/>
                        <w:i/>
                        <w:color w:val="auto"/>
                        <w:sz w:val="24"/>
                        <w:szCs w:val="20"/>
                      </w:rPr>
                    </m:ctrlPr>
                  </m:sSupPr>
                  <m:e>
                    <m:r>
                      <m:rPr/>
                      <w:rPr>
                        <w:rFonts w:ascii="Cambria Math" w:hAnsi="Cambria Math"/>
                        <w:color w:val="auto"/>
                        <w:sz w:val="24"/>
                        <w:szCs w:val="20"/>
                      </w:rPr>
                      <m:t>e</m:t>
                    </m:r>
                    <m:ctrlPr>
                      <w:rPr>
                        <w:rFonts w:ascii="Cambria Math" w:hAnsi="Cambria Math"/>
                        <w:i/>
                        <w:color w:val="auto"/>
                        <w:sz w:val="24"/>
                        <w:szCs w:val="20"/>
                      </w:rPr>
                    </m:ctrlPr>
                  </m:e>
                  <m:sup>
                    <m:r>
                      <m:rPr/>
                      <w:rPr>
                        <w:rFonts w:ascii="Cambria Math" w:hAnsi="Cambria Math"/>
                        <w:color w:val="auto"/>
                        <w:sz w:val="24"/>
                        <w:szCs w:val="20"/>
                      </w:rPr>
                      <m:t>−0.28W</m:t>
                    </m:r>
                    <m:ctrlPr>
                      <w:rPr>
                        <w:rFonts w:ascii="Cambria Math" w:hAnsi="Cambria Math"/>
                        <w:i/>
                        <w:color w:val="auto"/>
                        <w:sz w:val="24"/>
                        <w:szCs w:val="20"/>
                      </w:rPr>
                    </m:ctrlPr>
                  </m:sup>
                </m:sSup>
              </m:oMath>
            </m:oMathPara>
          </w:p>
          <w:p>
            <w:pPr>
              <w:adjustRightInd w:val="0"/>
              <w:snapToGrid w:val="0"/>
              <w:spacing w:line="360" w:lineRule="auto"/>
              <w:ind w:firstLine="480" w:firstLineChars="200"/>
              <w:rPr>
                <w:color w:val="auto"/>
                <w:sz w:val="24"/>
                <w:lang w:val="en-GB"/>
              </w:rPr>
            </w:pPr>
            <w:r>
              <w:rPr>
                <w:rFonts w:hint="eastAsia"/>
                <w:color w:val="auto"/>
                <w:sz w:val="24"/>
                <w:lang w:val="en-GB"/>
              </w:rPr>
              <w:t>式中：Q—装卸起尘强度，mg/s；</w:t>
            </w:r>
          </w:p>
          <w:p>
            <w:pPr>
              <w:adjustRightInd w:val="0"/>
              <w:snapToGrid w:val="0"/>
              <w:spacing w:line="360" w:lineRule="auto"/>
              <w:ind w:firstLine="1200" w:firstLineChars="500"/>
              <w:rPr>
                <w:color w:val="auto"/>
                <w:sz w:val="24"/>
                <w:lang w:val="en-GB"/>
              </w:rPr>
            </w:pPr>
            <w:r>
              <w:rPr>
                <w:rFonts w:hint="eastAsia"/>
                <w:color w:val="auto"/>
                <w:sz w:val="24"/>
                <w:lang w:val="en-GB"/>
              </w:rPr>
              <w:t>U—地面风速，m/s，取0.5m/s；</w:t>
            </w:r>
          </w:p>
          <w:p>
            <w:pPr>
              <w:adjustRightInd w:val="0"/>
              <w:snapToGrid w:val="0"/>
              <w:spacing w:line="360" w:lineRule="auto"/>
              <w:ind w:firstLine="1200" w:firstLineChars="500"/>
              <w:rPr>
                <w:color w:val="auto"/>
                <w:sz w:val="24"/>
                <w:lang w:val="en-GB"/>
              </w:rPr>
            </w:pPr>
            <w:r>
              <w:rPr>
                <w:rFonts w:hint="eastAsia"/>
                <w:color w:val="auto"/>
                <w:sz w:val="24"/>
                <w:lang w:val="en-GB"/>
              </w:rPr>
              <w:t>H—物料落差，m，取1.5m；</w:t>
            </w:r>
          </w:p>
          <w:p>
            <w:pPr>
              <w:adjustRightInd w:val="0"/>
              <w:snapToGrid w:val="0"/>
              <w:spacing w:line="360" w:lineRule="auto"/>
              <w:ind w:firstLine="1200" w:firstLineChars="500"/>
              <w:rPr>
                <w:color w:val="auto"/>
                <w:sz w:val="24"/>
                <w:lang w:val="en-GB"/>
              </w:rPr>
            </w:pPr>
            <w:r>
              <w:rPr>
                <w:rFonts w:hint="eastAsia"/>
                <w:color w:val="auto"/>
                <w:sz w:val="24"/>
                <w:lang w:val="en-GB"/>
              </w:rPr>
              <w:t>W—产品含水率，%，取8%；</w:t>
            </w:r>
          </w:p>
          <w:p>
            <w:pPr>
              <w:spacing w:line="360" w:lineRule="auto"/>
              <w:ind w:firstLine="480" w:firstLineChars="200"/>
              <w:jc w:val="left"/>
              <w:rPr>
                <w:color w:val="auto"/>
                <w:sz w:val="24"/>
              </w:rPr>
            </w:pPr>
            <w:r>
              <w:rPr>
                <w:rFonts w:hint="eastAsia"/>
                <w:color w:val="auto"/>
                <w:sz w:val="24"/>
                <w:lang w:val="en-GB"/>
              </w:rPr>
              <w:t>经计算，装卸起尘强度为601.97 mg/s，根据建设单位提供资料，砂石装卸时间为</w:t>
            </w:r>
            <w:r>
              <w:rPr>
                <w:rFonts w:hint="eastAsia"/>
                <w:color w:val="auto"/>
                <w:sz w:val="24"/>
                <w:lang w:val="en-US" w:eastAsia="zh-CN"/>
              </w:rPr>
              <w:t>7.5</w:t>
            </w:r>
            <w:r>
              <w:rPr>
                <w:rFonts w:hint="eastAsia"/>
                <w:color w:val="auto"/>
                <w:sz w:val="24"/>
                <w:lang w:val="en-GB"/>
              </w:rPr>
              <w:t>h</w:t>
            </w:r>
            <w:r>
              <w:rPr>
                <w:rFonts w:hint="eastAsia"/>
                <w:color w:val="auto"/>
                <w:sz w:val="24"/>
                <w:lang w:val="en-GB"/>
              </w:rPr>
              <w:t>，则年装卸起尘量约为</w:t>
            </w:r>
            <w:r>
              <w:rPr>
                <w:rFonts w:hint="eastAsia"/>
                <w:color w:val="auto"/>
                <w:sz w:val="24"/>
                <w:highlight w:val="none"/>
                <w:lang w:val="en-US" w:eastAsia="zh-CN"/>
              </w:rPr>
              <w:t>0.02</w:t>
            </w:r>
            <w:r>
              <w:rPr>
                <w:rFonts w:hint="eastAsia"/>
                <w:color w:val="auto"/>
                <w:sz w:val="24"/>
                <w:highlight w:val="none"/>
                <w:lang w:val="en-GB"/>
              </w:rPr>
              <w:t>t/a，</w:t>
            </w:r>
            <w:r>
              <w:rPr>
                <w:color w:val="auto"/>
                <w:sz w:val="24"/>
                <w:highlight w:val="none"/>
              </w:rPr>
              <w:t>产生速率为</w:t>
            </w:r>
            <w:r>
              <w:rPr>
                <w:rFonts w:hint="eastAsia"/>
                <w:color w:val="auto"/>
                <w:sz w:val="24"/>
                <w:highlight w:val="none"/>
              </w:rPr>
              <w:t>2</w:t>
            </w:r>
            <w:r>
              <w:rPr>
                <w:rFonts w:hint="eastAsia"/>
                <w:color w:val="auto"/>
                <w:sz w:val="24"/>
                <w:highlight w:val="none"/>
                <w:lang w:val="en-US" w:eastAsia="zh-CN"/>
              </w:rPr>
              <w:t>.17</w:t>
            </w:r>
            <w:r>
              <w:rPr>
                <w:color w:val="auto"/>
                <w:sz w:val="24"/>
                <w:highlight w:val="none"/>
              </w:rPr>
              <w:t>kg/h</w:t>
            </w:r>
            <w:r>
              <w:rPr>
                <w:rFonts w:hint="eastAsia"/>
                <w:color w:val="auto"/>
                <w:sz w:val="24"/>
                <w:lang w:val="en-GB"/>
              </w:rPr>
              <w:t>。</w:t>
            </w:r>
            <w:r>
              <w:rPr>
                <w:rFonts w:hint="eastAsia" w:hAnsi="宋体"/>
                <w:color w:val="auto"/>
                <w:sz w:val="24"/>
                <w:szCs w:val="20"/>
              </w:rPr>
              <w:t>项目在砂石料斗处设置3面挡墙及顶盖对该工序粉尘进行物理阻隔后无组织排放，</w:t>
            </w:r>
            <w:r>
              <w:rPr>
                <w:rFonts w:hint="eastAsia"/>
                <w:color w:val="auto"/>
                <w:sz w:val="24"/>
                <w:highlight w:val="none"/>
              </w:rPr>
              <w:t>阻隔量</w:t>
            </w:r>
            <w:r>
              <w:rPr>
                <w:color w:val="auto"/>
                <w:sz w:val="24"/>
                <w:highlight w:val="none"/>
              </w:rPr>
              <w:t>为</w:t>
            </w:r>
            <w:r>
              <w:rPr>
                <w:rFonts w:hint="eastAsia"/>
                <w:color w:val="auto"/>
                <w:sz w:val="24"/>
                <w:highlight w:val="none"/>
                <w:lang w:val="en-US" w:eastAsia="zh-CN"/>
              </w:rPr>
              <w:t>78</w:t>
            </w:r>
            <w:r>
              <w:rPr>
                <w:color w:val="auto"/>
                <w:sz w:val="24"/>
                <w:highlight w:val="none"/>
              </w:rPr>
              <w:t>%，则</w:t>
            </w:r>
            <w:r>
              <w:rPr>
                <w:rFonts w:hint="eastAsia"/>
                <w:color w:val="auto"/>
                <w:sz w:val="24"/>
                <w:highlight w:val="none"/>
                <w:lang w:eastAsia="zh-CN"/>
              </w:rPr>
              <w:t>砂石进料</w:t>
            </w:r>
            <w:r>
              <w:rPr>
                <w:color w:val="auto"/>
                <w:sz w:val="24"/>
                <w:highlight w:val="none"/>
              </w:rPr>
              <w:t>粉尘排放量为</w:t>
            </w:r>
            <w:r>
              <w:rPr>
                <w:rFonts w:hint="eastAsia"/>
                <w:color w:val="auto"/>
                <w:sz w:val="24"/>
                <w:highlight w:val="none"/>
              </w:rPr>
              <w:t>0.003</w:t>
            </w:r>
            <w:r>
              <w:rPr>
                <w:rFonts w:hint="eastAsia"/>
                <w:color w:val="auto"/>
                <w:sz w:val="24"/>
                <w:highlight w:val="none"/>
                <w:lang w:val="en-US" w:eastAsia="zh-CN"/>
              </w:rPr>
              <w:t>6</w:t>
            </w:r>
            <w:r>
              <w:rPr>
                <w:rFonts w:hint="eastAsia"/>
                <w:color w:val="auto"/>
                <w:sz w:val="24"/>
                <w:highlight w:val="none"/>
              </w:rPr>
              <w:t>t</w:t>
            </w:r>
            <w:r>
              <w:rPr>
                <w:color w:val="auto"/>
                <w:sz w:val="24"/>
                <w:highlight w:val="none"/>
              </w:rPr>
              <w:t>/a，排放速率为</w:t>
            </w:r>
            <w:r>
              <w:rPr>
                <w:rFonts w:hint="eastAsia"/>
                <w:color w:val="auto"/>
                <w:sz w:val="24"/>
                <w:highlight w:val="none"/>
              </w:rPr>
              <w:t>0.</w:t>
            </w:r>
            <w:r>
              <w:rPr>
                <w:rFonts w:hint="eastAsia"/>
                <w:color w:val="auto"/>
                <w:sz w:val="24"/>
                <w:highlight w:val="none"/>
                <w:lang w:val="en-US" w:eastAsia="zh-CN"/>
              </w:rPr>
              <w:t>47</w:t>
            </w:r>
            <w:r>
              <w:rPr>
                <w:rFonts w:hint="eastAsia"/>
                <w:color w:val="auto"/>
                <w:sz w:val="24"/>
                <w:highlight w:val="none"/>
              </w:rPr>
              <w:t xml:space="preserve"> </w:t>
            </w:r>
            <w:r>
              <w:rPr>
                <w:color w:val="auto"/>
                <w:sz w:val="24"/>
                <w:highlight w:val="none"/>
              </w:rPr>
              <w:t>kg/h。</w:t>
            </w:r>
          </w:p>
          <w:p>
            <w:pPr>
              <w:adjustRightInd w:val="0"/>
              <w:snapToGrid w:val="0"/>
              <w:spacing w:line="360" w:lineRule="auto"/>
              <w:ind w:firstLine="480" w:firstLineChars="200"/>
              <w:jc w:val="left"/>
              <w:rPr>
                <w:rFonts w:hAnsi="宋体"/>
                <w:color w:val="auto"/>
                <w:sz w:val="24"/>
                <w:szCs w:val="20"/>
                <w:highlight w:val="none"/>
              </w:rPr>
            </w:pPr>
            <w:r>
              <w:rPr>
                <w:rFonts w:hint="eastAsia" w:hAnsi="宋体"/>
                <w:color w:val="auto"/>
                <w:sz w:val="24"/>
                <w:szCs w:val="20"/>
                <w:highlight w:val="none"/>
                <w:lang w:eastAsia="zh-CN"/>
              </w:rPr>
              <w:t>③</w:t>
            </w:r>
            <w:r>
              <w:rPr>
                <w:rFonts w:hint="eastAsia" w:hAnsi="宋体"/>
                <w:color w:val="auto"/>
                <w:sz w:val="24"/>
                <w:szCs w:val="20"/>
                <w:highlight w:val="none"/>
              </w:rPr>
              <w:t>砂石筒仓储存粉尘</w:t>
            </w:r>
          </w:p>
          <w:p>
            <w:pPr>
              <w:adjustRightInd w:val="0"/>
              <w:snapToGrid w:val="0"/>
              <w:spacing w:line="360" w:lineRule="auto"/>
              <w:ind w:firstLine="480" w:firstLineChars="200"/>
              <w:rPr>
                <w:color w:val="auto"/>
                <w:sz w:val="24"/>
                <w:lang w:val="en-GB"/>
              </w:rPr>
            </w:pPr>
            <w:r>
              <w:rPr>
                <w:rFonts w:hint="eastAsia" w:hAnsi="宋体"/>
                <w:color w:val="auto"/>
                <w:sz w:val="24"/>
                <w:szCs w:val="20"/>
              </w:rPr>
              <w:t>砂石料斗的砂石再通过辅料提升系统（斗式提升机）输送至砂石筒仓。参照已批复的《蒲城尧柏特种水泥有限公司年产30万吨粘结剂干法混拌生产线技改项目环境影响报告表》（2020.5）中物料储存粉尘的产生量约为储存量的0.05%。</w:t>
            </w:r>
            <w:r>
              <w:rPr>
                <w:rFonts w:hint="eastAsia"/>
                <w:color w:val="auto"/>
                <w:sz w:val="24"/>
                <w:lang w:val="en-GB"/>
              </w:rPr>
              <w:t xml:space="preserve"> </w:t>
            </w:r>
          </w:p>
          <w:p>
            <w:pPr>
              <w:spacing w:line="360" w:lineRule="auto"/>
              <w:ind w:firstLine="480" w:firstLineChars="200"/>
              <w:jc w:val="left"/>
              <w:rPr>
                <w:color w:val="auto"/>
                <w:sz w:val="24"/>
                <w:lang w:val="en-GB"/>
              </w:rPr>
            </w:pPr>
            <w:r>
              <w:rPr>
                <w:color w:val="auto"/>
                <w:sz w:val="24"/>
                <w:lang w:val="en-GB"/>
              </w:rPr>
              <w:t>项目砂石年用量</w:t>
            </w:r>
            <w:r>
              <w:rPr>
                <w:rFonts w:hint="eastAsia"/>
                <w:color w:val="auto"/>
                <w:sz w:val="24"/>
                <w:lang w:val="en-GB"/>
              </w:rPr>
              <w:t>150.78</w:t>
            </w:r>
            <w:r>
              <w:rPr>
                <w:color w:val="auto"/>
                <w:sz w:val="24"/>
                <w:lang w:val="en-GB"/>
              </w:rPr>
              <w:t>t，则砂石存储过程中粉尘产生量</w:t>
            </w:r>
            <w:r>
              <w:rPr>
                <w:color w:val="auto"/>
                <w:sz w:val="24"/>
                <w:highlight w:val="none"/>
                <w:lang w:val="en-GB"/>
              </w:rPr>
              <w:t>为</w:t>
            </w:r>
            <w:r>
              <w:rPr>
                <w:rFonts w:hint="eastAsia"/>
                <w:color w:val="auto"/>
                <w:sz w:val="24"/>
                <w:highlight w:val="none"/>
                <w:lang w:val="en-GB"/>
              </w:rPr>
              <w:t>0.07</w:t>
            </w:r>
            <w:r>
              <w:rPr>
                <w:color w:val="auto"/>
                <w:sz w:val="24"/>
                <w:highlight w:val="none"/>
                <w:lang w:val="en-GB"/>
              </w:rPr>
              <w:t>t/a。</w:t>
            </w:r>
            <w:r>
              <w:rPr>
                <w:color w:val="auto"/>
                <w:sz w:val="24"/>
                <w:lang w:val="en-GB"/>
              </w:rPr>
              <w:t>根据建设单位提供资料，该工序年工作时间为</w:t>
            </w:r>
            <w:r>
              <w:rPr>
                <w:rFonts w:hint="eastAsia"/>
                <w:color w:val="auto"/>
                <w:sz w:val="24"/>
                <w:lang w:val="en-GB"/>
              </w:rPr>
              <w:t>20h</w:t>
            </w:r>
            <w:r>
              <w:rPr>
                <w:color w:val="auto"/>
                <w:sz w:val="24"/>
                <w:lang w:val="en-GB"/>
              </w:rPr>
              <w:t>。经计算，产生速率为</w:t>
            </w:r>
            <w:r>
              <w:rPr>
                <w:rFonts w:hint="eastAsia"/>
                <w:color w:val="auto"/>
                <w:sz w:val="24"/>
                <w:lang w:val="en-GB"/>
              </w:rPr>
              <w:t>3.5</w:t>
            </w:r>
            <w:r>
              <w:rPr>
                <w:color w:val="auto"/>
                <w:sz w:val="24"/>
                <w:lang w:val="en-GB"/>
              </w:rPr>
              <w:t>kg/h，产生浓度为</w:t>
            </w:r>
            <w:r>
              <w:rPr>
                <w:rFonts w:hint="eastAsia"/>
                <w:color w:val="auto"/>
                <w:sz w:val="24"/>
                <w:lang w:val="en-GB"/>
              </w:rPr>
              <w:t>3500</w:t>
            </w:r>
            <w:r>
              <w:rPr>
                <w:color w:val="auto"/>
                <w:sz w:val="24"/>
                <w:lang w:val="en-GB"/>
              </w:rPr>
              <w:t>mg/m</w:t>
            </w:r>
            <w:r>
              <w:rPr>
                <w:color w:val="auto"/>
                <w:sz w:val="24"/>
                <w:vertAlign w:val="superscript"/>
                <w:lang w:val="en-GB"/>
              </w:rPr>
              <w:t>3</w:t>
            </w:r>
            <w:r>
              <w:rPr>
                <w:color w:val="auto"/>
                <w:sz w:val="24"/>
                <w:lang w:val="en-GB"/>
              </w:rPr>
              <w:t>。砂石</w:t>
            </w:r>
            <w:r>
              <w:rPr>
                <w:rFonts w:hint="eastAsia" w:hAnsi="宋体"/>
                <w:color w:val="auto"/>
                <w:sz w:val="24"/>
                <w:szCs w:val="20"/>
              </w:rPr>
              <w:t>筒仓储存</w:t>
            </w:r>
            <w:r>
              <w:rPr>
                <w:color w:val="auto"/>
                <w:sz w:val="24"/>
                <w:lang w:val="en-GB"/>
              </w:rPr>
              <w:t>粉尘经仓顶</w:t>
            </w:r>
            <w:r>
              <w:rPr>
                <w:color w:val="auto"/>
                <w:sz w:val="24"/>
              </w:rPr>
              <w:t>脉冲布袋除尘器</w:t>
            </w:r>
            <w:r>
              <w:rPr>
                <w:color w:val="auto"/>
                <w:sz w:val="24"/>
                <w:lang w:val="en-GB"/>
              </w:rPr>
              <w:t>（除尘效率99.</w:t>
            </w:r>
            <w:r>
              <w:rPr>
                <w:rFonts w:hint="eastAsia"/>
                <w:color w:val="auto"/>
                <w:sz w:val="24"/>
                <w:lang w:val="en-GB"/>
              </w:rPr>
              <w:t>9</w:t>
            </w:r>
            <w:r>
              <w:rPr>
                <w:color w:val="auto"/>
                <w:sz w:val="24"/>
                <w:lang w:val="en-GB"/>
              </w:rPr>
              <w:t>%，风机风量</w:t>
            </w:r>
            <w:r>
              <w:rPr>
                <w:rFonts w:hint="eastAsia"/>
                <w:color w:val="auto"/>
                <w:sz w:val="24"/>
                <w:lang w:val="en-GB"/>
              </w:rPr>
              <w:t>1000m</w:t>
            </w:r>
            <w:r>
              <w:rPr>
                <w:rFonts w:hint="eastAsia"/>
                <w:color w:val="auto"/>
                <w:sz w:val="24"/>
                <w:vertAlign w:val="superscript"/>
                <w:lang w:val="en-GB"/>
              </w:rPr>
              <w:t>3</w:t>
            </w:r>
            <w:r>
              <w:rPr>
                <w:rFonts w:hint="eastAsia"/>
                <w:color w:val="auto"/>
                <w:sz w:val="24"/>
                <w:lang w:val="en-GB"/>
              </w:rPr>
              <w:t>/h</w:t>
            </w:r>
            <w:r>
              <w:rPr>
                <w:color w:val="auto"/>
                <w:sz w:val="24"/>
                <w:lang w:val="en-GB"/>
              </w:rPr>
              <w:t>）处理后排放，则排放量约为</w:t>
            </w:r>
            <w:r>
              <w:rPr>
                <w:rFonts w:hint="eastAsia"/>
                <w:color w:val="auto"/>
                <w:sz w:val="24"/>
                <w:lang w:val="en-GB"/>
              </w:rPr>
              <w:t>0.00007</w:t>
            </w:r>
            <w:r>
              <w:rPr>
                <w:color w:val="auto"/>
                <w:sz w:val="24"/>
                <w:lang w:val="en-GB"/>
              </w:rPr>
              <w:t>t/a，排放速率</w:t>
            </w:r>
            <w:r>
              <w:rPr>
                <w:rFonts w:hint="eastAsia"/>
                <w:color w:val="auto"/>
                <w:sz w:val="24"/>
                <w:lang w:val="en-GB"/>
              </w:rPr>
              <w:t>0.004</w:t>
            </w:r>
            <w:r>
              <w:rPr>
                <w:color w:val="auto"/>
                <w:sz w:val="24"/>
                <w:lang w:val="en-GB"/>
              </w:rPr>
              <w:t>kg/h，排放浓度为</w:t>
            </w:r>
            <w:r>
              <w:rPr>
                <w:rFonts w:hint="eastAsia"/>
                <w:color w:val="auto"/>
                <w:sz w:val="24"/>
                <w:lang w:val="en-GB"/>
              </w:rPr>
              <w:t>3.5</w:t>
            </w:r>
            <w:r>
              <w:rPr>
                <w:color w:val="auto"/>
                <w:sz w:val="24"/>
                <w:lang w:val="en-GB"/>
              </w:rPr>
              <w:t>mg/m</w:t>
            </w:r>
            <w:r>
              <w:rPr>
                <w:color w:val="auto"/>
                <w:sz w:val="24"/>
                <w:vertAlign w:val="superscript"/>
                <w:lang w:val="en-GB"/>
              </w:rPr>
              <w:t>3</w:t>
            </w:r>
            <w:r>
              <w:rPr>
                <w:color w:val="auto"/>
                <w:sz w:val="24"/>
                <w:lang w:val="en-GB"/>
              </w:rPr>
              <w:t>。</w:t>
            </w:r>
          </w:p>
          <w:p>
            <w:pPr>
              <w:adjustRightInd w:val="0"/>
              <w:snapToGrid w:val="0"/>
              <w:spacing w:line="360" w:lineRule="auto"/>
              <w:ind w:firstLine="480" w:firstLineChars="200"/>
              <w:jc w:val="left"/>
              <w:rPr>
                <w:rFonts w:hAnsi="宋体"/>
                <w:color w:val="auto"/>
                <w:sz w:val="24"/>
                <w:szCs w:val="20"/>
              </w:rPr>
            </w:pPr>
            <w:r>
              <w:rPr>
                <w:rFonts w:hint="eastAsia" w:hAnsi="宋体"/>
                <w:color w:val="auto"/>
                <w:sz w:val="24"/>
                <w:szCs w:val="20"/>
                <w:lang w:eastAsia="zh-CN"/>
              </w:rPr>
              <w:t>④</w:t>
            </w:r>
            <w:r>
              <w:rPr>
                <w:rFonts w:hint="eastAsia" w:hAnsi="宋体"/>
                <w:color w:val="auto"/>
                <w:sz w:val="24"/>
                <w:szCs w:val="20"/>
              </w:rPr>
              <w:t>上料工序粉尘</w:t>
            </w:r>
          </w:p>
          <w:p>
            <w:pPr>
              <w:spacing w:line="360" w:lineRule="auto"/>
              <w:ind w:firstLine="480"/>
              <w:rPr>
                <w:color w:val="auto"/>
                <w:sz w:val="24"/>
              </w:rPr>
            </w:pPr>
            <w:r>
              <w:rPr>
                <w:rFonts w:hint="eastAsia" w:hAnsi="宋体"/>
                <w:color w:val="auto"/>
                <w:sz w:val="24"/>
                <w:szCs w:val="20"/>
              </w:rPr>
              <w:t>外购的石灰、石膏及三种外加剂，均是袋装形式暂存厂内，后由叉车运至生产线附近，之后由升降机提升至对应的辅料上料仓的设备平台进行人工破袋上料。</w:t>
            </w:r>
            <w:r>
              <w:rPr>
                <w:color w:val="auto"/>
                <w:sz w:val="24"/>
              </w:rPr>
              <w:t>参照《逸散性工业粉尘控制技术》中表22-1混凝土分批搅拌厂的逸散尘排放因子中“5 装水泥、砂和粒料入称量斗”排放因子0.01kg/t。项目石灰、石膏及三种外加剂总用量为</w:t>
            </w:r>
            <w:r>
              <w:rPr>
                <w:rFonts w:hint="eastAsia"/>
                <w:color w:val="auto"/>
                <w:sz w:val="24"/>
              </w:rPr>
              <w:t>1387.17</w:t>
            </w:r>
            <w:r>
              <w:rPr>
                <w:color w:val="auto"/>
                <w:sz w:val="24"/>
              </w:rPr>
              <w:t>t/a，故上料工序产尘量为</w:t>
            </w:r>
            <w:r>
              <w:rPr>
                <w:rFonts w:hint="eastAsia"/>
                <w:color w:val="auto"/>
                <w:sz w:val="24"/>
              </w:rPr>
              <w:t>0.01</w:t>
            </w:r>
            <w:r>
              <w:rPr>
                <w:color w:val="auto"/>
                <w:sz w:val="24"/>
              </w:rPr>
              <w:t>t/a。</w:t>
            </w:r>
          </w:p>
          <w:p>
            <w:pPr>
              <w:adjustRightInd w:val="0"/>
              <w:snapToGrid w:val="0"/>
              <w:spacing w:line="360" w:lineRule="auto"/>
              <w:ind w:firstLine="480" w:firstLineChars="200"/>
              <w:jc w:val="left"/>
              <w:rPr>
                <w:rFonts w:hAnsi="宋体"/>
                <w:color w:val="auto"/>
                <w:sz w:val="24"/>
                <w:szCs w:val="20"/>
              </w:rPr>
            </w:pPr>
            <w:r>
              <w:rPr>
                <w:rFonts w:hint="eastAsia" w:hAnsi="宋体"/>
                <w:color w:val="auto"/>
                <w:sz w:val="24"/>
                <w:szCs w:val="20"/>
                <w:lang w:eastAsia="zh-CN"/>
              </w:rPr>
              <w:t>⑤</w:t>
            </w:r>
            <w:r>
              <w:rPr>
                <w:rFonts w:hint="eastAsia" w:hAnsi="宋体"/>
                <w:color w:val="auto"/>
                <w:sz w:val="24"/>
                <w:szCs w:val="20"/>
              </w:rPr>
              <w:t>配料工序粉尘</w:t>
            </w:r>
          </w:p>
          <w:p>
            <w:pPr>
              <w:spacing w:line="360" w:lineRule="auto"/>
              <w:ind w:firstLine="480"/>
              <w:rPr>
                <w:color w:val="auto"/>
                <w:sz w:val="24"/>
              </w:rPr>
            </w:pPr>
            <w:r>
              <w:rPr>
                <w:rFonts w:hint="eastAsia" w:hAnsi="宋体"/>
                <w:color w:val="auto"/>
                <w:sz w:val="24"/>
                <w:szCs w:val="20"/>
              </w:rPr>
              <w:t>项目采用密闭式螺旋输送机将原辅材料送至配料仓进行称重和配料，</w:t>
            </w:r>
            <w:r>
              <w:rPr>
                <w:color w:val="auto"/>
                <w:sz w:val="24"/>
              </w:rPr>
              <w:t>参照《逸散性工业粉尘控制技术》中表22-1混凝土分批搅拌厂的逸散尘排放因子中“5 装水泥、砂和粒料入称量斗”排放因子0.01kg/t。</w:t>
            </w:r>
            <w:r>
              <w:rPr>
                <w:rFonts w:hint="eastAsia"/>
                <w:color w:val="auto"/>
                <w:sz w:val="24"/>
              </w:rPr>
              <w:t>则</w:t>
            </w:r>
            <w:r>
              <w:rPr>
                <w:color w:val="auto"/>
                <w:sz w:val="24"/>
              </w:rPr>
              <w:t>项目原辅材料总用量为</w:t>
            </w:r>
            <w:r>
              <w:rPr>
                <w:rFonts w:hint="eastAsia"/>
                <w:color w:val="auto"/>
                <w:sz w:val="24"/>
              </w:rPr>
              <w:t>20000.03687</w:t>
            </w:r>
            <w:r>
              <w:rPr>
                <w:color w:val="auto"/>
                <w:sz w:val="24"/>
              </w:rPr>
              <w:t>t/a，故配料工序产尘量为</w:t>
            </w:r>
            <w:r>
              <w:rPr>
                <w:rFonts w:hint="eastAsia"/>
                <w:color w:val="auto"/>
                <w:sz w:val="24"/>
              </w:rPr>
              <w:t>0.2</w:t>
            </w:r>
            <w:r>
              <w:rPr>
                <w:color w:val="auto"/>
                <w:sz w:val="24"/>
              </w:rPr>
              <w:t>t/a。</w:t>
            </w:r>
          </w:p>
          <w:p>
            <w:pPr>
              <w:adjustRightInd w:val="0"/>
              <w:snapToGrid w:val="0"/>
              <w:spacing w:line="360" w:lineRule="auto"/>
              <w:ind w:firstLine="480" w:firstLineChars="200"/>
              <w:jc w:val="left"/>
              <w:rPr>
                <w:rFonts w:hAnsi="宋体"/>
                <w:color w:val="auto"/>
                <w:sz w:val="24"/>
                <w:szCs w:val="20"/>
              </w:rPr>
            </w:pPr>
            <w:r>
              <w:rPr>
                <w:rFonts w:hint="eastAsia" w:hAnsi="宋体"/>
                <w:color w:val="auto"/>
                <w:sz w:val="24"/>
                <w:szCs w:val="20"/>
                <w:lang w:eastAsia="zh-CN"/>
              </w:rPr>
              <w:t>⑥</w:t>
            </w:r>
            <w:r>
              <w:rPr>
                <w:rFonts w:hint="eastAsia" w:hAnsi="宋体"/>
                <w:color w:val="auto"/>
                <w:sz w:val="24"/>
                <w:szCs w:val="20"/>
              </w:rPr>
              <w:t>混料工序粉尘</w:t>
            </w:r>
          </w:p>
          <w:p>
            <w:pPr>
              <w:adjustRightInd w:val="0"/>
              <w:snapToGrid w:val="0"/>
              <w:spacing w:line="360" w:lineRule="auto"/>
              <w:ind w:firstLine="480" w:firstLineChars="200"/>
              <w:rPr>
                <w:rFonts w:hAnsi="宋体"/>
                <w:color w:val="auto"/>
                <w:sz w:val="24"/>
                <w:szCs w:val="20"/>
              </w:rPr>
            </w:pPr>
            <w:r>
              <w:rPr>
                <w:color w:val="auto"/>
                <w:sz w:val="24"/>
              </w:rPr>
              <w:t>项目搅拌工段在密闭搅拌机中进行，参照</w:t>
            </w:r>
            <w:r>
              <w:rPr>
                <w:color w:val="auto"/>
                <w:sz w:val="24"/>
                <w:lang w:val="en-GB"/>
              </w:rPr>
              <w:t>《</w:t>
            </w:r>
            <w:r>
              <w:rPr>
                <w:rFonts w:hint="eastAsia"/>
                <w:color w:val="auto"/>
                <w:sz w:val="24"/>
                <w:lang w:val="en-GB"/>
              </w:rPr>
              <w:t>排放源统计调查产排污核算方法和系数手册</w:t>
            </w:r>
            <w:r>
              <w:rPr>
                <w:color w:val="auto"/>
                <w:sz w:val="24"/>
                <w:lang w:val="en-GB"/>
              </w:rPr>
              <w:t>》（20</w:t>
            </w:r>
            <w:r>
              <w:rPr>
                <w:rFonts w:hint="eastAsia"/>
                <w:color w:val="auto"/>
                <w:sz w:val="24"/>
                <w:lang w:val="en-GB"/>
              </w:rPr>
              <w:t>21</w:t>
            </w:r>
            <w:r>
              <w:rPr>
                <w:color w:val="auto"/>
                <w:sz w:val="24"/>
                <w:lang w:val="en-GB"/>
              </w:rPr>
              <w:t>年）</w:t>
            </w:r>
            <w:r>
              <w:rPr>
                <w:rFonts w:hint="eastAsia"/>
                <w:color w:val="auto"/>
                <w:sz w:val="24"/>
                <w:lang w:val="en-GB"/>
              </w:rPr>
              <w:t>，</w:t>
            </w:r>
            <w:r>
              <w:rPr>
                <w:color w:val="auto"/>
                <w:sz w:val="24"/>
                <w:lang w:val="en-GB"/>
              </w:rPr>
              <w:t>物料混合搅拌工序粉尘产污系数为</w:t>
            </w:r>
            <w:r>
              <w:rPr>
                <w:rFonts w:hint="eastAsia"/>
                <w:color w:val="auto"/>
                <w:sz w:val="24"/>
                <w:lang w:val="en-GB"/>
              </w:rPr>
              <w:t>0.523</w:t>
            </w:r>
            <w:r>
              <w:rPr>
                <w:color w:val="auto"/>
                <w:sz w:val="24"/>
                <w:lang w:val="en-GB"/>
              </w:rPr>
              <w:t>kg/t-产品。</w:t>
            </w:r>
            <w:r>
              <w:rPr>
                <w:color w:val="auto"/>
                <w:sz w:val="24"/>
              </w:rPr>
              <w:t>项目</w:t>
            </w:r>
            <w:r>
              <w:rPr>
                <w:rFonts w:hint="eastAsia"/>
                <w:color w:val="auto"/>
                <w:sz w:val="24"/>
              </w:rPr>
              <w:t>产品</w:t>
            </w:r>
            <w:r>
              <w:rPr>
                <w:color w:val="auto"/>
                <w:sz w:val="24"/>
              </w:rPr>
              <w:t>总量为</w:t>
            </w:r>
            <w:r>
              <w:rPr>
                <w:rFonts w:hint="eastAsia"/>
                <w:color w:val="auto"/>
                <w:sz w:val="24"/>
              </w:rPr>
              <w:t xml:space="preserve">20000 </w:t>
            </w:r>
            <w:r>
              <w:rPr>
                <w:color w:val="auto"/>
                <w:sz w:val="24"/>
              </w:rPr>
              <w:t>t/a，则粉尘产生量为</w:t>
            </w:r>
            <w:r>
              <w:rPr>
                <w:rFonts w:hint="eastAsia"/>
                <w:color w:val="auto"/>
                <w:sz w:val="24"/>
              </w:rPr>
              <w:t>10.5t/a</w:t>
            </w:r>
            <w:r>
              <w:rPr>
                <w:color w:val="auto"/>
                <w:sz w:val="24"/>
              </w:rPr>
              <w:t>。</w:t>
            </w:r>
          </w:p>
          <w:p>
            <w:pPr>
              <w:adjustRightInd w:val="0"/>
              <w:snapToGrid w:val="0"/>
              <w:spacing w:line="360" w:lineRule="auto"/>
              <w:ind w:firstLine="480" w:firstLineChars="200"/>
              <w:jc w:val="left"/>
              <w:rPr>
                <w:rFonts w:hAnsi="宋体"/>
                <w:color w:val="auto"/>
                <w:sz w:val="24"/>
                <w:szCs w:val="20"/>
              </w:rPr>
            </w:pPr>
            <w:r>
              <w:rPr>
                <w:rFonts w:hint="eastAsia" w:hAnsi="宋体"/>
                <w:color w:val="auto"/>
                <w:sz w:val="24"/>
                <w:szCs w:val="20"/>
                <w:lang w:eastAsia="zh-CN"/>
              </w:rPr>
              <w:t>⑦</w:t>
            </w:r>
            <w:r>
              <w:rPr>
                <w:rFonts w:hint="eastAsia" w:hAnsi="宋体"/>
                <w:color w:val="auto"/>
                <w:sz w:val="24"/>
                <w:szCs w:val="20"/>
              </w:rPr>
              <w:t>包装工序粉尘</w:t>
            </w:r>
          </w:p>
          <w:p>
            <w:pPr>
              <w:adjustRightInd w:val="0"/>
              <w:snapToGrid w:val="0"/>
              <w:spacing w:line="360" w:lineRule="auto"/>
              <w:ind w:firstLine="480" w:firstLineChars="200"/>
              <w:rPr>
                <w:rFonts w:hAnsi="宋体"/>
                <w:color w:val="auto"/>
                <w:sz w:val="24"/>
                <w:szCs w:val="20"/>
              </w:rPr>
            </w:pPr>
            <w:r>
              <w:rPr>
                <w:rFonts w:hint="eastAsia" w:hAnsi="宋体"/>
                <w:color w:val="auto"/>
                <w:sz w:val="24"/>
                <w:szCs w:val="20"/>
              </w:rPr>
              <w:t>项目产品使用自动包装系统进行包装，参照已批复的《蒲城尧柏特种水泥有限公司年产30万吨粘结剂干法混拌生产线技改项目环境影响报告表》（2020.5）包装工段粉尘产生量约为包装量的0.1%。本项目产品总量为2万吨，则该工序产尘量为20t/a。</w:t>
            </w:r>
          </w:p>
          <w:p>
            <w:pPr>
              <w:adjustRightInd w:val="0"/>
              <w:snapToGrid w:val="0"/>
              <w:spacing w:line="360" w:lineRule="auto"/>
              <w:ind w:firstLine="480" w:firstLineChars="200"/>
              <w:rPr>
                <w:rFonts w:hAnsi="宋体"/>
                <w:color w:val="auto"/>
                <w:sz w:val="24"/>
                <w:szCs w:val="20"/>
              </w:rPr>
            </w:pPr>
            <w:r>
              <w:rPr>
                <w:rFonts w:hint="eastAsia" w:hAnsi="宋体"/>
                <w:color w:val="auto"/>
                <w:sz w:val="24"/>
                <w:szCs w:val="20"/>
              </w:rPr>
              <w:t>项目在各产线（A、B）的各工序（上料、配料、混料、包装）均设置配套脉冲布袋除尘器（</w:t>
            </w:r>
            <w:r>
              <w:rPr>
                <w:rFonts w:hint="eastAsia" w:hAnsi="宋体"/>
                <w:color w:val="auto"/>
                <w:sz w:val="24"/>
                <w:szCs w:val="20"/>
              </w:rPr>
              <w:t>共1</w:t>
            </w:r>
            <w:r>
              <w:rPr>
                <w:rFonts w:hint="eastAsia" w:hAnsi="宋体"/>
                <w:color w:val="auto"/>
                <w:sz w:val="24"/>
                <w:szCs w:val="20"/>
                <w:lang w:val="en-US" w:eastAsia="zh-CN"/>
              </w:rPr>
              <w:t>5</w:t>
            </w:r>
            <w:r>
              <w:rPr>
                <w:rFonts w:hint="eastAsia" w:hAnsi="宋体"/>
                <w:color w:val="auto"/>
                <w:sz w:val="24"/>
                <w:szCs w:val="20"/>
              </w:rPr>
              <w:t>台，其中</w:t>
            </w:r>
            <w:r>
              <w:rPr>
                <w:rFonts w:hint="eastAsia" w:hAnsi="宋体"/>
                <w:color w:val="auto"/>
                <w:sz w:val="24"/>
                <w:szCs w:val="20"/>
                <w:lang w:eastAsia="zh-CN"/>
              </w:rPr>
              <w:t>辅料</w:t>
            </w:r>
            <w:r>
              <w:rPr>
                <w:rFonts w:hint="eastAsia" w:hAnsi="宋体"/>
                <w:color w:val="auto"/>
                <w:sz w:val="24"/>
                <w:szCs w:val="20"/>
              </w:rPr>
              <w:t>共</w:t>
            </w:r>
            <w:r>
              <w:rPr>
                <w:rFonts w:hint="eastAsia" w:hAnsi="宋体"/>
                <w:color w:val="auto"/>
                <w:sz w:val="24"/>
                <w:szCs w:val="20"/>
                <w:lang w:val="en-US" w:eastAsia="zh-CN"/>
              </w:rPr>
              <w:t>6</w:t>
            </w:r>
            <w:r>
              <w:rPr>
                <w:rFonts w:hint="eastAsia" w:hAnsi="宋体"/>
                <w:color w:val="auto"/>
                <w:sz w:val="24"/>
                <w:szCs w:val="20"/>
              </w:rPr>
              <w:t>台</w:t>
            </w:r>
            <w:r>
              <w:rPr>
                <w:rFonts w:hint="eastAsia" w:hAnsi="宋体"/>
                <w:color w:val="auto"/>
                <w:sz w:val="24"/>
                <w:szCs w:val="20"/>
              </w:rPr>
              <w:t>；水泥配料仓A、B产线各1台，共2台；砂石配料仓1台；辅料配料仓A、B产线各1台，共2台；混料机A、B产线各1台，共2台；包装系统A、B产线各1台，共2台），含尘废气经</w:t>
            </w:r>
            <w:r>
              <w:rPr>
                <w:rFonts w:hint="eastAsia" w:hAnsi="宋体"/>
                <w:color w:val="auto"/>
                <w:sz w:val="24"/>
                <w:szCs w:val="20"/>
                <w:lang w:eastAsia="zh-CN"/>
              </w:rPr>
              <w:t>负压加</w:t>
            </w:r>
            <w:r>
              <w:rPr>
                <w:rFonts w:hint="eastAsia" w:hAnsi="宋体"/>
                <w:color w:val="auto"/>
                <w:sz w:val="24"/>
                <w:szCs w:val="20"/>
              </w:rPr>
              <w:t>管道收集后由除尘器处理，最后统一由1根25m高排气筒排放。根据上文，粉尘总量为30.72t/a。根据建设单位提供资料，运行总时间为7200h。该工序粉尘产生速率为4.27kg/h，粉尘产生浓度为854mg/m</w:t>
            </w:r>
            <w:r>
              <w:rPr>
                <w:rFonts w:hint="eastAsia" w:hAnsi="宋体"/>
                <w:color w:val="auto"/>
                <w:sz w:val="24"/>
                <w:szCs w:val="20"/>
                <w:vertAlign w:val="superscript"/>
              </w:rPr>
              <w:t>3</w:t>
            </w:r>
            <w:r>
              <w:rPr>
                <w:rFonts w:hint="eastAsia" w:hAnsi="宋体"/>
                <w:color w:val="auto"/>
                <w:sz w:val="24"/>
                <w:szCs w:val="20"/>
              </w:rPr>
              <w:t>。除尘器处理效率为99.9%，风机总量为5000m</w:t>
            </w:r>
            <w:r>
              <w:rPr>
                <w:rFonts w:hint="eastAsia" w:hAnsi="宋体"/>
                <w:color w:val="auto"/>
                <w:sz w:val="24"/>
                <w:szCs w:val="20"/>
                <w:vertAlign w:val="superscript"/>
              </w:rPr>
              <w:t>3</w:t>
            </w:r>
            <w:r>
              <w:rPr>
                <w:rFonts w:hint="eastAsia" w:hAnsi="宋体"/>
                <w:color w:val="auto"/>
                <w:sz w:val="24"/>
                <w:szCs w:val="20"/>
              </w:rPr>
              <w:t>/h。则该工序粉尘排放量为0.03t/a，排放速率为0.004kg/h，排放浓度为0.854mg/m</w:t>
            </w:r>
            <w:r>
              <w:rPr>
                <w:rFonts w:hint="eastAsia" w:hAnsi="宋体"/>
                <w:color w:val="auto"/>
                <w:sz w:val="24"/>
                <w:szCs w:val="20"/>
                <w:vertAlign w:val="superscript"/>
              </w:rPr>
              <w:t>3</w:t>
            </w:r>
            <w:r>
              <w:rPr>
                <w:rFonts w:hint="eastAsia" w:hAnsi="宋体"/>
                <w:color w:val="auto"/>
                <w:sz w:val="24"/>
                <w:szCs w:val="20"/>
              </w:rPr>
              <w:t>。</w:t>
            </w:r>
          </w:p>
          <w:p>
            <w:pPr>
              <w:adjustRightInd w:val="0"/>
              <w:snapToGrid w:val="0"/>
              <w:spacing w:line="360" w:lineRule="auto"/>
              <w:ind w:firstLine="480" w:firstLineChars="200"/>
              <w:rPr>
                <w:rFonts w:hAnsi="宋体"/>
                <w:color w:val="auto"/>
                <w:sz w:val="24"/>
                <w:szCs w:val="20"/>
              </w:rPr>
            </w:pPr>
            <w:r>
              <w:rPr>
                <w:rFonts w:hint="eastAsia" w:hAnsi="宋体"/>
                <w:color w:val="auto"/>
                <w:sz w:val="24"/>
                <w:szCs w:val="20"/>
              </w:rPr>
              <w:t>本项目针对各个产尘点均配备相应的除尘设备，各产尘点粉尘排放情况见下表。</w:t>
            </w:r>
          </w:p>
          <w:p>
            <w:pPr>
              <w:jc w:val="center"/>
              <w:rPr>
                <w:b/>
                <w:color w:val="auto"/>
                <w:sz w:val="24"/>
              </w:rPr>
            </w:pPr>
            <w:r>
              <w:rPr>
                <w:rFonts w:hint="eastAsia"/>
                <w:b/>
                <w:color w:val="auto"/>
                <w:sz w:val="24"/>
              </w:rPr>
              <w:t>表4-1   项目粉尘产生及排放情况一览表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859"/>
              <w:gridCol w:w="646"/>
              <w:gridCol w:w="963"/>
              <w:gridCol w:w="821"/>
              <w:gridCol w:w="995"/>
              <w:gridCol w:w="1321"/>
              <w:gridCol w:w="699"/>
              <w:gridCol w:w="810"/>
              <w:gridCol w:w="10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29" w:type="pct"/>
                  <w:vAlign w:val="center"/>
                </w:tcPr>
                <w:p>
                  <w:pPr>
                    <w:jc w:val="center"/>
                    <w:rPr>
                      <w:color w:val="auto"/>
                      <w:szCs w:val="21"/>
                    </w:rPr>
                  </w:pPr>
                  <w:r>
                    <w:rPr>
                      <w:color w:val="auto"/>
                      <w:szCs w:val="21"/>
                    </w:rPr>
                    <w:t>污染源</w:t>
                  </w:r>
                </w:p>
              </w:tc>
              <w:tc>
                <w:tcPr>
                  <w:tcW w:w="397" w:type="pct"/>
                  <w:vAlign w:val="center"/>
                </w:tcPr>
                <w:p>
                  <w:pPr>
                    <w:jc w:val="center"/>
                    <w:rPr>
                      <w:color w:val="auto"/>
                      <w:szCs w:val="21"/>
                    </w:rPr>
                  </w:pPr>
                  <w:r>
                    <w:rPr>
                      <w:color w:val="auto"/>
                      <w:szCs w:val="21"/>
                    </w:rPr>
                    <w:t>产生量（</w:t>
                  </w:r>
                  <w:r>
                    <w:rPr>
                      <w:rFonts w:hint="eastAsia"/>
                      <w:color w:val="auto"/>
                      <w:szCs w:val="21"/>
                    </w:rPr>
                    <w:t>t/a</w:t>
                  </w:r>
                  <w:r>
                    <w:rPr>
                      <w:color w:val="auto"/>
                      <w:szCs w:val="21"/>
                    </w:rPr>
                    <w:t>）</w:t>
                  </w:r>
                </w:p>
              </w:tc>
              <w:tc>
                <w:tcPr>
                  <w:tcW w:w="593" w:type="pct"/>
                  <w:vAlign w:val="center"/>
                </w:tcPr>
                <w:p>
                  <w:pPr>
                    <w:jc w:val="center"/>
                    <w:rPr>
                      <w:color w:val="auto"/>
                      <w:szCs w:val="21"/>
                    </w:rPr>
                  </w:pPr>
                  <w:r>
                    <w:rPr>
                      <w:color w:val="auto"/>
                      <w:szCs w:val="21"/>
                    </w:rPr>
                    <w:t>产生速率（</w:t>
                  </w:r>
                  <w:r>
                    <w:rPr>
                      <w:rFonts w:hint="eastAsia"/>
                      <w:color w:val="auto"/>
                      <w:szCs w:val="21"/>
                    </w:rPr>
                    <w:t>kg/h</w:t>
                  </w:r>
                  <w:r>
                    <w:rPr>
                      <w:color w:val="auto"/>
                      <w:szCs w:val="21"/>
                    </w:rPr>
                    <w:t>）</w:t>
                  </w:r>
                </w:p>
              </w:tc>
              <w:tc>
                <w:tcPr>
                  <w:tcW w:w="505" w:type="pct"/>
                  <w:vAlign w:val="center"/>
                </w:tcPr>
                <w:p>
                  <w:pPr>
                    <w:jc w:val="center"/>
                    <w:rPr>
                      <w:color w:val="auto"/>
                      <w:szCs w:val="21"/>
                    </w:rPr>
                  </w:pPr>
                  <w:r>
                    <w:rPr>
                      <w:color w:val="auto"/>
                      <w:szCs w:val="21"/>
                    </w:rPr>
                    <w:t>废气量（</w:t>
                  </w:r>
                  <w:r>
                    <w:rPr>
                      <w:rFonts w:hint="eastAsia"/>
                      <w:color w:val="auto"/>
                      <w:szCs w:val="21"/>
                    </w:rPr>
                    <w:t>m</w:t>
                  </w:r>
                  <w:r>
                    <w:rPr>
                      <w:rFonts w:hint="eastAsia"/>
                      <w:color w:val="auto"/>
                      <w:szCs w:val="21"/>
                      <w:vertAlign w:val="superscript"/>
                    </w:rPr>
                    <w:t>3</w:t>
                  </w:r>
                  <w:r>
                    <w:rPr>
                      <w:rFonts w:hint="eastAsia"/>
                      <w:color w:val="auto"/>
                      <w:szCs w:val="21"/>
                    </w:rPr>
                    <w:t>/a</w:t>
                  </w:r>
                  <w:r>
                    <w:rPr>
                      <w:color w:val="auto"/>
                      <w:szCs w:val="21"/>
                    </w:rPr>
                    <w:t>）</w:t>
                  </w:r>
                </w:p>
              </w:tc>
              <w:tc>
                <w:tcPr>
                  <w:tcW w:w="612" w:type="pct"/>
                  <w:vAlign w:val="center"/>
                </w:tcPr>
                <w:p>
                  <w:pPr>
                    <w:jc w:val="center"/>
                    <w:rPr>
                      <w:color w:val="auto"/>
                      <w:szCs w:val="21"/>
                    </w:rPr>
                  </w:pPr>
                  <w:r>
                    <w:rPr>
                      <w:color w:val="auto"/>
                      <w:szCs w:val="21"/>
                    </w:rPr>
                    <w:t>产生浓度（</w:t>
                  </w:r>
                  <w:r>
                    <w:rPr>
                      <w:rFonts w:hint="eastAsia"/>
                      <w:color w:val="auto"/>
                      <w:szCs w:val="21"/>
                    </w:rPr>
                    <w:t>mg/m</w:t>
                  </w:r>
                  <w:r>
                    <w:rPr>
                      <w:rFonts w:hint="eastAsia"/>
                      <w:color w:val="auto"/>
                      <w:szCs w:val="21"/>
                      <w:vertAlign w:val="superscript"/>
                    </w:rPr>
                    <w:t>3</w:t>
                  </w:r>
                  <w:r>
                    <w:rPr>
                      <w:color w:val="auto"/>
                      <w:szCs w:val="21"/>
                    </w:rPr>
                    <w:t>）</w:t>
                  </w:r>
                </w:p>
              </w:tc>
              <w:tc>
                <w:tcPr>
                  <w:tcW w:w="813" w:type="pct"/>
                  <w:vAlign w:val="center"/>
                </w:tcPr>
                <w:p>
                  <w:pPr>
                    <w:jc w:val="center"/>
                    <w:rPr>
                      <w:color w:val="auto"/>
                      <w:szCs w:val="21"/>
                    </w:rPr>
                  </w:pPr>
                  <w:r>
                    <w:rPr>
                      <w:color w:val="auto"/>
                      <w:szCs w:val="21"/>
                    </w:rPr>
                    <w:t>治理措施</w:t>
                  </w:r>
                </w:p>
              </w:tc>
              <w:tc>
                <w:tcPr>
                  <w:tcW w:w="430" w:type="pct"/>
                  <w:vAlign w:val="center"/>
                </w:tcPr>
                <w:p>
                  <w:pPr>
                    <w:jc w:val="center"/>
                    <w:rPr>
                      <w:color w:val="auto"/>
                      <w:szCs w:val="21"/>
                    </w:rPr>
                  </w:pPr>
                  <w:r>
                    <w:rPr>
                      <w:color w:val="auto"/>
                      <w:szCs w:val="21"/>
                    </w:rPr>
                    <w:t>排放量（</w:t>
                  </w:r>
                  <w:r>
                    <w:rPr>
                      <w:rFonts w:hint="eastAsia"/>
                      <w:color w:val="auto"/>
                      <w:szCs w:val="21"/>
                    </w:rPr>
                    <w:t>t/a</w:t>
                  </w:r>
                  <w:r>
                    <w:rPr>
                      <w:color w:val="auto"/>
                      <w:szCs w:val="21"/>
                    </w:rPr>
                    <w:t>）</w:t>
                  </w:r>
                </w:p>
              </w:tc>
              <w:tc>
                <w:tcPr>
                  <w:tcW w:w="498" w:type="pct"/>
                  <w:vAlign w:val="center"/>
                </w:tcPr>
                <w:p>
                  <w:pPr>
                    <w:jc w:val="center"/>
                    <w:rPr>
                      <w:color w:val="auto"/>
                      <w:szCs w:val="21"/>
                    </w:rPr>
                  </w:pPr>
                  <w:r>
                    <w:rPr>
                      <w:color w:val="auto"/>
                      <w:szCs w:val="21"/>
                    </w:rPr>
                    <w:t>排放速率（</w:t>
                  </w:r>
                  <w:r>
                    <w:rPr>
                      <w:rFonts w:hint="eastAsia"/>
                      <w:color w:val="auto"/>
                      <w:szCs w:val="21"/>
                    </w:rPr>
                    <w:t>kg/h</w:t>
                  </w:r>
                  <w:r>
                    <w:rPr>
                      <w:color w:val="auto"/>
                      <w:szCs w:val="21"/>
                    </w:rPr>
                    <w:t>）</w:t>
                  </w:r>
                </w:p>
              </w:tc>
              <w:tc>
                <w:tcPr>
                  <w:tcW w:w="617" w:type="pct"/>
                  <w:vAlign w:val="center"/>
                </w:tcPr>
                <w:p>
                  <w:pPr>
                    <w:jc w:val="center"/>
                    <w:rPr>
                      <w:color w:val="auto"/>
                      <w:szCs w:val="21"/>
                    </w:rPr>
                  </w:pPr>
                  <w:r>
                    <w:rPr>
                      <w:color w:val="auto"/>
                      <w:szCs w:val="21"/>
                    </w:rPr>
                    <w:t>排放浓度（</w:t>
                  </w:r>
                  <w:r>
                    <w:rPr>
                      <w:rFonts w:hint="eastAsia"/>
                      <w:color w:val="auto"/>
                      <w:szCs w:val="21"/>
                    </w:rPr>
                    <w:t>mg/m</w:t>
                  </w:r>
                  <w:r>
                    <w:rPr>
                      <w:rFonts w:hint="eastAsia"/>
                      <w:color w:val="auto"/>
                      <w:szCs w:val="21"/>
                      <w:vertAlign w:val="superscript"/>
                    </w:rPr>
                    <w:t>3</w:t>
                  </w:r>
                  <w:r>
                    <w:rPr>
                      <w:color w:val="auto"/>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29" w:type="pct"/>
                  <w:vAlign w:val="center"/>
                </w:tcPr>
                <w:p>
                  <w:pPr>
                    <w:autoSpaceDE w:val="0"/>
                    <w:autoSpaceDN w:val="0"/>
                    <w:adjustRightInd w:val="0"/>
                    <w:jc w:val="center"/>
                    <w:rPr>
                      <w:color w:val="auto"/>
                      <w:szCs w:val="21"/>
                    </w:rPr>
                  </w:pPr>
                  <w:r>
                    <w:rPr>
                      <w:color w:val="auto"/>
                      <w:szCs w:val="21"/>
                    </w:rPr>
                    <w:t>硫铝酸盐水泥筒仓</w:t>
                  </w:r>
                  <w:r>
                    <w:rPr>
                      <w:rFonts w:hint="eastAsia"/>
                      <w:color w:val="auto"/>
                      <w:szCs w:val="21"/>
                    </w:rPr>
                    <w:t>A产线</w:t>
                  </w:r>
                </w:p>
              </w:tc>
              <w:tc>
                <w:tcPr>
                  <w:tcW w:w="397" w:type="pct"/>
                  <w:vAlign w:val="center"/>
                </w:tcPr>
                <w:p>
                  <w:pPr>
                    <w:jc w:val="center"/>
                    <w:rPr>
                      <w:color w:val="auto"/>
                      <w:szCs w:val="21"/>
                    </w:rPr>
                  </w:pPr>
                  <w:r>
                    <w:rPr>
                      <w:rFonts w:hint="eastAsia"/>
                      <w:color w:val="auto"/>
                      <w:szCs w:val="21"/>
                    </w:rPr>
                    <w:t>1.485</w:t>
                  </w:r>
                </w:p>
              </w:tc>
              <w:tc>
                <w:tcPr>
                  <w:tcW w:w="593" w:type="pct"/>
                  <w:vAlign w:val="center"/>
                </w:tcPr>
                <w:p>
                  <w:pPr>
                    <w:jc w:val="center"/>
                    <w:rPr>
                      <w:color w:val="auto"/>
                      <w:szCs w:val="21"/>
                    </w:rPr>
                  </w:pPr>
                  <w:r>
                    <w:rPr>
                      <w:rFonts w:hint="eastAsia"/>
                      <w:color w:val="auto"/>
                      <w:szCs w:val="21"/>
                    </w:rPr>
                    <w:t>4.35</w:t>
                  </w:r>
                </w:p>
              </w:tc>
              <w:tc>
                <w:tcPr>
                  <w:tcW w:w="505" w:type="pct"/>
                  <w:vAlign w:val="center"/>
                </w:tcPr>
                <w:p>
                  <w:pPr>
                    <w:jc w:val="center"/>
                    <w:rPr>
                      <w:color w:val="auto"/>
                      <w:szCs w:val="21"/>
                    </w:rPr>
                  </w:pPr>
                  <w:r>
                    <w:rPr>
                      <w:rFonts w:hint="eastAsia"/>
                      <w:color w:val="auto"/>
                      <w:szCs w:val="21"/>
                    </w:rPr>
                    <w:t>3.27</w:t>
                  </w:r>
                  <w:r>
                    <w:rPr>
                      <w:color w:val="auto"/>
                      <w:szCs w:val="21"/>
                      <w:lang w:val="en-GB"/>
                    </w:rPr>
                    <w:t>×10</w:t>
                  </w:r>
                  <w:r>
                    <w:rPr>
                      <w:color w:val="auto"/>
                      <w:szCs w:val="21"/>
                      <w:vertAlign w:val="superscript"/>
                      <w:lang w:val="en-GB"/>
                    </w:rPr>
                    <w:t>5</w:t>
                  </w:r>
                </w:p>
              </w:tc>
              <w:tc>
                <w:tcPr>
                  <w:tcW w:w="612" w:type="pct"/>
                  <w:vAlign w:val="center"/>
                </w:tcPr>
                <w:p>
                  <w:pPr>
                    <w:jc w:val="center"/>
                    <w:rPr>
                      <w:color w:val="auto"/>
                      <w:szCs w:val="21"/>
                    </w:rPr>
                  </w:pPr>
                  <w:r>
                    <w:rPr>
                      <w:color w:val="auto"/>
                      <w:szCs w:val="21"/>
                    </w:rPr>
                    <w:t>4545.45</w:t>
                  </w:r>
                </w:p>
              </w:tc>
              <w:tc>
                <w:tcPr>
                  <w:tcW w:w="813" w:type="pct"/>
                  <w:vAlign w:val="center"/>
                </w:tcPr>
                <w:p>
                  <w:pPr>
                    <w:jc w:val="center"/>
                    <w:rPr>
                      <w:color w:val="auto"/>
                      <w:szCs w:val="21"/>
                    </w:rPr>
                  </w:pPr>
                  <w:r>
                    <w:rPr>
                      <w:rFonts w:hint="eastAsia"/>
                      <w:color w:val="auto"/>
                      <w:szCs w:val="21"/>
                    </w:rPr>
                    <w:t>1台仓顶脉冲布袋除尘器</w:t>
                  </w:r>
                </w:p>
              </w:tc>
              <w:tc>
                <w:tcPr>
                  <w:tcW w:w="430" w:type="pct"/>
                  <w:vAlign w:val="center"/>
                </w:tcPr>
                <w:p>
                  <w:pPr>
                    <w:jc w:val="center"/>
                    <w:rPr>
                      <w:color w:val="auto"/>
                      <w:szCs w:val="21"/>
                    </w:rPr>
                  </w:pPr>
                  <w:r>
                    <w:rPr>
                      <w:rFonts w:hint="eastAsia"/>
                      <w:color w:val="auto"/>
                      <w:szCs w:val="21"/>
                    </w:rPr>
                    <w:t>0.0015</w:t>
                  </w:r>
                </w:p>
              </w:tc>
              <w:tc>
                <w:tcPr>
                  <w:tcW w:w="498" w:type="pct"/>
                  <w:vAlign w:val="center"/>
                </w:tcPr>
                <w:p>
                  <w:pPr>
                    <w:jc w:val="center"/>
                    <w:rPr>
                      <w:color w:val="auto"/>
                      <w:szCs w:val="21"/>
                    </w:rPr>
                  </w:pPr>
                  <w:r>
                    <w:rPr>
                      <w:rFonts w:hint="eastAsia"/>
                      <w:color w:val="auto"/>
                      <w:szCs w:val="21"/>
                    </w:rPr>
                    <w:t>0.0045</w:t>
                  </w:r>
                </w:p>
              </w:tc>
              <w:tc>
                <w:tcPr>
                  <w:tcW w:w="617" w:type="pct"/>
                  <w:vAlign w:val="center"/>
                </w:tcPr>
                <w:p>
                  <w:pPr>
                    <w:jc w:val="center"/>
                    <w:rPr>
                      <w:color w:val="auto"/>
                      <w:szCs w:val="21"/>
                    </w:rPr>
                  </w:pPr>
                  <w:r>
                    <w:rPr>
                      <w:rFonts w:hint="eastAsia"/>
                      <w:color w:val="auto"/>
                      <w:szCs w:val="21"/>
                    </w:rPr>
                    <w:t>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29" w:type="pct"/>
                  <w:vAlign w:val="center"/>
                </w:tcPr>
                <w:p>
                  <w:pPr>
                    <w:autoSpaceDE w:val="0"/>
                    <w:autoSpaceDN w:val="0"/>
                    <w:adjustRightInd w:val="0"/>
                    <w:jc w:val="center"/>
                    <w:rPr>
                      <w:color w:val="auto"/>
                      <w:szCs w:val="21"/>
                    </w:rPr>
                  </w:pPr>
                  <w:r>
                    <w:rPr>
                      <w:color w:val="auto"/>
                      <w:szCs w:val="21"/>
                    </w:rPr>
                    <w:t>硫铝酸盐水泥筒仓</w:t>
                  </w:r>
                  <w:r>
                    <w:rPr>
                      <w:rFonts w:hint="eastAsia"/>
                      <w:color w:val="auto"/>
                      <w:szCs w:val="21"/>
                    </w:rPr>
                    <w:t>B产线</w:t>
                  </w:r>
                </w:p>
              </w:tc>
              <w:tc>
                <w:tcPr>
                  <w:tcW w:w="397" w:type="pct"/>
                  <w:vAlign w:val="center"/>
                </w:tcPr>
                <w:p>
                  <w:pPr>
                    <w:jc w:val="center"/>
                    <w:rPr>
                      <w:color w:val="auto"/>
                      <w:szCs w:val="21"/>
                    </w:rPr>
                  </w:pPr>
                  <w:r>
                    <w:rPr>
                      <w:rFonts w:hint="eastAsia"/>
                      <w:color w:val="auto"/>
                      <w:szCs w:val="21"/>
                    </w:rPr>
                    <w:t>0.495</w:t>
                  </w:r>
                </w:p>
              </w:tc>
              <w:tc>
                <w:tcPr>
                  <w:tcW w:w="593" w:type="pct"/>
                  <w:vAlign w:val="center"/>
                </w:tcPr>
                <w:p>
                  <w:pPr>
                    <w:jc w:val="center"/>
                    <w:rPr>
                      <w:color w:val="auto"/>
                      <w:szCs w:val="21"/>
                    </w:rPr>
                  </w:pPr>
                  <w:r>
                    <w:rPr>
                      <w:rFonts w:hint="eastAsia"/>
                      <w:color w:val="auto"/>
                      <w:szCs w:val="21"/>
                    </w:rPr>
                    <w:t>1.45</w:t>
                  </w:r>
                </w:p>
              </w:tc>
              <w:tc>
                <w:tcPr>
                  <w:tcW w:w="505" w:type="pct"/>
                  <w:vAlign w:val="center"/>
                </w:tcPr>
                <w:p>
                  <w:pPr>
                    <w:jc w:val="center"/>
                    <w:rPr>
                      <w:color w:val="auto"/>
                      <w:szCs w:val="21"/>
                    </w:rPr>
                  </w:pPr>
                  <w:r>
                    <w:rPr>
                      <w:rFonts w:hint="eastAsia"/>
                      <w:color w:val="auto"/>
                      <w:szCs w:val="21"/>
                    </w:rPr>
                    <w:t>1.09</w:t>
                  </w:r>
                  <w:r>
                    <w:rPr>
                      <w:color w:val="auto"/>
                      <w:szCs w:val="21"/>
                      <w:lang w:val="en-GB"/>
                    </w:rPr>
                    <w:t>×10</w:t>
                  </w:r>
                  <w:r>
                    <w:rPr>
                      <w:color w:val="auto"/>
                      <w:szCs w:val="21"/>
                      <w:vertAlign w:val="superscript"/>
                      <w:lang w:val="en-GB"/>
                    </w:rPr>
                    <w:t>5</w:t>
                  </w:r>
                </w:p>
              </w:tc>
              <w:tc>
                <w:tcPr>
                  <w:tcW w:w="612" w:type="pct"/>
                  <w:vAlign w:val="center"/>
                </w:tcPr>
                <w:p>
                  <w:pPr>
                    <w:jc w:val="center"/>
                    <w:rPr>
                      <w:color w:val="auto"/>
                      <w:szCs w:val="21"/>
                    </w:rPr>
                  </w:pPr>
                  <w:r>
                    <w:rPr>
                      <w:color w:val="auto"/>
                      <w:szCs w:val="21"/>
                    </w:rPr>
                    <w:t>4545.45</w:t>
                  </w:r>
                </w:p>
              </w:tc>
              <w:tc>
                <w:tcPr>
                  <w:tcW w:w="813" w:type="pct"/>
                  <w:vAlign w:val="center"/>
                </w:tcPr>
                <w:p>
                  <w:pPr>
                    <w:jc w:val="center"/>
                    <w:rPr>
                      <w:color w:val="auto"/>
                      <w:szCs w:val="21"/>
                    </w:rPr>
                  </w:pPr>
                  <w:r>
                    <w:rPr>
                      <w:rFonts w:hint="eastAsia"/>
                      <w:color w:val="auto"/>
                      <w:szCs w:val="21"/>
                    </w:rPr>
                    <w:t>1台仓顶脉冲布袋除尘器</w:t>
                  </w:r>
                </w:p>
              </w:tc>
              <w:tc>
                <w:tcPr>
                  <w:tcW w:w="430" w:type="pct"/>
                  <w:vAlign w:val="center"/>
                </w:tcPr>
                <w:p>
                  <w:pPr>
                    <w:jc w:val="center"/>
                    <w:rPr>
                      <w:color w:val="auto"/>
                      <w:szCs w:val="21"/>
                    </w:rPr>
                  </w:pPr>
                  <w:r>
                    <w:rPr>
                      <w:rFonts w:hint="eastAsia"/>
                      <w:color w:val="auto"/>
                      <w:szCs w:val="21"/>
                    </w:rPr>
                    <w:t>0.0005</w:t>
                  </w:r>
                </w:p>
              </w:tc>
              <w:tc>
                <w:tcPr>
                  <w:tcW w:w="498" w:type="pct"/>
                  <w:vAlign w:val="center"/>
                </w:tcPr>
                <w:p>
                  <w:pPr>
                    <w:jc w:val="center"/>
                    <w:rPr>
                      <w:color w:val="auto"/>
                      <w:szCs w:val="21"/>
                    </w:rPr>
                  </w:pPr>
                  <w:r>
                    <w:rPr>
                      <w:rFonts w:hint="eastAsia"/>
                      <w:color w:val="auto"/>
                      <w:szCs w:val="21"/>
                    </w:rPr>
                    <w:t>0.0015</w:t>
                  </w:r>
                </w:p>
              </w:tc>
              <w:tc>
                <w:tcPr>
                  <w:tcW w:w="617" w:type="pct"/>
                  <w:vAlign w:val="center"/>
                </w:tcPr>
                <w:p>
                  <w:pPr>
                    <w:jc w:val="center"/>
                    <w:rPr>
                      <w:color w:val="auto"/>
                      <w:szCs w:val="21"/>
                    </w:rPr>
                  </w:pPr>
                  <w:r>
                    <w:rPr>
                      <w:rFonts w:hint="eastAsia"/>
                      <w:color w:val="auto"/>
                      <w:szCs w:val="21"/>
                    </w:rPr>
                    <w:t>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29" w:type="pct"/>
                  <w:vAlign w:val="center"/>
                </w:tcPr>
                <w:p>
                  <w:pPr>
                    <w:autoSpaceDE w:val="0"/>
                    <w:autoSpaceDN w:val="0"/>
                    <w:adjustRightInd w:val="0"/>
                    <w:jc w:val="center"/>
                    <w:rPr>
                      <w:color w:val="auto"/>
                      <w:szCs w:val="21"/>
                      <w:lang w:val="zh-CN"/>
                    </w:rPr>
                  </w:pPr>
                  <w:r>
                    <w:rPr>
                      <w:color w:val="auto"/>
                      <w:szCs w:val="21"/>
                      <w:lang w:val="zh-CN"/>
                    </w:rPr>
                    <w:t>铝酸盐水泥筒仓</w:t>
                  </w:r>
                </w:p>
              </w:tc>
              <w:tc>
                <w:tcPr>
                  <w:tcW w:w="397" w:type="pct"/>
                  <w:vAlign w:val="center"/>
                </w:tcPr>
                <w:p>
                  <w:pPr>
                    <w:jc w:val="center"/>
                    <w:rPr>
                      <w:color w:val="auto"/>
                      <w:szCs w:val="21"/>
                    </w:rPr>
                  </w:pPr>
                  <w:r>
                    <w:rPr>
                      <w:rFonts w:hint="eastAsia"/>
                      <w:color w:val="auto"/>
                      <w:szCs w:val="21"/>
                    </w:rPr>
                    <w:t>0.2</w:t>
                  </w:r>
                </w:p>
              </w:tc>
              <w:tc>
                <w:tcPr>
                  <w:tcW w:w="593" w:type="pct"/>
                  <w:vAlign w:val="center"/>
                </w:tcPr>
                <w:p>
                  <w:pPr>
                    <w:jc w:val="center"/>
                    <w:rPr>
                      <w:color w:val="auto"/>
                      <w:szCs w:val="21"/>
                    </w:rPr>
                  </w:pPr>
                  <w:r>
                    <w:rPr>
                      <w:rFonts w:hint="eastAsia"/>
                      <w:color w:val="auto"/>
                      <w:szCs w:val="21"/>
                    </w:rPr>
                    <w:t>6.12</w:t>
                  </w:r>
                </w:p>
              </w:tc>
              <w:tc>
                <w:tcPr>
                  <w:tcW w:w="505" w:type="pct"/>
                  <w:vAlign w:val="center"/>
                </w:tcPr>
                <w:p>
                  <w:pPr>
                    <w:jc w:val="center"/>
                    <w:rPr>
                      <w:color w:val="auto"/>
                      <w:szCs w:val="21"/>
                    </w:rPr>
                  </w:pPr>
                  <w:r>
                    <w:rPr>
                      <w:rFonts w:hint="eastAsia"/>
                      <w:color w:val="auto"/>
                      <w:szCs w:val="21"/>
                    </w:rPr>
                    <w:t>4.37</w:t>
                  </w:r>
                  <w:r>
                    <w:rPr>
                      <w:color w:val="auto"/>
                      <w:szCs w:val="21"/>
                      <w:lang w:val="en-GB"/>
                    </w:rPr>
                    <w:t>×10</w:t>
                  </w:r>
                  <w:r>
                    <w:rPr>
                      <w:rFonts w:hint="eastAsia"/>
                      <w:color w:val="auto"/>
                      <w:szCs w:val="21"/>
                      <w:vertAlign w:val="superscript"/>
                      <w:lang w:val="en-GB"/>
                    </w:rPr>
                    <w:t>4</w:t>
                  </w:r>
                </w:p>
              </w:tc>
              <w:tc>
                <w:tcPr>
                  <w:tcW w:w="612" w:type="pct"/>
                  <w:vAlign w:val="center"/>
                </w:tcPr>
                <w:p>
                  <w:pPr>
                    <w:jc w:val="center"/>
                    <w:rPr>
                      <w:color w:val="auto"/>
                      <w:szCs w:val="21"/>
                    </w:rPr>
                  </w:pPr>
                  <w:r>
                    <w:rPr>
                      <w:color w:val="auto"/>
                      <w:szCs w:val="21"/>
                    </w:rPr>
                    <w:t>4545.45</w:t>
                  </w:r>
                </w:p>
              </w:tc>
              <w:tc>
                <w:tcPr>
                  <w:tcW w:w="813" w:type="pct"/>
                  <w:vAlign w:val="center"/>
                </w:tcPr>
                <w:p>
                  <w:pPr>
                    <w:jc w:val="center"/>
                    <w:rPr>
                      <w:color w:val="auto"/>
                      <w:szCs w:val="21"/>
                    </w:rPr>
                  </w:pPr>
                  <w:r>
                    <w:rPr>
                      <w:rFonts w:hint="eastAsia"/>
                      <w:color w:val="auto"/>
                      <w:szCs w:val="21"/>
                    </w:rPr>
                    <w:t>1台仓顶脉冲布袋除尘器</w:t>
                  </w:r>
                </w:p>
              </w:tc>
              <w:tc>
                <w:tcPr>
                  <w:tcW w:w="430" w:type="pct"/>
                  <w:vAlign w:val="center"/>
                </w:tcPr>
                <w:p>
                  <w:pPr>
                    <w:jc w:val="center"/>
                    <w:rPr>
                      <w:color w:val="auto"/>
                      <w:szCs w:val="21"/>
                    </w:rPr>
                  </w:pPr>
                  <w:r>
                    <w:rPr>
                      <w:rFonts w:hint="eastAsia"/>
                      <w:color w:val="auto"/>
                      <w:szCs w:val="21"/>
                    </w:rPr>
                    <w:t>0.0002</w:t>
                  </w:r>
                </w:p>
              </w:tc>
              <w:tc>
                <w:tcPr>
                  <w:tcW w:w="498" w:type="pct"/>
                  <w:vAlign w:val="center"/>
                </w:tcPr>
                <w:p>
                  <w:pPr>
                    <w:jc w:val="center"/>
                    <w:rPr>
                      <w:color w:val="auto"/>
                      <w:szCs w:val="21"/>
                    </w:rPr>
                  </w:pPr>
                  <w:r>
                    <w:rPr>
                      <w:rFonts w:hint="eastAsia"/>
                      <w:color w:val="auto"/>
                      <w:szCs w:val="21"/>
                    </w:rPr>
                    <w:t>0.006</w:t>
                  </w:r>
                </w:p>
              </w:tc>
              <w:tc>
                <w:tcPr>
                  <w:tcW w:w="617" w:type="pct"/>
                  <w:vAlign w:val="center"/>
                </w:tcPr>
                <w:p>
                  <w:pPr>
                    <w:jc w:val="center"/>
                    <w:rPr>
                      <w:color w:val="auto"/>
                      <w:szCs w:val="21"/>
                    </w:rPr>
                  </w:pPr>
                  <w:r>
                    <w:rPr>
                      <w:rFonts w:hint="eastAsia"/>
                      <w:color w:val="auto"/>
                      <w:szCs w:val="21"/>
                    </w:rPr>
                    <w:t>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29" w:type="pct"/>
                  <w:vAlign w:val="center"/>
                </w:tcPr>
                <w:p>
                  <w:pPr>
                    <w:autoSpaceDE w:val="0"/>
                    <w:autoSpaceDN w:val="0"/>
                    <w:adjustRightInd w:val="0"/>
                    <w:jc w:val="center"/>
                    <w:rPr>
                      <w:color w:val="auto"/>
                      <w:szCs w:val="21"/>
                      <w:lang w:val="zh-CN"/>
                    </w:rPr>
                  </w:pPr>
                  <w:r>
                    <w:rPr>
                      <w:color w:val="auto"/>
                      <w:szCs w:val="21"/>
                      <w:lang w:val="zh-CN"/>
                    </w:rPr>
                    <w:t>普通硅酸盐水泥筒仓</w:t>
                  </w:r>
                </w:p>
              </w:tc>
              <w:tc>
                <w:tcPr>
                  <w:tcW w:w="397" w:type="pct"/>
                  <w:vAlign w:val="center"/>
                </w:tcPr>
                <w:p>
                  <w:pPr>
                    <w:jc w:val="center"/>
                    <w:rPr>
                      <w:color w:val="auto"/>
                      <w:szCs w:val="21"/>
                    </w:rPr>
                  </w:pPr>
                  <w:r>
                    <w:rPr>
                      <w:rFonts w:hint="eastAsia"/>
                      <w:color w:val="auto"/>
                      <w:szCs w:val="21"/>
                    </w:rPr>
                    <w:t>1.3</w:t>
                  </w:r>
                </w:p>
              </w:tc>
              <w:tc>
                <w:tcPr>
                  <w:tcW w:w="593" w:type="pct"/>
                  <w:vAlign w:val="center"/>
                </w:tcPr>
                <w:p>
                  <w:pPr>
                    <w:jc w:val="center"/>
                    <w:rPr>
                      <w:color w:val="auto"/>
                      <w:szCs w:val="21"/>
                    </w:rPr>
                  </w:pPr>
                  <w:r>
                    <w:rPr>
                      <w:rFonts w:hint="eastAsia"/>
                      <w:color w:val="auto"/>
                      <w:szCs w:val="21"/>
                    </w:rPr>
                    <w:t>5.59</w:t>
                  </w:r>
                </w:p>
              </w:tc>
              <w:tc>
                <w:tcPr>
                  <w:tcW w:w="505" w:type="pct"/>
                  <w:vAlign w:val="center"/>
                </w:tcPr>
                <w:p>
                  <w:pPr>
                    <w:jc w:val="center"/>
                    <w:rPr>
                      <w:color w:val="auto"/>
                      <w:szCs w:val="21"/>
                    </w:rPr>
                  </w:pPr>
                  <w:r>
                    <w:rPr>
                      <w:rFonts w:hint="eastAsia"/>
                      <w:color w:val="auto"/>
                      <w:szCs w:val="21"/>
                    </w:rPr>
                    <w:t>2.92</w:t>
                  </w:r>
                  <w:r>
                    <w:rPr>
                      <w:color w:val="auto"/>
                      <w:szCs w:val="21"/>
                      <w:lang w:val="en-GB"/>
                    </w:rPr>
                    <w:t>×10</w:t>
                  </w:r>
                  <w:r>
                    <w:rPr>
                      <w:rFonts w:hint="eastAsia"/>
                      <w:color w:val="auto"/>
                      <w:szCs w:val="21"/>
                      <w:vertAlign w:val="superscript"/>
                      <w:lang w:val="en-GB"/>
                    </w:rPr>
                    <w:t>5</w:t>
                  </w:r>
                </w:p>
              </w:tc>
              <w:tc>
                <w:tcPr>
                  <w:tcW w:w="612" w:type="pct"/>
                  <w:vAlign w:val="center"/>
                </w:tcPr>
                <w:p>
                  <w:pPr>
                    <w:jc w:val="center"/>
                    <w:rPr>
                      <w:color w:val="auto"/>
                      <w:szCs w:val="21"/>
                    </w:rPr>
                  </w:pPr>
                  <w:r>
                    <w:rPr>
                      <w:color w:val="auto"/>
                      <w:szCs w:val="21"/>
                    </w:rPr>
                    <w:t>4545.45</w:t>
                  </w:r>
                </w:p>
              </w:tc>
              <w:tc>
                <w:tcPr>
                  <w:tcW w:w="813" w:type="pct"/>
                  <w:vAlign w:val="center"/>
                </w:tcPr>
                <w:p>
                  <w:pPr>
                    <w:jc w:val="center"/>
                    <w:rPr>
                      <w:color w:val="auto"/>
                      <w:szCs w:val="21"/>
                    </w:rPr>
                  </w:pPr>
                  <w:r>
                    <w:rPr>
                      <w:rFonts w:hint="eastAsia"/>
                      <w:color w:val="auto"/>
                      <w:szCs w:val="21"/>
                    </w:rPr>
                    <w:t>2台仓顶脉冲布袋除尘器（一用一备）</w:t>
                  </w:r>
                </w:p>
              </w:tc>
              <w:tc>
                <w:tcPr>
                  <w:tcW w:w="430" w:type="pct"/>
                  <w:vAlign w:val="center"/>
                </w:tcPr>
                <w:p>
                  <w:pPr>
                    <w:jc w:val="center"/>
                    <w:rPr>
                      <w:color w:val="auto"/>
                      <w:szCs w:val="21"/>
                    </w:rPr>
                  </w:pPr>
                  <w:r>
                    <w:rPr>
                      <w:rFonts w:hint="eastAsia"/>
                      <w:color w:val="auto"/>
                      <w:szCs w:val="21"/>
                    </w:rPr>
                    <w:t>0.001</w:t>
                  </w:r>
                </w:p>
              </w:tc>
              <w:tc>
                <w:tcPr>
                  <w:tcW w:w="498" w:type="pct"/>
                  <w:vAlign w:val="center"/>
                </w:tcPr>
                <w:p>
                  <w:pPr>
                    <w:jc w:val="center"/>
                    <w:rPr>
                      <w:color w:val="auto"/>
                      <w:szCs w:val="21"/>
                    </w:rPr>
                  </w:pPr>
                  <w:r>
                    <w:rPr>
                      <w:rFonts w:hint="eastAsia"/>
                      <w:color w:val="auto"/>
                      <w:szCs w:val="21"/>
                    </w:rPr>
                    <w:t>0.006</w:t>
                  </w:r>
                </w:p>
              </w:tc>
              <w:tc>
                <w:tcPr>
                  <w:tcW w:w="617" w:type="pct"/>
                  <w:vAlign w:val="center"/>
                </w:tcPr>
                <w:p>
                  <w:pPr>
                    <w:jc w:val="center"/>
                    <w:rPr>
                      <w:color w:val="auto"/>
                      <w:szCs w:val="21"/>
                    </w:rPr>
                  </w:pPr>
                  <w:r>
                    <w:rPr>
                      <w:rFonts w:hint="eastAsia"/>
                      <w:color w:val="auto"/>
                      <w:szCs w:val="21"/>
                    </w:rPr>
                    <w:t>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29" w:type="pct"/>
                  <w:vAlign w:val="center"/>
                </w:tcPr>
                <w:p>
                  <w:pPr>
                    <w:jc w:val="center"/>
                    <w:rPr>
                      <w:color w:val="auto"/>
                      <w:szCs w:val="21"/>
                    </w:rPr>
                  </w:pPr>
                  <w:r>
                    <w:rPr>
                      <w:color w:val="auto"/>
                      <w:szCs w:val="21"/>
                    </w:rPr>
                    <w:t>砂石筒仓</w:t>
                  </w:r>
                </w:p>
              </w:tc>
              <w:tc>
                <w:tcPr>
                  <w:tcW w:w="397" w:type="pct"/>
                  <w:vAlign w:val="center"/>
                </w:tcPr>
                <w:p>
                  <w:pPr>
                    <w:jc w:val="center"/>
                    <w:rPr>
                      <w:color w:val="auto"/>
                      <w:szCs w:val="21"/>
                    </w:rPr>
                  </w:pPr>
                  <w:r>
                    <w:rPr>
                      <w:rFonts w:hint="eastAsia"/>
                      <w:color w:val="auto"/>
                      <w:szCs w:val="21"/>
                    </w:rPr>
                    <w:t>0.07</w:t>
                  </w:r>
                </w:p>
              </w:tc>
              <w:tc>
                <w:tcPr>
                  <w:tcW w:w="593" w:type="pct"/>
                  <w:vAlign w:val="center"/>
                </w:tcPr>
                <w:p>
                  <w:pPr>
                    <w:jc w:val="center"/>
                    <w:rPr>
                      <w:color w:val="auto"/>
                      <w:szCs w:val="21"/>
                    </w:rPr>
                  </w:pPr>
                  <w:r>
                    <w:rPr>
                      <w:rFonts w:hint="eastAsia"/>
                      <w:color w:val="auto"/>
                      <w:szCs w:val="21"/>
                    </w:rPr>
                    <w:t>3.5</w:t>
                  </w:r>
                </w:p>
              </w:tc>
              <w:tc>
                <w:tcPr>
                  <w:tcW w:w="505" w:type="pct"/>
                  <w:vAlign w:val="center"/>
                </w:tcPr>
                <w:p>
                  <w:pPr>
                    <w:jc w:val="center"/>
                    <w:rPr>
                      <w:color w:val="auto"/>
                      <w:szCs w:val="21"/>
                    </w:rPr>
                  </w:pPr>
                  <w:r>
                    <w:rPr>
                      <w:rFonts w:hint="eastAsia"/>
                      <w:color w:val="auto"/>
                      <w:szCs w:val="21"/>
                    </w:rPr>
                    <w:t>2</w:t>
                  </w:r>
                  <w:r>
                    <w:rPr>
                      <w:color w:val="auto"/>
                      <w:szCs w:val="21"/>
                      <w:lang w:val="en-GB"/>
                    </w:rPr>
                    <w:t>×10</w:t>
                  </w:r>
                  <w:r>
                    <w:rPr>
                      <w:rFonts w:hint="eastAsia"/>
                      <w:color w:val="auto"/>
                      <w:szCs w:val="21"/>
                      <w:vertAlign w:val="superscript"/>
                      <w:lang w:val="en-GB"/>
                    </w:rPr>
                    <w:t>4</w:t>
                  </w:r>
                </w:p>
              </w:tc>
              <w:tc>
                <w:tcPr>
                  <w:tcW w:w="612" w:type="pct"/>
                  <w:vAlign w:val="center"/>
                </w:tcPr>
                <w:p>
                  <w:pPr>
                    <w:jc w:val="center"/>
                    <w:rPr>
                      <w:color w:val="auto"/>
                      <w:szCs w:val="21"/>
                    </w:rPr>
                  </w:pPr>
                  <w:r>
                    <w:rPr>
                      <w:rFonts w:hint="eastAsia"/>
                      <w:color w:val="auto"/>
                      <w:szCs w:val="21"/>
                    </w:rPr>
                    <w:t>3500</w:t>
                  </w:r>
                </w:p>
              </w:tc>
              <w:tc>
                <w:tcPr>
                  <w:tcW w:w="813" w:type="pct"/>
                  <w:vAlign w:val="center"/>
                </w:tcPr>
                <w:p>
                  <w:pPr>
                    <w:jc w:val="center"/>
                    <w:rPr>
                      <w:color w:val="auto"/>
                      <w:szCs w:val="21"/>
                    </w:rPr>
                  </w:pPr>
                  <w:r>
                    <w:rPr>
                      <w:rFonts w:hint="eastAsia"/>
                      <w:color w:val="auto"/>
                      <w:szCs w:val="21"/>
                    </w:rPr>
                    <w:t>1台仓顶脉冲布袋除尘器</w:t>
                  </w:r>
                </w:p>
              </w:tc>
              <w:tc>
                <w:tcPr>
                  <w:tcW w:w="430" w:type="pct"/>
                  <w:vAlign w:val="center"/>
                </w:tcPr>
                <w:p>
                  <w:pPr>
                    <w:jc w:val="center"/>
                    <w:rPr>
                      <w:color w:val="auto"/>
                      <w:szCs w:val="21"/>
                    </w:rPr>
                  </w:pPr>
                  <w:r>
                    <w:rPr>
                      <w:rFonts w:hint="eastAsia"/>
                      <w:color w:val="auto"/>
                      <w:szCs w:val="21"/>
                    </w:rPr>
                    <w:t>0.00007</w:t>
                  </w:r>
                </w:p>
              </w:tc>
              <w:tc>
                <w:tcPr>
                  <w:tcW w:w="498" w:type="pct"/>
                  <w:vAlign w:val="center"/>
                </w:tcPr>
                <w:p>
                  <w:pPr>
                    <w:jc w:val="center"/>
                    <w:rPr>
                      <w:color w:val="auto"/>
                      <w:szCs w:val="21"/>
                    </w:rPr>
                  </w:pPr>
                  <w:r>
                    <w:rPr>
                      <w:rFonts w:hint="eastAsia"/>
                      <w:color w:val="auto"/>
                      <w:szCs w:val="21"/>
                    </w:rPr>
                    <w:t>0.004</w:t>
                  </w:r>
                </w:p>
              </w:tc>
              <w:tc>
                <w:tcPr>
                  <w:tcW w:w="617" w:type="pct"/>
                  <w:vAlign w:val="center"/>
                </w:tcPr>
                <w:p>
                  <w:pPr>
                    <w:jc w:val="center"/>
                    <w:rPr>
                      <w:color w:val="auto"/>
                      <w:szCs w:val="21"/>
                    </w:rPr>
                  </w:pPr>
                  <w:r>
                    <w:rPr>
                      <w:rFonts w:hint="eastAsia"/>
                      <w:color w:val="auto"/>
                      <w:szCs w:val="21"/>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29" w:type="pct"/>
                  <w:vAlign w:val="center"/>
                </w:tcPr>
                <w:p>
                  <w:pPr>
                    <w:jc w:val="center"/>
                    <w:rPr>
                      <w:color w:val="auto"/>
                      <w:szCs w:val="21"/>
                    </w:rPr>
                  </w:pPr>
                  <w:r>
                    <w:rPr>
                      <w:color w:val="auto"/>
                      <w:szCs w:val="21"/>
                    </w:rPr>
                    <w:t>上料、配料、混料、包装工序粉尘</w:t>
                  </w:r>
                </w:p>
              </w:tc>
              <w:tc>
                <w:tcPr>
                  <w:tcW w:w="397" w:type="pct"/>
                  <w:vAlign w:val="center"/>
                </w:tcPr>
                <w:p>
                  <w:pPr>
                    <w:jc w:val="center"/>
                    <w:rPr>
                      <w:color w:val="auto"/>
                      <w:szCs w:val="21"/>
                    </w:rPr>
                  </w:pPr>
                  <w:r>
                    <w:rPr>
                      <w:rFonts w:hint="eastAsia"/>
                      <w:color w:val="auto"/>
                      <w:szCs w:val="21"/>
                    </w:rPr>
                    <w:t>30.72</w:t>
                  </w:r>
                </w:p>
              </w:tc>
              <w:tc>
                <w:tcPr>
                  <w:tcW w:w="593" w:type="pct"/>
                  <w:vAlign w:val="center"/>
                </w:tcPr>
                <w:p>
                  <w:pPr>
                    <w:jc w:val="center"/>
                    <w:rPr>
                      <w:color w:val="auto"/>
                      <w:szCs w:val="21"/>
                    </w:rPr>
                  </w:pPr>
                  <w:r>
                    <w:rPr>
                      <w:rFonts w:hint="eastAsia"/>
                      <w:color w:val="auto"/>
                      <w:szCs w:val="21"/>
                    </w:rPr>
                    <w:t>4.27</w:t>
                  </w:r>
                </w:p>
              </w:tc>
              <w:tc>
                <w:tcPr>
                  <w:tcW w:w="505" w:type="pct"/>
                  <w:vAlign w:val="center"/>
                </w:tcPr>
                <w:p>
                  <w:pPr>
                    <w:jc w:val="center"/>
                    <w:rPr>
                      <w:color w:val="auto"/>
                      <w:szCs w:val="21"/>
                    </w:rPr>
                  </w:pPr>
                  <w:r>
                    <w:rPr>
                      <w:rFonts w:hint="eastAsia"/>
                      <w:color w:val="auto"/>
                      <w:szCs w:val="21"/>
                    </w:rPr>
                    <w:t>3.6</w:t>
                  </w:r>
                  <w:r>
                    <w:rPr>
                      <w:color w:val="auto"/>
                      <w:szCs w:val="21"/>
                      <w:lang w:val="en-GB"/>
                    </w:rPr>
                    <w:t>×10</w:t>
                  </w:r>
                  <w:r>
                    <w:rPr>
                      <w:rFonts w:hint="eastAsia"/>
                      <w:color w:val="auto"/>
                      <w:szCs w:val="21"/>
                      <w:vertAlign w:val="superscript"/>
                      <w:lang w:val="en-GB"/>
                    </w:rPr>
                    <w:t>7</w:t>
                  </w:r>
                </w:p>
              </w:tc>
              <w:tc>
                <w:tcPr>
                  <w:tcW w:w="612" w:type="pct"/>
                  <w:vAlign w:val="center"/>
                </w:tcPr>
                <w:p>
                  <w:pPr>
                    <w:jc w:val="center"/>
                    <w:rPr>
                      <w:color w:val="auto"/>
                      <w:szCs w:val="21"/>
                    </w:rPr>
                  </w:pPr>
                  <w:r>
                    <w:rPr>
                      <w:rFonts w:hint="eastAsia"/>
                      <w:color w:val="auto"/>
                      <w:szCs w:val="21"/>
                    </w:rPr>
                    <w:t>854</w:t>
                  </w:r>
                </w:p>
              </w:tc>
              <w:tc>
                <w:tcPr>
                  <w:tcW w:w="813" w:type="pct"/>
                  <w:vAlign w:val="center"/>
                </w:tcPr>
                <w:p>
                  <w:pPr>
                    <w:jc w:val="center"/>
                    <w:rPr>
                      <w:color w:val="auto"/>
                      <w:szCs w:val="21"/>
                    </w:rPr>
                  </w:pPr>
                  <w:r>
                    <w:rPr>
                      <w:rFonts w:hint="eastAsia"/>
                      <w:color w:val="auto"/>
                      <w:szCs w:val="21"/>
                    </w:rPr>
                    <w:t>1</w:t>
                  </w:r>
                  <w:r>
                    <w:rPr>
                      <w:rFonts w:hint="eastAsia"/>
                      <w:color w:val="auto"/>
                      <w:szCs w:val="21"/>
                      <w:lang w:val="en-US" w:eastAsia="zh-CN"/>
                    </w:rPr>
                    <w:t>5</w:t>
                  </w:r>
                  <w:r>
                    <w:rPr>
                      <w:rFonts w:hint="eastAsia"/>
                      <w:color w:val="auto"/>
                      <w:szCs w:val="21"/>
                    </w:rPr>
                    <w:t>台脉冲布袋除尘器</w:t>
                  </w:r>
                </w:p>
              </w:tc>
              <w:tc>
                <w:tcPr>
                  <w:tcW w:w="430" w:type="pct"/>
                  <w:vAlign w:val="center"/>
                </w:tcPr>
                <w:p>
                  <w:pPr>
                    <w:jc w:val="center"/>
                    <w:rPr>
                      <w:color w:val="auto"/>
                      <w:szCs w:val="21"/>
                    </w:rPr>
                  </w:pPr>
                  <w:r>
                    <w:rPr>
                      <w:rFonts w:hint="eastAsia"/>
                      <w:color w:val="auto"/>
                      <w:szCs w:val="21"/>
                    </w:rPr>
                    <w:t>0.03</w:t>
                  </w:r>
                </w:p>
              </w:tc>
              <w:tc>
                <w:tcPr>
                  <w:tcW w:w="498" w:type="pct"/>
                  <w:vAlign w:val="center"/>
                </w:tcPr>
                <w:p>
                  <w:pPr>
                    <w:jc w:val="center"/>
                    <w:rPr>
                      <w:color w:val="auto"/>
                      <w:szCs w:val="21"/>
                    </w:rPr>
                  </w:pPr>
                  <w:r>
                    <w:rPr>
                      <w:rFonts w:hint="eastAsia"/>
                      <w:color w:val="auto"/>
                      <w:szCs w:val="21"/>
                    </w:rPr>
                    <w:t>0.004</w:t>
                  </w:r>
                </w:p>
              </w:tc>
              <w:tc>
                <w:tcPr>
                  <w:tcW w:w="617" w:type="pct"/>
                  <w:vAlign w:val="center"/>
                </w:tcPr>
                <w:p>
                  <w:pPr>
                    <w:jc w:val="center"/>
                    <w:rPr>
                      <w:color w:val="auto"/>
                      <w:szCs w:val="21"/>
                    </w:rPr>
                  </w:pPr>
                  <w:r>
                    <w:rPr>
                      <w:rFonts w:hint="eastAsia"/>
                      <w:color w:val="auto"/>
                      <w:szCs w:val="21"/>
                    </w:rPr>
                    <w:t>0.854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29" w:type="pct"/>
                  <w:vAlign w:val="center"/>
                </w:tcPr>
                <w:p>
                  <w:pPr>
                    <w:jc w:val="center"/>
                    <w:rPr>
                      <w:color w:val="auto"/>
                      <w:szCs w:val="21"/>
                    </w:rPr>
                  </w:pPr>
                  <w:r>
                    <w:rPr>
                      <w:color w:val="auto"/>
                      <w:szCs w:val="21"/>
                    </w:rPr>
                    <w:t>砂石进料</w:t>
                  </w:r>
                </w:p>
              </w:tc>
              <w:tc>
                <w:tcPr>
                  <w:tcW w:w="397" w:type="pct"/>
                  <w:vAlign w:val="center"/>
                </w:tcPr>
                <w:p>
                  <w:pPr>
                    <w:jc w:val="center"/>
                    <w:rPr>
                      <w:color w:val="auto"/>
                      <w:szCs w:val="21"/>
                    </w:rPr>
                  </w:pPr>
                  <w:r>
                    <w:rPr>
                      <w:rFonts w:hint="eastAsia"/>
                      <w:color w:val="auto"/>
                      <w:szCs w:val="21"/>
                    </w:rPr>
                    <w:t>0.02</w:t>
                  </w:r>
                </w:p>
              </w:tc>
              <w:tc>
                <w:tcPr>
                  <w:tcW w:w="593" w:type="pct"/>
                  <w:vAlign w:val="center"/>
                </w:tcPr>
                <w:p>
                  <w:pPr>
                    <w:jc w:val="center"/>
                    <w:rPr>
                      <w:rFonts w:hint="default" w:eastAsia="宋体"/>
                      <w:color w:val="auto"/>
                      <w:szCs w:val="21"/>
                      <w:lang w:val="en-US" w:eastAsia="zh-CN"/>
                    </w:rPr>
                  </w:pPr>
                  <w:r>
                    <w:rPr>
                      <w:rFonts w:hint="eastAsia"/>
                      <w:color w:val="auto"/>
                      <w:szCs w:val="21"/>
                    </w:rPr>
                    <w:t>2</w:t>
                  </w:r>
                  <w:r>
                    <w:rPr>
                      <w:rFonts w:hint="eastAsia"/>
                      <w:color w:val="auto"/>
                      <w:szCs w:val="21"/>
                      <w:lang w:eastAsia="zh-CN"/>
                    </w:rPr>
                    <w:t>.</w:t>
                  </w:r>
                  <w:r>
                    <w:rPr>
                      <w:rFonts w:hint="eastAsia"/>
                      <w:color w:val="auto"/>
                      <w:szCs w:val="21"/>
                      <w:lang w:val="en-US" w:eastAsia="zh-CN"/>
                    </w:rPr>
                    <w:t>17</w:t>
                  </w:r>
                </w:p>
              </w:tc>
              <w:tc>
                <w:tcPr>
                  <w:tcW w:w="505" w:type="pct"/>
                  <w:vAlign w:val="center"/>
                </w:tcPr>
                <w:p>
                  <w:pPr>
                    <w:jc w:val="center"/>
                    <w:rPr>
                      <w:color w:val="auto"/>
                      <w:szCs w:val="21"/>
                    </w:rPr>
                  </w:pPr>
                  <w:r>
                    <w:rPr>
                      <w:rFonts w:hint="eastAsia"/>
                      <w:color w:val="auto"/>
                      <w:szCs w:val="21"/>
                    </w:rPr>
                    <w:t>/</w:t>
                  </w:r>
                </w:p>
              </w:tc>
              <w:tc>
                <w:tcPr>
                  <w:tcW w:w="612" w:type="pct"/>
                  <w:vAlign w:val="center"/>
                </w:tcPr>
                <w:p>
                  <w:pPr>
                    <w:jc w:val="center"/>
                    <w:rPr>
                      <w:color w:val="auto"/>
                      <w:szCs w:val="21"/>
                    </w:rPr>
                  </w:pPr>
                  <w:r>
                    <w:rPr>
                      <w:rFonts w:hint="eastAsia"/>
                      <w:color w:val="auto"/>
                      <w:szCs w:val="21"/>
                    </w:rPr>
                    <w:t>/</w:t>
                  </w:r>
                </w:p>
              </w:tc>
              <w:tc>
                <w:tcPr>
                  <w:tcW w:w="813" w:type="pct"/>
                  <w:vAlign w:val="center"/>
                </w:tcPr>
                <w:p>
                  <w:pPr>
                    <w:jc w:val="center"/>
                    <w:rPr>
                      <w:color w:val="auto"/>
                      <w:szCs w:val="21"/>
                    </w:rPr>
                  </w:pPr>
                  <w:r>
                    <w:rPr>
                      <w:color w:val="auto"/>
                      <w:szCs w:val="21"/>
                    </w:rPr>
                    <w:t>3</w:t>
                  </w:r>
                  <w:r>
                    <w:rPr>
                      <w:rFonts w:hint="eastAsia"/>
                      <w:color w:val="auto"/>
                      <w:szCs w:val="21"/>
                    </w:rPr>
                    <w:t>面挡墙及顶盖阻隔</w:t>
                  </w:r>
                </w:p>
              </w:tc>
              <w:tc>
                <w:tcPr>
                  <w:tcW w:w="430" w:type="pct"/>
                  <w:vAlign w:val="center"/>
                </w:tcPr>
                <w:p>
                  <w:pPr>
                    <w:jc w:val="center"/>
                    <w:rPr>
                      <w:rFonts w:hint="eastAsia" w:eastAsia="宋体"/>
                      <w:color w:val="auto"/>
                      <w:szCs w:val="21"/>
                      <w:lang w:val="en-US" w:eastAsia="zh-CN"/>
                    </w:rPr>
                  </w:pPr>
                  <w:r>
                    <w:rPr>
                      <w:rFonts w:hint="eastAsia"/>
                      <w:color w:val="auto"/>
                      <w:szCs w:val="21"/>
                    </w:rPr>
                    <w:t>0.003</w:t>
                  </w:r>
                  <w:r>
                    <w:rPr>
                      <w:rFonts w:hint="eastAsia"/>
                      <w:color w:val="auto"/>
                      <w:szCs w:val="21"/>
                      <w:lang w:val="en-US" w:eastAsia="zh-CN"/>
                    </w:rPr>
                    <w:t>6</w:t>
                  </w:r>
                </w:p>
              </w:tc>
              <w:tc>
                <w:tcPr>
                  <w:tcW w:w="498" w:type="pct"/>
                  <w:vAlign w:val="center"/>
                </w:tcPr>
                <w:p>
                  <w:pPr>
                    <w:jc w:val="center"/>
                    <w:rPr>
                      <w:rFonts w:hint="default" w:eastAsia="宋体"/>
                      <w:color w:val="auto"/>
                      <w:szCs w:val="21"/>
                      <w:lang w:val="en-US" w:eastAsia="zh-CN"/>
                    </w:rPr>
                  </w:pPr>
                  <w:r>
                    <w:rPr>
                      <w:rFonts w:hint="eastAsia"/>
                      <w:color w:val="auto"/>
                      <w:szCs w:val="21"/>
                    </w:rPr>
                    <w:t>0.</w:t>
                  </w:r>
                  <w:r>
                    <w:rPr>
                      <w:rFonts w:hint="eastAsia"/>
                      <w:color w:val="auto"/>
                      <w:szCs w:val="21"/>
                      <w:lang w:val="en-US" w:eastAsia="zh-CN"/>
                    </w:rPr>
                    <w:t>47</w:t>
                  </w:r>
                </w:p>
              </w:tc>
              <w:tc>
                <w:tcPr>
                  <w:tcW w:w="617" w:type="pct"/>
                  <w:vAlign w:val="center"/>
                </w:tcPr>
                <w:p>
                  <w:pPr>
                    <w:jc w:val="center"/>
                    <w:rPr>
                      <w:color w:val="auto"/>
                      <w:szCs w:val="21"/>
                    </w:rPr>
                  </w:pPr>
                  <w:r>
                    <w:rPr>
                      <w:rFonts w:hint="eastAsia"/>
                      <w:color w:val="auto"/>
                      <w:szCs w:val="21"/>
                    </w:rPr>
                    <w:t>/</w:t>
                  </w:r>
                </w:p>
              </w:tc>
            </w:tr>
          </w:tbl>
          <w:p>
            <w:pPr>
              <w:adjustRightInd w:val="0"/>
              <w:spacing w:line="360" w:lineRule="auto"/>
              <w:rPr>
                <w:color w:val="auto"/>
                <w:sz w:val="24"/>
              </w:rPr>
            </w:pPr>
            <w:r>
              <w:rPr>
                <w:rFonts w:hint="eastAsia"/>
                <w:color w:val="auto"/>
                <w:sz w:val="24"/>
              </w:rPr>
              <w:t>项目废气走向如下图所示：</w:t>
            </w:r>
          </w:p>
          <w:p>
            <w:pPr>
              <w:adjustRightInd w:val="0"/>
              <w:spacing w:line="360" w:lineRule="auto"/>
              <w:jc w:val="center"/>
              <w:rPr>
                <w:color w:val="auto"/>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697230</wp:posOffset>
                      </wp:positionH>
                      <wp:positionV relativeFrom="paragraph">
                        <wp:posOffset>2286000</wp:posOffset>
                      </wp:positionV>
                      <wp:extent cx="83820" cy="159385"/>
                      <wp:effectExtent l="0" t="0" r="11430" b="12065"/>
                      <wp:wrapNone/>
                      <wp:docPr id="3" name="文本框 3"/>
                      <wp:cNvGraphicFramePr/>
                      <a:graphic xmlns:a="http://schemas.openxmlformats.org/drawingml/2006/main">
                        <a:graphicData uri="http://schemas.microsoft.com/office/word/2010/wordprocessingShape">
                          <wps:wsp>
                            <wps:cNvSpPr txBox="1"/>
                            <wps:spPr>
                              <a:xfrm>
                                <a:off x="1505585" y="3317875"/>
                                <a:ext cx="83820" cy="1593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val="en-US" w:eastAsia="zh-CN"/>
                                    </w:rPr>
                                  </w:pPr>
                                  <w:r>
                                    <w:rPr>
                                      <w:rFonts w:hint="eastAsia"/>
                                      <w:sz w:val="18"/>
                                      <w:szCs w:val="18"/>
                                      <w:lang w:val="en-US" w:eastAsia="zh-CN"/>
                                    </w:rPr>
                                    <w:t>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4.9pt;margin-top:180pt;height:12.55pt;width:6.6pt;z-index:251659264;mso-width-relative:page;mso-height-relative:page;" fillcolor="#FFFFFF [3201]" filled="t" stroked="f" coordsize="21600,21600" o:gfxdata="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D5Hwi1gAAAAsBAAAPAAAA&#10;AAAAAAEAIAAAACIAAABkcnMvZG93bnJldi54bWxQSwECFAAUAAAACACHTuJALz1HNVACAACJBAAA&#10;DgAAAAAAAAABACAAAAAlAQAAZHJzL2Uyb0RvYy54bWxQSwUGAAAAAAYABgBZAQAA5wUAAAAA&#10;">
                      <v:fill on="t" focussize="0,0"/>
                      <v:stroke on="f" weight="0.5pt"/>
                      <v:imagedata o:title=""/>
                      <o:lock v:ext="edit" aspectratio="f"/>
                      <v:textbox inset="0mm,0mm,0mm,0mm">
                        <w:txbxContent>
                          <w:p>
                            <w:pPr>
                              <w:rPr>
                                <w:rFonts w:hint="eastAsia" w:eastAsia="宋体"/>
                                <w:sz w:val="18"/>
                                <w:szCs w:val="18"/>
                                <w:lang w:val="en-US" w:eastAsia="zh-CN"/>
                              </w:rPr>
                            </w:pPr>
                            <w:r>
                              <w:rPr>
                                <w:rFonts w:hint="eastAsia"/>
                                <w:sz w:val="18"/>
                                <w:szCs w:val="18"/>
                                <w:lang w:val="en-US" w:eastAsia="zh-CN"/>
                              </w:rPr>
                              <w:t>6</w:t>
                            </w:r>
                          </w:p>
                        </w:txbxContent>
                      </v:textbox>
                    </v:shape>
                  </w:pict>
                </mc:Fallback>
              </mc:AlternateContent>
            </w: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1367790</wp:posOffset>
                      </wp:positionH>
                      <wp:positionV relativeFrom="paragraph">
                        <wp:posOffset>2280920</wp:posOffset>
                      </wp:positionV>
                      <wp:extent cx="83820" cy="159385"/>
                      <wp:effectExtent l="0" t="0" r="11430" b="12065"/>
                      <wp:wrapNone/>
                      <wp:docPr id="4" name="文本框 4"/>
                      <wp:cNvGraphicFramePr/>
                      <a:graphic xmlns:a="http://schemas.openxmlformats.org/drawingml/2006/main">
                        <a:graphicData uri="http://schemas.microsoft.com/office/word/2010/wordprocessingShape">
                          <wps:wsp>
                            <wps:cNvSpPr txBox="1"/>
                            <wps:spPr>
                              <a:xfrm>
                                <a:off x="0" y="0"/>
                                <a:ext cx="83820" cy="1593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val="en-US" w:eastAsia="zh-CN"/>
                                    </w:rPr>
                                  </w:pPr>
                                  <w:r>
                                    <w:rPr>
                                      <w:rFonts w:hint="eastAsia"/>
                                      <w:sz w:val="18"/>
                                      <w:szCs w:val="18"/>
                                      <w:lang w:val="en-US" w:eastAsia="zh-CN"/>
                                    </w:rPr>
                                    <w:t>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7.7pt;margin-top:179.6pt;height:12.55pt;width:6.6pt;z-index:251660288;mso-width-relative:page;mso-height-relative:page;" fillcolor="#FFFFFF [3201]" filled="t" stroked="f" coordsize="21600,21600" o:gfxdata="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csYoXYAAAACwEAAA8AAAAAAAAAAQAgAAAA&#10;IgAAAGRycy9kb3ducmV2LnhtbFBLAQIUABQAAAAIAIdO4kC5nS7VRAIAAH0EAAAOAAAAAAAAAAEA&#10;IAAAACcBAABkcnMvZTJvRG9jLnhtbFBLBQYAAAAABgAGAFkBAADdBQAAAAA=&#10;">
                      <v:fill on="t" focussize="0,0"/>
                      <v:stroke on="f" weight="0.5pt"/>
                      <v:imagedata o:title=""/>
                      <o:lock v:ext="edit" aspectratio="f"/>
                      <v:textbox inset="0mm,0mm,0mm,0mm">
                        <w:txbxContent>
                          <w:p>
                            <w:pPr>
                              <w:rPr>
                                <w:rFonts w:hint="eastAsia" w:eastAsia="宋体"/>
                                <w:sz w:val="18"/>
                                <w:szCs w:val="18"/>
                                <w:lang w:val="en-US" w:eastAsia="zh-CN"/>
                              </w:rPr>
                            </w:pPr>
                            <w:r>
                              <w:rPr>
                                <w:rFonts w:hint="eastAsia"/>
                                <w:sz w:val="18"/>
                                <w:szCs w:val="18"/>
                                <w:lang w:val="en-US" w:eastAsia="zh-CN"/>
                              </w:rPr>
                              <w:t>6</w:t>
                            </w:r>
                          </w:p>
                        </w:txbxContent>
                      </v:textbox>
                    </v:shape>
                  </w:pict>
                </mc:Fallback>
              </mc:AlternateContent>
            </w:r>
            <w:r>
              <w:rPr>
                <w:color w:val="auto"/>
              </w:rPr>
              <w:object>
                <v:shape id="_x0000_i1029" o:spt="75" type="#_x0000_t75" style="height:448.75pt;width:394.35pt;" o:ole="t" filled="f" o:preferrelative="t" stroked="f" coordsize="21600,21600">
                  <v:path/>
                  <v:fill on="f" focussize="0,0"/>
                  <v:stroke on="f" joinstyle="miter"/>
                  <v:imagedata r:id="rId18" o:title=""/>
                  <o:lock v:ext="edit" aspectratio="t"/>
                  <w10:wrap type="none"/>
                  <w10:anchorlock/>
                </v:shape>
                <o:OLEObject Type="Embed" ProgID="Visio.Drawing.11" ShapeID="_x0000_i1029" DrawAspect="Content" ObjectID="_1468075729" r:id="rId17">
                  <o:LockedField>false</o:LockedField>
                </o:OLEObject>
              </w:object>
            </w:r>
          </w:p>
          <w:p>
            <w:pPr>
              <w:jc w:val="center"/>
              <w:rPr>
                <w:b/>
                <w:color w:val="auto"/>
                <w:sz w:val="24"/>
                <w:highlight w:val="none"/>
              </w:rPr>
            </w:pPr>
            <w:r>
              <w:rPr>
                <w:rFonts w:hint="eastAsia"/>
                <w:b/>
                <w:color w:val="auto"/>
                <w:sz w:val="24"/>
                <w:highlight w:val="none"/>
              </w:rPr>
              <w:t>图4-1   项目废气走向图</w:t>
            </w:r>
          </w:p>
          <w:p>
            <w:pPr>
              <w:adjustRightInd w:val="0"/>
              <w:spacing w:line="360" w:lineRule="auto"/>
              <w:ind w:firstLine="480" w:firstLineChars="200"/>
              <w:rPr>
                <w:color w:val="auto"/>
                <w:sz w:val="24"/>
              </w:rPr>
            </w:pPr>
            <w:r>
              <w:rPr>
                <w:rFonts w:hint="eastAsia"/>
                <w:color w:val="auto"/>
                <w:sz w:val="24"/>
              </w:rPr>
              <w:t>（2）废气排放影响分析</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预测因子与预测参数</w:t>
            </w:r>
          </w:p>
          <w:p>
            <w:pPr>
              <w:spacing w:line="360" w:lineRule="auto"/>
              <w:ind w:firstLine="480" w:firstLineChars="200"/>
              <w:rPr>
                <w:color w:val="auto"/>
                <w:sz w:val="24"/>
              </w:rPr>
            </w:pPr>
            <w:r>
              <w:rPr>
                <w:color w:val="auto"/>
                <w:sz w:val="24"/>
              </w:rPr>
              <w:t>本次评价应用《环境影响评价技术导则  大气环境》（HJ2.2-2018）模式清单中的AERSCREEN估算模式对主要污染源进行分析及预测。</w:t>
            </w:r>
          </w:p>
          <w:p>
            <w:pPr>
              <w:snapToGrid w:val="0"/>
              <w:spacing w:before="48" w:beforeLines="20"/>
              <w:jc w:val="center"/>
              <w:rPr>
                <w:b/>
                <w:bCs/>
                <w:color w:val="auto"/>
                <w:sz w:val="24"/>
              </w:rPr>
            </w:pPr>
            <w:r>
              <w:rPr>
                <w:b/>
                <w:bCs/>
                <w:color w:val="auto"/>
                <w:sz w:val="24"/>
              </w:rPr>
              <w:t>表4-</w:t>
            </w:r>
            <w:r>
              <w:rPr>
                <w:rFonts w:hint="eastAsia"/>
                <w:b/>
                <w:bCs/>
                <w:color w:val="auto"/>
                <w:sz w:val="24"/>
              </w:rPr>
              <w:t>2</w:t>
            </w:r>
            <w:r>
              <w:rPr>
                <w:b/>
                <w:bCs/>
                <w:color w:val="auto"/>
                <w:sz w:val="24"/>
              </w:rPr>
              <w:t xml:space="preserve">   估算模型参数表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680"/>
              <w:gridCol w:w="2704"/>
              <w:gridCol w:w="27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014" w:type="dxa"/>
                  <w:gridSpan w:val="2"/>
                  <w:vAlign w:val="center"/>
                </w:tcPr>
                <w:p>
                  <w:pPr>
                    <w:adjustRightInd w:val="0"/>
                    <w:snapToGrid w:val="0"/>
                    <w:jc w:val="center"/>
                    <w:rPr>
                      <w:bCs/>
                      <w:color w:val="auto"/>
                      <w:szCs w:val="21"/>
                    </w:rPr>
                  </w:pPr>
                  <w:r>
                    <w:rPr>
                      <w:bCs/>
                      <w:color w:val="auto"/>
                    </w:rPr>
                    <w:t>参数</w:t>
                  </w:r>
                </w:p>
              </w:tc>
              <w:tc>
                <w:tcPr>
                  <w:tcW w:w="3008" w:type="dxa"/>
                  <w:vAlign w:val="center"/>
                </w:tcPr>
                <w:p>
                  <w:pPr>
                    <w:adjustRightInd w:val="0"/>
                    <w:snapToGrid w:val="0"/>
                    <w:jc w:val="center"/>
                    <w:rPr>
                      <w:bCs/>
                      <w:color w:val="auto"/>
                      <w:szCs w:val="21"/>
                    </w:rPr>
                  </w:pPr>
                  <w:r>
                    <w:rPr>
                      <w:bCs/>
                      <w:color w:val="auto"/>
                    </w:rPr>
                    <w:t>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3007" w:type="dxa"/>
                  <w:vMerge w:val="restart"/>
                  <w:vAlign w:val="center"/>
                </w:tcPr>
                <w:p>
                  <w:pPr>
                    <w:adjustRightInd w:val="0"/>
                    <w:snapToGrid w:val="0"/>
                    <w:jc w:val="center"/>
                    <w:rPr>
                      <w:color w:val="auto"/>
                      <w:szCs w:val="21"/>
                    </w:rPr>
                  </w:pPr>
                  <w:r>
                    <w:rPr>
                      <w:color w:val="auto"/>
                    </w:rPr>
                    <w:t>城市/农村选项</w:t>
                  </w:r>
                </w:p>
              </w:tc>
              <w:tc>
                <w:tcPr>
                  <w:tcW w:w="3007" w:type="dxa"/>
                  <w:vAlign w:val="center"/>
                </w:tcPr>
                <w:p>
                  <w:pPr>
                    <w:adjustRightInd w:val="0"/>
                    <w:snapToGrid w:val="0"/>
                    <w:jc w:val="center"/>
                    <w:rPr>
                      <w:color w:val="auto"/>
                      <w:szCs w:val="21"/>
                    </w:rPr>
                  </w:pPr>
                  <w:r>
                    <w:rPr>
                      <w:color w:val="auto"/>
                    </w:rPr>
                    <w:t>城市/农村</w:t>
                  </w:r>
                </w:p>
              </w:tc>
              <w:tc>
                <w:tcPr>
                  <w:tcW w:w="3008" w:type="dxa"/>
                  <w:vAlign w:val="center"/>
                </w:tcPr>
                <w:p>
                  <w:pPr>
                    <w:adjustRightInd w:val="0"/>
                    <w:snapToGrid w:val="0"/>
                    <w:jc w:val="center"/>
                    <w:rPr>
                      <w:color w:val="auto"/>
                      <w:szCs w:val="21"/>
                    </w:rPr>
                  </w:pPr>
                  <w:r>
                    <w:rPr>
                      <w:color w:val="auto"/>
                      <w:szCs w:val="21"/>
                    </w:rPr>
                    <w:t>城市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3007" w:type="dxa"/>
                  <w:vMerge w:val="continue"/>
                  <w:vAlign w:val="center"/>
                </w:tcPr>
                <w:p>
                  <w:pPr>
                    <w:widowControl/>
                    <w:jc w:val="center"/>
                    <w:rPr>
                      <w:color w:val="auto"/>
                      <w:szCs w:val="21"/>
                    </w:rPr>
                  </w:pPr>
                </w:p>
              </w:tc>
              <w:tc>
                <w:tcPr>
                  <w:tcW w:w="3007" w:type="dxa"/>
                  <w:vAlign w:val="center"/>
                </w:tcPr>
                <w:p>
                  <w:pPr>
                    <w:adjustRightInd w:val="0"/>
                    <w:snapToGrid w:val="0"/>
                    <w:jc w:val="center"/>
                    <w:rPr>
                      <w:color w:val="auto"/>
                      <w:szCs w:val="21"/>
                    </w:rPr>
                  </w:pPr>
                  <w:r>
                    <w:rPr>
                      <w:color w:val="auto"/>
                    </w:rPr>
                    <w:t>人口数（城市选项时）</w:t>
                  </w:r>
                </w:p>
              </w:tc>
              <w:tc>
                <w:tcPr>
                  <w:tcW w:w="3008" w:type="dxa"/>
                  <w:vAlign w:val="center"/>
                </w:tcPr>
                <w:p>
                  <w:pPr>
                    <w:adjustRightInd w:val="0"/>
                    <w:snapToGrid w:val="0"/>
                    <w:jc w:val="center"/>
                    <w:rPr>
                      <w:color w:val="auto"/>
                      <w:szCs w:val="21"/>
                    </w:rPr>
                  </w:pPr>
                  <w:r>
                    <w:rPr>
                      <w:rFonts w:hint="eastAsia"/>
                      <w:color w:val="auto"/>
                    </w:rPr>
                    <w:t>58万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014" w:type="dxa"/>
                  <w:gridSpan w:val="2"/>
                  <w:vAlign w:val="center"/>
                </w:tcPr>
                <w:p>
                  <w:pPr>
                    <w:adjustRightInd w:val="0"/>
                    <w:snapToGrid w:val="0"/>
                    <w:jc w:val="center"/>
                    <w:rPr>
                      <w:color w:val="auto"/>
                      <w:szCs w:val="21"/>
                    </w:rPr>
                  </w:pPr>
                  <w:r>
                    <w:rPr>
                      <w:color w:val="auto"/>
                    </w:rPr>
                    <w:t>最高环境温度/℃</w:t>
                  </w:r>
                </w:p>
              </w:tc>
              <w:tc>
                <w:tcPr>
                  <w:tcW w:w="3008" w:type="dxa"/>
                  <w:vAlign w:val="center"/>
                </w:tcPr>
                <w:p>
                  <w:pPr>
                    <w:adjustRightInd w:val="0"/>
                    <w:snapToGrid w:val="0"/>
                    <w:jc w:val="center"/>
                    <w:rPr>
                      <w:color w:val="auto"/>
                      <w:szCs w:val="21"/>
                    </w:rPr>
                  </w:pPr>
                  <w:r>
                    <w:rPr>
                      <w:rFonts w:hint="eastAsia"/>
                      <w:color w:val="auto"/>
                    </w:rPr>
                    <w:t>41.8</w:t>
                  </w:r>
                  <w:r>
                    <w:rPr>
                      <w:color w:val="auto"/>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014" w:type="dxa"/>
                  <w:gridSpan w:val="2"/>
                  <w:vAlign w:val="center"/>
                </w:tcPr>
                <w:p>
                  <w:pPr>
                    <w:adjustRightInd w:val="0"/>
                    <w:snapToGrid w:val="0"/>
                    <w:jc w:val="center"/>
                    <w:rPr>
                      <w:color w:val="auto"/>
                      <w:szCs w:val="21"/>
                    </w:rPr>
                  </w:pPr>
                  <w:r>
                    <w:rPr>
                      <w:color w:val="auto"/>
                    </w:rPr>
                    <w:t>最低环境温度/℃</w:t>
                  </w:r>
                </w:p>
              </w:tc>
              <w:tc>
                <w:tcPr>
                  <w:tcW w:w="3008" w:type="dxa"/>
                  <w:vAlign w:val="center"/>
                </w:tcPr>
                <w:p>
                  <w:pPr>
                    <w:adjustRightInd w:val="0"/>
                    <w:snapToGrid w:val="0"/>
                    <w:jc w:val="center"/>
                    <w:rPr>
                      <w:color w:val="auto"/>
                      <w:szCs w:val="21"/>
                    </w:rPr>
                  </w:pPr>
                  <w:r>
                    <w:rPr>
                      <w:color w:val="auto"/>
                    </w:rPr>
                    <w:t>-</w:t>
                  </w:r>
                  <w:r>
                    <w:rPr>
                      <w:rFonts w:hint="eastAsia"/>
                      <w:color w:val="auto"/>
                    </w:rPr>
                    <w:t>18.6</w:t>
                  </w:r>
                  <w:r>
                    <w:rPr>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014" w:type="dxa"/>
                  <w:gridSpan w:val="2"/>
                  <w:vAlign w:val="center"/>
                </w:tcPr>
                <w:p>
                  <w:pPr>
                    <w:adjustRightInd w:val="0"/>
                    <w:snapToGrid w:val="0"/>
                    <w:jc w:val="center"/>
                    <w:rPr>
                      <w:color w:val="auto"/>
                      <w:szCs w:val="21"/>
                    </w:rPr>
                  </w:pPr>
                  <w:r>
                    <w:rPr>
                      <w:color w:val="auto"/>
                    </w:rPr>
                    <w:t>土地利用类型</w:t>
                  </w:r>
                </w:p>
              </w:tc>
              <w:tc>
                <w:tcPr>
                  <w:tcW w:w="3008" w:type="dxa"/>
                  <w:vAlign w:val="center"/>
                </w:tcPr>
                <w:p>
                  <w:pPr>
                    <w:adjustRightInd w:val="0"/>
                    <w:snapToGrid w:val="0"/>
                    <w:jc w:val="center"/>
                    <w:rPr>
                      <w:color w:val="auto"/>
                      <w:szCs w:val="21"/>
                    </w:rPr>
                  </w:pPr>
                  <w:r>
                    <w:rPr>
                      <w:color w:val="auto"/>
                      <w:szCs w:val="21"/>
                    </w:rPr>
                    <w:t>建设用地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014" w:type="dxa"/>
                  <w:gridSpan w:val="2"/>
                  <w:vAlign w:val="center"/>
                </w:tcPr>
                <w:p>
                  <w:pPr>
                    <w:adjustRightInd w:val="0"/>
                    <w:snapToGrid w:val="0"/>
                    <w:jc w:val="center"/>
                    <w:rPr>
                      <w:color w:val="auto"/>
                      <w:szCs w:val="21"/>
                    </w:rPr>
                  </w:pPr>
                  <w:r>
                    <w:rPr>
                      <w:color w:val="auto"/>
                    </w:rPr>
                    <w:t>区域湿度条件</w:t>
                  </w:r>
                </w:p>
              </w:tc>
              <w:tc>
                <w:tcPr>
                  <w:tcW w:w="3008" w:type="dxa"/>
                  <w:vAlign w:val="center"/>
                </w:tcPr>
                <w:p>
                  <w:pPr>
                    <w:adjustRightInd w:val="0"/>
                    <w:snapToGrid w:val="0"/>
                    <w:jc w:val="center"/>
                    <w:rPr>
                      <w:color w:val="auto"/>
                      <w:szCs w:val="21"/>
                    </w:rPr>
                  </w:pPr>
                  <w:r>
                    <w:rPr>
                      <w:color w:val="auto"/>
                      <w:szCs w:val="21"/>
                    </w:rPr>
                    <w:t>半湿润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3007" w:type="dxa"/>
                  <w:vMerge w:val="restart"/>
                  <w:vAlign w:val="center"/>
                </w:tcPr>
                <w:p>
                  <w:pPr>
                    <w:adjustRightInd w:val="0"/>
                    <w:snapToGrid w:val="0"/>
                    <w:jc w:val="center"/>
                    <w:rPr>
                      <w:color w:val="auto"/>
                      <w:szCs w:val="21"/>
                    </w:rPr>
                  </w:pPr>
                  <w:r>
                    <w:rPr>
                      <w:color w:val="auto"/>
                    </w:rPr>
                    <w:t>是否考虑地形</w:t>
                  </w:r>
                </w:p>
              </w:tc>
              <w:tc>
                <w:tcPr>
                  <w:tcW w:w="3007" w:type="dxa"/>
                  <w:vAlign w:val="center"/>
                </w:tcPr>
                <w:p>
                  <w:pPr>
                    <w:adjustRightInd w:val="0"/>
                    <w:snapToGrid w:val="0"/>
                    <w:jc w:val="center"/>
                    <w:rPr>
                      <w:color w:val="auto"/>
                      <w:szCs w:val="21"/>
                    </w:rPr>
                  </w:pPr>
                  <w:r>
                    <w:rPr>
                      <w:color w:val="auto"/>
                    </w:rPr>
                    <w:t>考虑地形</w:t>
                  </w:r>
                </w:p>
              </w:tc>
              <w:tc>
                <w:tcPr>
                  <w:tcW w:w="3008" w:type="dxa"/>
                  <w:vAlign w:val="center"/>
                </w:tcPr>
                <w:p>
                  <w:pPr>
                    <w:adjustRightInd w:val="0"/>
                    <w:snapToGrid w:val="0"/>
                    <w:jc w:val="center"/>
                    <w:rPr>
                      <w:color w:val="auto"/>
                      <w:szCs w:val="21"/>
                    </w:rPr>
                  </w:pPr>
                  <w:r>
                    <w:rPr>
                      <w:color w:val="auto"/>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3007" w:type="dxa"/>
                  <w:vMerge w:val="continue"/>
                  <w:vAlign w:val="center"/>
                </w:tcPr>
                <w:p>
                  <w:pPr>
                    <w:widowControl/>
                    <w:jc w:val="center"/>
                    <w:rPr>
                      <w:color w:val="auto"/>
                      <w:szCs w:val="21"/>
                    </w:rPr>
                  </w:pPr>
                </w:p>
              </w:tc>
              <w:tc>
                <w:tcPr>
                  <w:tcW w:w="3007" w:type="dxa"/>
                  <w:vAlign w:val="center"/>
                </w:tcPr>
                <w:p>
                  <w:pPr>
                    <w:adjustRightInd w:val="0"/>
                    <w:snapToGrid w:val="0"/>
                    <w:jc w:val="center"/>
                    <w:rPr>
                      <w:color w:val="auto"/>
                      <w:szCs w:val="21"/>
                    </w:rPr>
                  </w:pPr>
                  <w:r>
                    <w:rPr>
                      <w:color w:val="auto"/>
                    </w:rPr>
                    <w:t>地形数据分辨率/m</w:t>
                  </w:r>
                </w:p>
              </w:tc>
              <w:tc>
                <w:tcPr>
                  <w:tcW w:w="3008" w:type="dxa"/>
                  <w:vAlign w:val="center"/>
                </w:tcPr>
                <w:p>
                  <w:pPr>
                    <w:adjustRightInd w:val="0"/>
                    <w:snapToGrid w:val="0"/>
                    <w:jc w:val="center"/>
                    <w:rPr>
                      <w:color w:val="auto"/>
                      <w:szCs w:val="21"/>
                    </w:rPr>
                  </w:pPr>
                  <w:r>
                    <w:rPr>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3007" w:type="dxa"/>
                  <w:vMerge w:val="restart"/>
                  <w:vAlign w:val="center"/>
                </w:tcPr>
                <w:p>
                  <w:pPr>
                    <w:adjustRightInd w:val="0"/>
                    <w:snapToGrid w:val="0"/>
                    <w:spacing w:before="120" w:beforeLines="50"/>
                    <w:jc w:val="center"/>
                    <w:rPr>
                      <w:color w:val="auto"/>
                      <w:szCs w:val="21"/>
                    </w:rPr>
                  </w:pPr>
                  <w:r>
                    <w:rPr>
                      <w:color w:val="auto"/>
                    </w:rPr>
                    <w:t>是否考虑岸线熏烟</w:t>
                  </w:r>
                </w:p>
              </w:tc>
              <w:tc>
                <w:tcPr>
                  <w:tcW w:w="3007" w:type="dxa"/>
                  <w:vAlign w:val="center"/>
                </w:tcPr>
                <w:p>
                  <w:pPr>
                    <w:adjustRightInd w:val="0"/>
                    <w:snapToGrid w:val="0"/>
                    <w:jc w:val="center"/>
                    <w:rPr>
                      <w:color w:val="auto"/>
                      <w:szCs w:val="21"/>
                    </w:rPr>
                  </w:pPr>
                  <w:r>
                    <w:rPr>
                      <w:color w:val="auto"/>
                    </w:rPr>
                    <w:t>考虑岸线熏烟</w:t>
                  </w:r>
                </w:p>
              </w:tc>
              <w:tc>
                <w:tcPr>
                  <w:tcW w:w="3008" w:type="dxa"/>
                  <w:vAlign w:val="center"/>
                </w:tcPr>
                <w:p>
                  <w:pPr>
                    <w:adjustRightInd w:val="0"/>
                    <w:snapToGrid w:val="0"/>
                    <w:jc w:val="center"/>
                    <w:rPr>
                      <w:color w:val="auto"/>
                      <w:szCs w:val="21"/>
                    </w:rPr>
                  </w:pPr>
                  <w:r>
                    <w:rPr>
                      <w:color w:val="auto"/>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3007" w:type="dxa"/>
                  <w:vMerge w:val="continue"/>
                  <w:vAlign w:val="center"/>
                </w:tcPr>
                <w:p>
                  <w:pPr>
                    <w:widowControl/>
                    <w:jc w:val="center"/>
                    <w:rPr>
                      <w:color w:val="auto"/>
                      <w:szCs w:val="21"/>
                    </w:rPr>
                  </w:pPr>
                </w:p>
              </w:tc>
              <w:tc>
                <w:tcPr>
                  <w:tcW w:w="3007" w:type="dxa"/>
                  <w:vAlign w:val="center"/>
                </w:tcPr>
                <w:p>
                  <w:pPr>
                    <w:adjustRightInd w:val="0"/>
                    <w:snapToGrid w:val="0"/>
                    <w:jc w:val="center"/>
                    <w:rPr>
                      <w:color w:val="auto"/>
                      <w:szCs w:val="21"/>
                    </w:rPr>
                  </w:pPr>
                  <w:r>
                    <w:rPr>
                      <w:color w:val="auto"/>
                    </w:rPr>
                    <w:t>岸线距离/km</w:t>
                  </w:r>
                </w:p>
              </w:tc>
              <w:tc>
                <w:tcPr>
                  <w:tcW w:w="3008" w:type="dxa"/>
                  <w:vAlign w:val="center"/>
                </w:tcPr>
                <w:p>
                  <w:pPr>
                    <w:adjustRightInd w:val="0"/>
                    <w:snapToGrid w:val="0"/>
                    <w:jc w:val="center"/>
                    <w:rPr>
                      <w:color w:val="auto"/>
                      <w:szCs w:val="21"/>
                    </w:rPr>
                  </w:pPr>
                  <w:r>
                    <w:rPr>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3007" w:type="dxa"/>
                  <w:vMerge w:val="continue"/>
                  <w:vAlign w:val="center"/>
                </w:tcPr>
                <w:p>
                  <w:pPr>
                    <w:widowControl/>
                    <w:jc w:val="center"/>
                    <w:rPr>
                      <w:color w:val="auto"/>
                      <w:szCs w:val="21"/>
                    </w:rPr>
                  </w:pPr>
                </w:p>
              </w:tc>
              <w:tc>
                <w:tcPr>
                  <w:tcW w:w="3007" w:type="dxa"/>
                  <w:vAlign w:val="center"/>
                </w:tcPr>
                <w:p>
                  <w:pPr>
                    <w:adjustRightInd w:val="0"/>
                    <w:snapToGrid w:val="0"/>
                    <w:jc w:val="center"/>
                    <w:rPr>
                      <w:color w:val="auto"/>
                      <w:szCs w:val="21"/>
                    </w:rPr>
                  </w:pPr>
                  <w:r>
                    <w:rPr>
                      <w:color w:val="auto"/>
                    </w:rPr>
                    <w:t>岸线方向/º</w:t>
                  </w:r>
                </w:p>
              </w:tc>
              <w:tc>
                <w:tcPr>
                  <w:tcW w:w="3008" w:type="dxa"/>
                  <w:vAlign w:val="center"/>
                </w:tcPr>
                <w:p>
                  <w:pPr>
                    <w:adjustRightInd w:val="0"/>
                    <w:snapToGrid w:val="0"/>
                    <w:jc w:val="center"/>
                    <w:rPr>
                      <w:color w:val="auto"/>
                      <w:szCs w:val="21"/>
                    </w:rPr>
                  </w:pPr>
                  <w:r>
                    <w:rPr>
                      <w:color w:val="auto"/>
                    </w:rPr>
                    <w:t>/</w:t>
                  </w:r>
                </w:p>
              </w:tc>
            </w:tr>
          </w:tbl>
          <w:p>
            <w:pPr>
              <w:autoSpaceDE w:val="0"/>
              <w:autoSpaceDN w:val="0"/>
              <w:adjustRightInd w:val="0"/>
              <w:spacing w:before="120" w:beforeLines="50"/>
              <w:ind w:firstLine="482" w:firstLineChars="200"/>
              <w:jc w:val="center"/>
              <w:rPr>
                <w:b/>
                <w:snapToGrid w:val="0"/>
                <w:color w:val="auto"/>
                <w:sz w:val="24"/>
                <w:lang w:val="zh-CN"/>
              </w:rPr>
            </w:pPr>
            <w:r>
              <w:rPr>
                <w:b/>
                <w:snapToGrid w:val="0"/>
                <w:color w:val="auto"/>
                <w:sz w:val="24"/>
                <w:lang w:val="zh-CN"/>
              </w:rPr>
              <w:t>表4-</w:t>
            </w:r>
            <w:r>
              <w:rPr>
                <w:rFonts w:hint="eastAsia"/>
                <w:b/>
                <w:snapToGrid w:val="0"/>
                <w:color w:val="auto"/>
                <w:sz w:val="24"/>
                <w:lang w:val="zh-CN"/>
              </w:rPr>
              <w:t>3</w:t>
            </w:r>
            <w:r>
              <w:rPr>
                <w:b/>
                <w:snapToGrid w:val="0"/>
                <w:color w:val="auto"/>
                <w:sz w:val="24"/>
                <w:lang w:val="zh-CN"/>
              </w:rPr>
              <w:t xml:space="preserve">   废气有组织污染源参数一览表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95"/>
              <w:gridCol w:w="1049"/>
              <w:gridCol w:w="442"/>
              <w:gridCol w:w="529"/>
              <w:gridCol w:w="760"/>
              <w:gridCol w:w="576"/>
              <w:gridCol w:w="627"/>
              <w:gridCol w:w="979"/>
              <w:gridCol w:w="511"/>
              <w:gridCol w:w="718"/>
              <w:gridCol w:w="545"/>
              <w:gridCol w:w="10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82" w:type="pct"/>
                  <w:vMerge w:val="restart"/>
                  <w:vAlign w:val="center"/>
                </w:tcPr>
                <w:p>
                  <w:pPr>
                    <w:adjustRightInd w:val="0"/>
                    <w:jc w:val="center"/>
                    <w:rPr>
                      <w:color w:val="auto"/>
                      <w:szCs w:val="21"/>
                    </w:rPr>
                  </w:pPr>
                  <w:r>
                    <w:rPr>
                      <w:color w:val="auto"/>
                      <w:szCs w:val="21"/>
                    </w:rPr>
                    <w:t>编号</w:t>
                  </w:r>
                </w:p>
              </w:tc>
              <w:tc>
                <w:tcPr>
                  <w:tcW w:w="646" w:type="pct"/>
                  <w:vMerge w:val="restart"/>
                  <w:vAlign w:val="center"/>
                </w:tcPr>
                <w:p>
                  <w:pPr>
                    <w:adjustRightInd w:val="0"/>
                    <w:jc w:val="center"/>
                    <w:rPr>
                      <w:color w:val="auto"/>
                      <w:szCs w:val="21"/>
                    </w:rPr>
                  </w:pPr>
                  <w:r>
                    <w:rPr>
                      <w:color w:val="auto"/>
                      <w:szCs w:val="21"/>
                    </w:rPr>
                    <w:t>名称</w:t>
                  </w:r>
                </w:p>
              </w:tc>
              <w:tc>
                <w:tcPr>
                  <w:tcW w:w="598" w:type="pct"/>
                  <w:gridSpan w:val="2"/>
                  <w:vAlign w:val="center"/>
                </w:tcPr>
                <w:p>
                  <w:pPr>
                    <w:adjustRightInd w:val="0"/>
                    <w:jc w:val="center"/>
                    <w:rPr>
                      <w:color w:val="auto"/>
                      <w:szCs w:val="21"/>
                    </w:rPr>
                  </w:pPr>
                  <w:r>
                    <w:rPr>
                      <w:color w:val="auto"/>
                      <w:szCs w:val="21"/>
                    </w:rPr>
                    <w:t>排气筒底部中心坐标</w:t>
                  </w:r>
                </w:p>
              </w:tc>
              <w:tc>
                <w:tcPr>
                  <w:tcW w:w="468" w:type="pct"/>
                  <w:vMerge w:val="restart"/>
                  <w:vAlign w:val="center"/>
                </w:tcPr>
                <w:p>
                  <w:pPr>
                    <w:adjustRightInd w:val="0"/>
                    <w:jc w:val="center"/>
                    <w:rPr>
                      <w:color w:val="auto"/>
                      <w:szCs w:val="21"/>
                    </w:rPr>
                  </w:pPr>
                  <w:r>
                    <w:rPr>
                      <w:color w:val="auto"/>
                      <w:szCs w:val="21"/>
                    </w:rPr>
                    <w:t>排气筒底部海拔高度/m</w:t>
                  </w:r>
                </w:p>
              </w:tc>
              <w:tc>
                <w:tcPr>
                  <w:tcW w:w="355" w:type="pct"/>
                  <w:vMerge w:val="restart"/>
                  <w:vAlign w:val="center"/>
                </w:tcPr>
                <w:p>
                  <w:pPr>
                    <w:adjustRightInd w:val="0"/>
                    <w:jc w:val="center"/>
                    <w:rPr>
                      <w:color w:val="auto"/>
                      <w:szCs w:val="21"/>
                    </w:rPr>
                  </w:pPr>
                  <w:r>
                    <w:rPr>
                      <w:color w:val="auto"/>
                      <w:szCs w:val="21"/>
                    </w:rPr>
                    <w:t>排气筒高度/m</w:t>
                  </w:r>
                </w:p>
              </w:tc>
              <w:tc>
                <w:tcPr>
                  <w:tcW w:w="386" w:type="pct"/>
                  <w:vMerge w:val="restart"/>
                  <w:vAlign w:val="center"/>
                </w:tcPr>
                <w:p>
                  <w:pPr>
                    <w:adjustRightInd w:val="0"/>
                    <w:jc w:val="center"/>
                    <w:rPr>
                      <w:color w:val="auto"/>
                      <w:szCs w:val="21"/>
                    </w:rPr>
                  </w:pPr>
                  <w:r>
                    <w:rPr>
                      <w:color w:val="auto"/>
                      <w:szCs w:val="21"/>
                    </w:rPr>
                    <w:t>排气筒出口内径/m</w:t>
                  </w:r>
                </w:p>
              </w:tc>
              <w:tc>
                <w:tcPr>
                  <w:tcW w:w="603" w:type="pct"/>
                  <w:vMerge w:val="restart"/>
                  <w:vAlign w:val="center"/>
                </w:tcPr>
                <w:p>
                  <w:pPr>
                    <w:adjustRightInd w:val="0"/>
                    <w:jc w:val="center"/>
                    <w:rPr>
                      <w:color w:val="auto"/>
                      <w:szCs w:val="21"/>
                    </w:rPr>
                  </w:pPr>
                  <w:r>
                    <w:rPr>
                      <w:color w:val="auto"/>
                      <w:szCs w:val="21"/>
                    </w:rPr>
                    <w:t>烟气流速</w:t>
                  </w:r>
                  <w:r>
                    <w:rPr>
                      <w:color w:val="auto"/>
                      <w:szCs w:val="21"/>
                    </w:rPr>
                    <w:cr/>
                  </w:r>
                  <w:r>
                    <w:rPr>
                      <w:color w:val="auto"/>
                      <w:szCs w:val="21"/>
                    </w:rPr>
                    <w:t>/（m/s）</w:t>
                  </w:r>
                </w:p>
              </w:tc>
              <w:tc>
                <w:tcPr>
                  <w:tcW w:w="315" w:type="pct"/>
                  <w:vMerge w:val="restart"/>
                  <w:vAlign w:val="center"/>
                </w:tcPr>
                <w:p>
                  <w:pPr>
                    <w:adjustRightInd w:val="0"/>
                    <w:jc w:val="center"/>
                    <w:rPr>
                      <w:color w:val="auto"/>
                      <w:szCs w:val="21"/>
                    </w:rPr>
                  </w:pPr>
                  <w:r>
                    <w:rPr>
                      <w:color w:val="auto"/>
                      <w:szCs w:val="21"/>
                    </w:rPr>
                    <w:t>烟气温度/℃</w:t>
                  </w:r>
                </w:p>
              </w:tc>
              <w:tc>
                <w:tcPr>
                  <w:tcW w:w="442" w:type="pct"/>
                  <w:vMerge w:val="restart"/>
                  <w:vAlign w:val="center"/>
                </w:tcPr>
                <w:p>
                  <w:pPr>
                    <w:adjustRightInd w:val="0"/>
                    <w:jc w:val="center"/>
                    <w:rPr>
                      <w:color w:val="auto"/>
                      <w:szCs w:val="21"/>
                    </w:rPr>
                  </w:pPr>
                  <w:r>
                    <w:rPr>
                      <w:color w:val="auto"/>
                      <w:szCs w:val="21"/>
                    </w:rPr>
                    <w:t>年排放小时数/h</w:t>
                  </w:r>
                </w:p>
              </w:tc>
              <w:tc>
                <w:tcPr>
                  <w:tcW w:w="336" w:type="pct"/>
                  <w:vMerge w:val="restart"/>
                  <w:vAlign w:val="center"/>
                </w:tcPr>
                <w:p>
                  <w:pPr>
                    <w:adjustRightInd w:val="0"/>
                    <w:jc w:val="center"/>
                    <w:rPr>
                      <w:color w:val="auto"/>
                      <w:szCs w:val="21"/>
                    </w:rPr>
                  </w:pPr>
                  <w:r>
                    <w:rPr>
                      <w:color w:val="auto"/>
                      <w:szCs w:val="21"/>
                    </w:rPr>
                    <w:t>排放工况</w:t>
                  </w:r>
                </w:p>
              </w:tc>
              <w:tc>
                <w:tcPr>
                  <w:tcW w:w="669" w:type="pct"/>
                  <w:vAlign w:val="center"/>
                </w:tcPr>
                <w:p>
                  <w:pPr>
                    <w:adjustRightInd w:val="0"/>
                    <w:jc w:val="center"/>
                    <w:rPr>
                      <w:color w:val="auto"/>
                      <w:szCs w:val="21"/>
                    </w:rPr>
                  </w:pPr>
                  <w:r>
                    <w:rPr>
                      <w:color w:val="auto"/>
                      <w:szCs w:val="21"/>
                    </w:rPr>
                    <w:t>污染物排放速率/（kg/h）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82" w:type="pct"/>
                  <w:vMerge w:val="continue"/>
                  <w:vAlign w:val="center"/>
                </w:tcPr>
                <w:p>
                  <w:pPr>
                    <w:widowControl/>
                    <w:jc w:val="center"/>
                    <w:rPr>
                      <w:color w:val="auto"/>
                      <w:szCs w:val="21"/>
                    </w:rPr>
                  </w:pPr>
                </w:p>
              </w:tc>
              <w:tc>
                <w:tcPr>
                  <w:tcW w:w="646" w:type="pct"/>
                  <w:vMerge w:val="continue"/>
                  <w:vAlign w:val="center"/>
                </w:tcPr>
                <w:p>
                  <w:pPr>
                    <w:widowControl/>
                    <w:jc w:val="center"/>
                    <w:rPr>
                      <w:color w:val="auto"/>
                      <w:szCs w:val="21"/>
                    </w:rPr>
                  </w:pPr>
                </w:p>
              </w:tc>
              <w:tc>
                <w:tcPr>
                  <w:tcW w:w="272" w:type="pct"/>
                  <w:vAlign w:val="center"/>
                </w:tcPr>
                <w:p>
                  <w:pPr>
                    <w:adjustRightInd w:val="0"/>
                    <w:jc w:val="center"/>
                    <w:rPr>
                      <w:color w:val="auto"/>
                      <w:szCs w:val="21"/>
                    </w:rPr>
                  </w:pPr>
                  <w:r>
                    <w:rPr>
                      <w:color w:val="auto"/>
                      <w:szCs w:val="21"/>
                    </w:rPr>
                    <w:t>X</w:t>
                  </w:r>
                </w:p>
              </w:tc>
              <w:tc>
                <w:tcPr>
                  <w:tcW w:w="326" w:type="pct"/>
                  <w:vAlign w:val="center"/>
                </w:tcPr>
                <w:p>
                  <w:pPr>
                    <w:adjustRightInd w:val="0"/>
                    <w:jc w:val="center"/>
                    <w:rPr>
                      <w:color w:val="auto"/>
                      <w:szCs w:val="21"/>
                    </w:rPr>
                  </w:pPr>
                  <w:r>
                    <w:rPr>
                      <w:color w:val="auto"/>
                      <w:szCs w:val="21"/>
                    </w:rPr>
                    <w:t>Y</w:t>
                  </w:r>
                </w:p>
              </w:tc>
              <w:tc>
                <w:tcPr>
                  <w:tcW w:w="468" w:type="pct"/>
                  <w:vMerge w:val="continue"/>
                  <w:vAlign w:val="center"/>
                </w:tcPr>
                <w:p>
                  <w:pPr>
                    <w:widowControl/>
                    <w:jc w:val="center"/>
                    <w:rPr>
                      <w:color w:val="auto"/>
                      <w:szCs w:val="21"/>
                    </w:rPr>
                  </w:pPr>
                </w:p>
              </w:tc>
              <w:tc>
                <w:tcPr>
                  <w:tcW w:w="355" w:type="pct"/>
                  <w:vMerge w:val="continue"/>
                  <w:vAlign w:val="center"/>
                </w:tcPr>
                <w:p>
                  <w:pPr>
                    <w:widowControl/>
                    <w:jc w:val="center"/>
                    <w:rPr>
                      <w:color w:val="auto"/>
                      <w:szCs w:val="21"/>
                    </w:rPr>
                  </w:pPr>
                </w:p>
              </w:tc>
              <w:tc>
                <w:tcPr>
                  <w:tcW w:w="386" w:type="pct"/>
                  <w:vMerge w:val="continue"/>
                  <w:vAlign w:val="center"/>
                </w:tcPr>
                <w:p>
                  <w:pPr>
                    <w:widowControl/>
                    <w:jc w:val="center"/>
                    <w:rPr>
                      <w:color w:val="auto"/>
                      <w:szCs w:val="21"/>
                    </w:rPr>
                  </w:pPr>
                </w:p>
              </w:tc>
              <w:tc>
                <w:tcPr>
                  <w:tcW w:w="603" w:type="pct"/>
                  <w:vMerge w:val="continue"/>
                  <w:vAlign w:val="center"/>
                </w:tcPr>
                <w:p>
                  <w:pPr>
                    <w:widowControl/>
                    <w:jc w:val="center"/>
                    <w:rPr>
                      <w:color w:val="auto"/>
                      <w:szCs w:val="21"/>
                    </w:rPr>
                  </w:pPr>
                </w:p>
              </w:tc>
              <w:tc>
                <w:tcPr>
                  <w:tcW w:w="315" w:type="pct"/>
                  <w:vMerge w:val="continue"/>
                  <w:vAlign w:val="center"/>
                </w:tcPr>
                <w:p>
                  <w:pPr>
                    <w:widowControl/>
                    <w:jc w:val="center"/>
                    <w:rPr>
                      <w:color w:val="auto"/>
                      <w:szCs w:val="21"/>
                    </w:rPr>
                  </w:pPr>
                </w:p>
              </w:tc>
              <w:tc>
                <w:tcPr>
                  <w:tcW w:w="442" w:type="pct"/>
                  <w:vMerge w:val="continue"/>
                  <w:vAlign w:val="center"/>
                </w:tcPr>
                <w:p>
                  <w:pPr>
                    <w:widowControl/>
                    <w:jc w:val="center"/>
                    <w:rPr>
                      <w:color w:val="auto"/>
                      <w:szCs w:val="21"/>
                    </w:rPr>
                  </w:pPr>
                </w:p>
              </w:tc>
              <w:tc>
                <w:tcPr>
                  <w:tcW w:w="336" w:type="pct"/>
                  <w:vMerge w:val="continue"/>
                  <w:vAlign w:val="center"/>
                </w:tcPr>
                <w:p>
                  <w:pPr>
                    <w:widowControl/>
                    <w:jc w:val="center"/>
                    <w:rPr>
                      <w:color w:val="auto"/>
                      <w:szCs w:val="21"/>
                    </w:rPr>
                  </w:pPr>
                </w:p>
              </w:tc>
              <w:tc>
                <w:tcPr>
                  <w:tcW w:w="669" w:type="pct"/>
                  <w:vAlign w:val="center"/>
                </w:tcPr>
                <w:p>
                  <w:pPr>
                    <w:adjustRightInd w:val="0"/>
                    <w:jc w:val="center"/>
                    <w:rPr>
                      <w:color w:val="auto"/>
                      <w:szCs w:val="21"/>
                    </w:rPr>
                  </w:pPr>
                  <w:r>
                    <w:rPr>
                      <w:color w:val="auto"/>
                      <w:szCs w:val="21"/>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82" w:type="pct"/>
                  <w:vAlign w:val="center"/>
                </w:tcPr>
                <w:p>
                  <w:pPr>
                    <w:adjustRightInd w:val="0"/>
                    <w:jc w:val="center"/>
                    <w:rPr>
                      <w:bCs/>
                      <w:color w:val="auto"/>
                      <w:szCs w:val="21"/>
                    </w:rPr>
                  </w:pPr>
                  <w:r>
                    <w:rPr>
                      <w:bCs/>
                      <w:color w:val="auto"/>
                      <w:szCs w:val="21"/>
                    </w:rPr>
                    <w:t>1</w:t>
                  </w:r>
                </w:p>
              </w:tc>
              <w:tc>
                <w:tcPr>
                  <w:tcW w:w="646" w:type="pct"/>
                  <w:vAlign w:val="center"/>
                </w:tcPr>
                <w:p>
                  <w:pPr>
                    <w:autoSpaceDE w:val="0"/>
                    <w:autoSpaceDN w:val="0"/>
                    <w:adjustRightInd w:val="0"/>
                    <w:jc w:val="center"/>
                    <w:rPr>
                      <w:color w:val="auto"/>
                      <w:szCs w:val="21"/>
                    </w:rPr>
                  </w:pPr>
                  <w:r>
                    <w:rPr>
                      <w:color w:val="auto"/>
                      <w:szCs w:val="21"/>
                    </w:rPr>
                    <w:t>硫铝酸盐水泥筒仓</w:t>
                  </w:r>
                  <w:r>
                    <w:rPr>
                      <w:rFonts w:hint="eastAsia"/>
                      <w:color w:val="auto"/>
                      <w:szCs w:val="21"/>
                    </w:rPr>
                    <w:t>A产线（DA001）</w:t>
                  </w:r>
                </w:p>
              </w:tc>
              <w:tc>
                <w:tcPr>
                  <w:tcW w:w="272" w:type="pct"/>
                  <w:vAlign w:val="center"/>
                </w:tcPr>
                <w:p>
                  <w:pPr>
                    <w:jc w:val="center"/>
                    <w:rPr>
                      <w:bCs/>
                      <w:color w:val="auto"/>
                      <w:szCs w:val="21"/>
                    </w:rPr>
                  </w:pPr>
                  <w:r>
                    <w:rPr>
                      <w:rFonts w:hint="eastAsia"/>
                      <w:bCs/>
                      <w:color w:val="auto"/>
                      <w:szCs w:val="21"/>
                    </w:rPr>
                    <w:t>139</w:t>
                  </w:r>
                </w:p>
              </w:tc>
              <w:tc>
                <w:tcPr>
                  <w:tcW w:w="326" w:type="pct"/>
                  <w:vAlign w:val="center"/>
                </w:tcPr>
                <w:p>
                  <w:pPr>
                    <w:jc w:val="center"/>
                    <w:rPr>
                      <w:bCs/>
                      <w:color w:val="auto"/>
                      <w:szCs w:val="21"/>
                    </w:rPr>
                  </w:pPr>
                  <w:r>
                    <w:rPr>
                      <w:rFonts w:hint="eastAsia"/>
                      <w:bCs/>
                      <w:color w:val="auto"/>
                      <w:szCs w:val="21"/>
                    </w:rPr>
                    <w:t>135</w:t>
                  </w:r>
                </w:p>
              </w:tc>
              <w:tc>
                <w:tcPr>
                  <w:tcW w:w="468" w:type="pct"/>
                  <w:vAlign w:val="center"/>
                </w:tcPr>
                <w:p>
                  <w:pPr>
                    <w:jc w:val="center"/>
                    <w:rPr>
                      <w:color w:val="auto"/>
                    </w:rPr>
                  </w:pPr>
                  <w:r>
                    <w:rPr>
                      <w:rFonts w:hint="eastAsia"/>
                      <w:color w:val="auto"/>
                    </w:rPr>
                    <w:t>357.24</w:t>
                  </w:r>
                </w:p>
              </w:tc>
              <w:tc>
                <w:tcPr>
                  <w:tcW w:w="355" w:type="pct"/>
                  <w:vAlign w:val="center"/>
                </w:tcPr>
                <w:p>
                  <w:pPr>
                    <w:jc w:val="center"/>
                    <w:rPr>
                      <w:color w:val="auto"/>
                    </w:rPr>
                  </w:pPr>
                  <w:r>
                    <w:rPr>
                      <w:rFonts w:hint="eastAsia"/>
                      <w:color w:val="auto"/>
                    </w:rPr>
                    <w:t>19</w:t>
                  </w:r>
                </w:p>
              </w:tc>
              <w:tc>
                <w:tcPr>
                  <w:tcW w:w="386" w:type="pct"/>
                  <w:vAlign w:val="center"/>
                </w:tcPr>
                <w:p>
                  <w:pPr>
                    <w:jc w:val="center"/>
                    <w:rPr>
                      <w:color w:val="auto"/>
                    </w:rPr>
                  </w:pPr>
                  <w:r>
                    <w:rPr>
                      <w:rFonts w:hint="eastAsia"/>
                      <w:color w:val="auto"/>
                    </w:rPr>
                    <w:t>0.15</w:t>
                  </w:r>
                </w:p>
              </w:tc>
              <w:tc>
                <w:tcPr>
                  <w:tcW w:w="603" w:type="pct"/>
                  <w:vAlign w:val="center"/>
                </w:tcPr>
                <w:p>
                  <w:pPr>
                    <w:jc w:val="center"/>
                    <w:rPr>
                      <w:color w:val="auto"/>
                    </w:rPr>
                  </w:pPr>
                  <w:r>
                    <w:rPr>
                      <w:rFonts w:hint="eastAsia"/>
                      <w:color w:val="auto"/>
                    </w:rPr>
                    <w:t>20.04</w:t>
                  </w:r>
                </w:p>
              </w:tc>
              <w:tc>
                <w:tcPr>
                  <w:tcW w:w="315" w:type="pct"/>
                  <w:vAlign w:val="center"/>
                </w:tcPr>
                <w:p>
                  <w:pPr>
                    <w:jc w:val="center"/>
                    <w:rPr>
                      <w:color w:val="auto"/>
                    </w:rPr>
                  </w:pPr>
                  <w:r>
                    <w:rPr>
                      <w:rFonts w:hint="eastAsia"/>
                      <w:color w:val="auto"/>
                    </w:rPr>
                    <w:t>25</w:t>
                  </w:r>
                </w:p>
              </w:tc>
              <w:tc>
                <w:tcPr>
                  <w:tcW w:w="442" w:type="pct"/>
                  <w:vAlign w:val="center"/>
                </w:tcPr>
                <w:p>
                  <w:pPr>
                    <w:jc w:val="center"/>
                    <w:rPr>
                      <w:color w:val="auto"/>
                    </w:rPr>
                  </w:pPr>
                  <w:r>
                    <w:rPr>
                      <w:rFonts w:hint="eastAsia"/>
                      <w:color w:val="auto"/>
                    </w:rPr>
                    <w:t>256.5</w:t>
                  </w:r>
                </w:p>
              </w:tc>
              <w:tc>
                <w:tcPr>
                  <w:tcW w:w="336" w:type="pct"/>
                  <w:vAlign w:val="center"/>
                </w:tcPr>
                <w:p>
                  <w:pPr>
                    <w:adjustRightInd w:val="0"/>
                    <w:jc w:val="center"/>
                    <w:rPr>
                      <w:bCs/>
                      <w:color w:val="auto"/>
                      <w:szCs w:val="21"/>
                    </w:rPr>
                  </w:pPr>
                  <w:r>
                    <w:rPr>
                      <w:bCs/>
                      <w:color w:val="auto"/>
                      <w:szCs w:val="21"/>
                    </w:rPr>
                    <w:t>正常</w:t>
                  </w:r>
                </w:p>
              </w:tc>
              <w:tc>
                <w:tcPr>
                  <w:tcW w:w="669" w:type="pct"/>
                  <w:vAlign w:val="center"/>
                </w:tcPr>
                <w:p>
                  <w:pPr>
                    <w:jc w:val="center"/>
                    <w:rPr>
                      <w:color w:val="auto"/>
                      <w:szCs w:val="21"/>
                    </w:rPr>
                  </w:pPr>
                  <w:r>
                    <w:rPr>
                      <w:rFonts w:hint="eastAsia"/>
                      <w:color w:val="auto"/>
                      <w:szCs w:val="21"/>
                    </w:rPr>
                    <w:t>0.0045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82" w:type="pct"/>
                  <w:vAlign w:val="center"/>
                </w:tcPr>
                <w:p>
                  <w:pPr>
                    <w:adjustRightInd w:val="0"/>
                    <w:jc w:val="center"/>
                    <w:rPr>
                      <w:bCs/>
                      <w:color w:val="auto"/>
                      <w:szCs w:val="21"/>
                    </w:rPr>
                  </w:pPr>
                  <w:r>
                    <w:rPr>
                      <w:rFonts w:hint="eastAsia"/>
                      <w:bCs/>
                      <w:color w:val="auto"/>
                      <w:szCs w:val="21"/>
                    </w:rPr>
                    <w:t>2</w:t>
                  </w:r>
                </w:p>
              </w:tc>
              <w:tc>
                <w:tcPr>
                  <w:tcW w:w="646" w:type="pct"/>
                  <w:vAlign w:val="center"/>
                </w:tcPr>
                <w:p>
                  <w:pPr>
                    <w:autoSpaceDE w:val="0"/>
                    <w:autoSpaceDN w:val="0"/>
                    <w:adjustRightInd w:val="0"/>
                    <w:jc w:val="center"/>
                    <w:rPr>
                      <w:color w:val="auto"/>
                      <w:szCs w:val="21"/>
                    </w:rPr>
                  </w:pPr>
                  <w:r>
                    <w:rPr>
                      <w:color w:val="auto"/>
                      <w:szCs w:val="21"/>
                    </w:rPr>
                    <w:t>硫铝酸盐水泥筒仓</w:t>
                  </w:r>
                  <w:r>
                    <w:rPr>
                      <w:rFonts w:hint="eastAsia"/>
                      <w:color w:val="auto"/>
                      <w:szCs w:val="21"/>
                    </w:rPr>
                    <w:t>B产线（DA002）</w:t>
                  </w:r>
                </w:p>
              </w:tc>
              <w:tc>
                <w:tcPr>
                  <w:tcW w:w="272" w:type="pct"/>
                  <w:vAlign w:val="center"/>
                </w:tcPr>
                <w:p>
                  <w:pPr>
                    <w:jc w:val="center"/>
                    <w:rPr>
                      <w:bCs/>
                      <w:color w:val="auto"/>
                      <w:szCs w:val="21"/>
                    </w:rPr>
                  </w:pPr>
                  <w:r>
                    <w:rPr>
                      <w:rFonts w:hint="eastAsia"/>
                      <w:bCs/>
                      <w:color w:val="auto"/>
                      <w:szCs w:val="21"/>
                    </w:rPr>
                    <w:t>143</w:t>
                  </w:r>
                </w:p>
              </w:tc>
              <w:tc>
                <w:tcPr>
                  <w:tcW w:w="326" w:type="pct"/>
                  <w:vAlign w:val="center"/>
                </w:tcPr>
                <w:p>
                  <w:pPr>
                    <w:jc w:val="center"/>
                    <w:rPr>
                      <w:bCs/>
                      <w:color w:val="auto"/>
                      <w:szCs w:val="21"/>
                    </w:rPr>
                  </w:pPr>
                  <w:r>
                    <w:rPr>
                      <w:rFonts w:hint="eastAsia"/>
                      <w:bCs/>
                      <w:color w:val="auto"/>
                      <w:szCs w:val="21"/>
                    </w:rPr>
                    <w:t>135</w:t>
                  </w:r>
                </w:p>
              </w:tc>
              <w:tc>
                <w:tcPr>
                  <w:tcW w:w="468" w:type="pct"/>
                  <w:vAlign w:val="center"/>
                </w:tcPr>
                <w:p>
                  <w:pPr>
                    <w:jc w:val="center"/>
                    <w:rPr>
                      <w:color w:val="auto"/>
                    </w:rPr>
                  </w:pPr>
                  <w:r>
                    <w:rPr>
                      <w:rFonts w:hint="eastAsia"/>
                      <w:color w:val="auto"/>
                    </w:rPr>
                    <w:t>356.94</w:t>
                  </w:r>
                </w:p>
              </w:tc>
              <w:tc>
                <w:tcPr>
                  <w:tcW w:w="355" w:type="pct"/>
                  <w:vAlign w:val="center"/>
                </w:tcPr>
                <w:p>
                  <w:pPr>
                    <w:jc w:val="center"/>
                    <w:rPr>
                      <w:color w:val="auto"/>
                    </w:rPr>
                  </w:pPr>
                  <w:r>
                    <w:rPr>
                      <w:rFonts w:hint="eastAsia"/>
                      <w:color w:val="auto"/>
                    </w:rPr>
                    <w:t>19</w:t>
                  </w:r>
                </w:p>
              </w:tc>
              <w:tc>
                <w:tcPr>
                  <w:tcW w:w="386" w:type="pct"/>
                  <w:vAlign w:val="center"/>
                </w:tcPr>
                <w:p>
                  <w:pPr>
                    <w:jc w:val="center"/>
                    <w:rPr>
                      <w:color w:val="auto"/>
                    </w:rPr>
                  </w:pPr>
                  <w:r>
                    <w:rPr>
                      <w:rFonts w:hint="eastAsia"/>
                      <w:color w:val="auto"/>
                    </w:rPr>
                    <w:t>0.15</w:t>
                  </w:r>
                </w:p>
              </w:tc>
              <w:tc>
                <w:tcPr>
                  <w:tcW w:w="603" w:type="pct"/>
                  <w:vAlign w:val="center"/>
                </w:tcPr>
                <w:p>
                  <w:pPr>
                    <w:jc w:val="center"/>
                    <w:rPr>
                      <w:color w:val="auto"/>
                    </w:rPr>
                  </w:pPr>
                  <w:r>
                    <w:rPr>
                      <w:rFonts w:hint="eastAsia"/>
                      <w:color w:val="auto"/>
                    </w:rPr>
                    <w:t>20.04</w:t>
                  </w:r>
                </w:p>
              </w:tc>
              <w:tc>
                <w:tcPr>
                  <w:tcW w:w="315" w:type="pct"/>
                  <w:vAlign w:val="center"/>
                </w:tcPr>
                <w:p>
                  <w:pPr>
                    <w:jc w:val="center"/>
                    <w:rPr>
                      <w:color w:val="auto"/>
                    </w:rPr>
                  </w:pPr>
                  <w:r>
                    <w:rPr>
                      <w:rFonts w:hint="eastAsia"/>
                      <w:color w:val="auto"/>
                    </w:rPr>
                    <w:t>25</w:t>
                  </w:r>
                </w:p>
              </w:tc>
              <w:tc>
                <w:tcPr>
                  <w:tcW w:w="442" w:type="pct"/>
                  <w:vAlign w:val="center"/>
                </w:tcPr>
                <w:p>
                  <w:pPr>
                    <w:jc w:val="center"/>
                    <w:rPr>
                      <w:color w:val="auto"/>
                    </w:rPr>
                  </w:pPr>
                  <w:r>
                    <w:rPr>
                      <w:rFonts w:hint="eastAsia"/>
                      <w:color w:val="auto"/>
                    </w:rPr>
                    <w:t>85.5</w:t>
                  </w:r>
                </w:p>
              </w:tc>
              <w:tc>
                <w:tcPr>
                  <w:tcW w:w="336" w:type="pct"/>
                  <w:vAlign w:val="center"/>
                </w:tcPr>
                <w:p>
                  <w:pPr>
                    <w:adjustRightInd w:val="0"/>
                    <w:jc w:val="center"/>
                    <w:rPr>
                      <w:bCs/>
                      <w:color w:val="auto"/>
                      <w:szCs w:val="21"/>
                    </w:rPr>
                  </w:pPr>
                  <w:r>
                    <w:rPr>
                      <w:bCs/>
                      <w:color w:val="auto"/>
                      <w:szCs w:val="21"/>
                    </w:rPr>
                    <w:t>正常</w:t>
                  </w:r>
                </w:p>
              </w:tc>
              <w:tc>
                <w:tcPr>
                  <w:tcW w:w="669" w:type="pct"/>
                  <w:vAlign w:val="center"/>
                </w:tcPr>
                <w:p>
                  <w:pPr>
                    <w:jc w:val="center"/>
                    <w:rPr>
                      <w:color w:val="auto"/>
                      <w:szCs w:val="21"/>
                    </w:rPr>
                  </w:pPr>
                  <w:r>
                    <w:rPr>
                      <w:rFonts w:hint="eastAsia"/>
                      <w:color w:val="auto"/>
                      <w:szCs w:val="21"/>
                    </w:rPr>
                    <w:t>0.0015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82" w:type="pct"/>
                  <w:vAlign w:val="center"/>
                </w:tcPr>
                <w:p>
                  <w:pPr>
                    <w:adjustRightInd w:val="0"/>
                    <w:jc w:val="center"/>
                    <w:rPr>
                      <w:bCs/>
                      <w:color w:val="auto"/>
                      <w:szCs w:val="21"/>
                    </w:rPr>
                  </w:pPr>
                  <w:r>
                    <w:rPr>
                      <w:rFonts w:hint="eastAsia"/>
                      <w:bCs/>
                      <w:color w:val="auto"/>
                      <w:szCs w:val="21"/>
                    </w:rPr>
                    <w:t>3</w:t>
                  </w:r>
                </w:p>
              </w:tc>
              <w:tc>
                <w:tcPr>
                  <w:tcW w:w="646" w:type="pct"/>
                  <w:vAlign w:val="center"/>
                </w:tcPr>
                <w:p>
                  <w:pPr>
                    <w:autoSpaceDE w:val="0"/>
                    <w:autoSpaceDN w:val="0"/>
                    <w:adjustRightInd w:val="0"/>
                    <w:jc w:val="center"/>
                    <w:rPr>
                      <w:color w:val="auto"/>
                      <w:szCs w:val="21"/>
                      <w:lang w:val="zh-CN"/>
                    </w:rPr>
                  </w:pPr>
                  <w:r>
                    <w:rPr>
                      <w:color w:val="auto"/>
                      <w:szCs w:val="21"/>
                      <w:lang w:val="zh-CN"/>
                    </w:rPr>
                    <w:t>铝酸盐水泥筒仓</w:t>
                  </w:r>
                  <w:r>
                    <w:rPr>
                      <w:rFonts w:hint="eastAsia"/>
                      <w:color w:val="auto"/>
                      <w:szCs w:val="21"/>
                    </w:rPr>
                    <w:t>（DA003）</w:t>
                  </w:r>
                </w:p>
              </w:tc>
              <w:tc>
                <w:tcPr>
                  <w:tcW w:w="272" w:type="pct"/>
                  <w:vAlign w:val="center"/>
                </w:tcPr>
                <w:p>
                  <w:pPr>
                    <w:jc w:val="center"/>
                    <w:rPr>
                      <w:bCs/>
                      <w:color w:val="auto"/>
                      <w:szCs w:val="21"/>
                    </w:rPr>
                  </w:pPr>
                  <w:r>
                    <w:rPr>
                      <w:rFonts w:hint="eastAsia"/>
                      <w:bCs/>
                      <w:color w:val="auto"/>
                      <w:szCs w:val="21"/>
                    </w:rPr>
                    <w:t>147</w:t>
                  </w:r>
                </w:p>
              </w:tc>
              <w:tc>
                <w:tcPr>
                  <w:tcW w:w="326" w:type="pct"/>
                  <w:vAlign w:val="center"/>
                </w:tcPr>
                <w:p>
                  <w:pPr>
                    <w:jc w:val="center"/>
                    <w:rPr>
                      <w:bCs/>
                      <w:color w:val="auto"/>
                      <w:szCs w:val="21"/>
                    </w:rPr>
                  </w:pPr>
                  <w:r>
                    <w:rPr>
                      <w:rFonts w:hint="eastAsia"/>
                      <w:bCs/>
                      <w:color w:val="auto"/>
                      <w:szCs w:val="21"/>
                    </w:rPr>
                    <w:t>135</w:t>
                  </w:r>
                </w:p>
              </w:tc>
              <w:tc>
                <w:tcPr>
                  <w:tcW w:w="468" w:type="pct"/>
                  <w:vAlign w:val="center"/>
                </w:tcPr>
                <w:p>
                  <w:pPr>
                    <w:jc w:val="center"/>
                    <w:rPr>
                      <w:color w:val="auto"/>
                    </w:rPr>
                  </w:pPr>
                  <w:r>
                    <w:rPr>
                      <w:rFonts w:hint="eastAsia"/>
                      <w:color w:val="auto"/>
                    </w:rPr>
                    <w:t>356.72</w:t>
                  </w:r>
                </w:p>
              </w:tc>
              <w:tc>
                <w:tcPr>
                  <w:tcW w:w="355" w:type="pct"/>
                  <w:vAlign w:val="center"/>
                </w:tcPr>
                <w:p>
                  <w:pPr>
                    <w:jc w:val="center"/>
                    <w:rPr>
                      <w:color w:val="auto"/>
                    </w:rPr>
                  </w:pPr>
                  <w:r>
                    <w:rPr>
                      <w:rFonts w:hint="eastAsia"/>
                      <w:color w:val="auto"/>
                    </w:rPr>
                    <w:t>19</w:t>
                  </w:r>
                </w:p>
              </w:tc>
              <w:tc>
                <w:tcPr>
                  <w:tcW w:w="386" w:type="pct"/>
                  <w:vAlign w:val="center"/>
                </w:tcPr>
                <w:p>
                  <w:pPr>
                    <w:jc w:val="center"/>
                    <w:rPr>
                      <w:color w:val="auto"/>
                    </w:rPr>
                  </w:pPr>
                  <w:r>
                    <w:rPr>
                      <w:rFonts w:hint="eastAsia"/>
                      <w:color w:val="auto"/>
                    </w:rPr>
                    <w:t>0.15</w:t>
                  </w:r>
                </w:p>
              </w:tc>
              <w:tc>
                <w:tcPr>
                  <w:tcW w:w="603" w:type="pct"/>
                  <w:vAlign w:val="center"/>
                </w:tcPr>
                <w:p>
                  <w:pPr>
                    <w:jc w:val="center"/>
                    <w:rPr>
                      <w:color w:val="auto"/>
                    </w:rPr>
                  </w:pPr>
                  <w:r>
                    <w:rPr>
                      <w:rFonts w:hint="eastAsia"/>
                      <w:color w:val="auto"/>
                    </w:rPr>
                    <w:t>21.17</w:t>
                  </w:r>
                </w:p>
              </w:tc>
              <w:tc>
                <w:tcPr>
                  <w:tcW w:w="315" w:type="pct"/>
                  <w:vAlign w:val="center"/>
                </w:tcPr>
                <w:p>
                  <w:pPr>
                    <w:jc w:val="center"/>
                    <w:rPr>
                      <w:color w:val="auto"/>
                    </w:rPr>
                  </w:pPr>
                  <w:r>
                    <w:rPr>
                      <w:rFonts w:hint="eastAsia"/>
                      <w:color w:val="auto"/>
                    </w:rPr>
                    <w:t>25</w:t>
                  </w:r>
                </w:p>
              </w:tc>
              <w:tc>
                <w:tcPr>
                  <w:tcW w:w="442" w:type="pct"/>
                  <w:vAlign w:val="center"/>
                </w:tcPr>
                <w:p>
                  <w:pPr>
                    <w:jc w:val="center"/>
                    <w:rPr>
                      <w:color w:val="auto"/>
                    </w:rPr>
                  </w:pPr>
                  <w:r>
                    <w:rPr>
                      <w:rFonts w:hint="eastAsia"/>
                      <w:color w:val="auto"/>
                    </w:rPr>
                    <w:t>32.45</w:t>
                  </w:r>
                </w:p>
              </w:tc>
              <w:tc>
                <w:tcPr>
                  <w:tcW w:w="336" w:type="pct"/>
                  <w:vAlign w:val="center"/>
                </w:tcPr>
                <w:p>
                  <w:pPr>
                    <w:adjustRightInd w:val="0"/>
                    <w:jc w:val="center"/>
                    <w:rPr>
                      <w:bCs/>
                      <w:color w:val="auto"/>
                      <w:szCs w:val="21"/>
                    </w:rPr>
                  </w:pPr>
                  <w:r>
                    <w:rPr>
                      <w:bCs/>
                      <w:color w:val="auto"/>
                      <w:szCs w:val="21"/>
                    </w:rPr>
                    <w:t>正常</w:t>
                  </w:r>
                </w:p>
              </w:tc>
              <w:tc>
                <w:tcPr>
                  <w:tcW w:w="669" w:type="pct"/>
                  <w:vAlign w:val="center"/>
                </w:tcPr>
                <w:p>
                  <w:pPr>
                    <w:jc w:val="center"/>
                    <w:rPr>
                      <w:color w:val="auto"/>
                      <w:szCs w:val="21"/>
                    </w:rPr>
                  </w:pPr>
                  <w:r>
                    <w:rPr>
                      <w:rFonts w:hint="eastAsia"/>
                      <w:color w:val="auto"/>
                      <w:szCs w:val="21"/>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82" w:type="pct"/>
                  <w:vAlign w:val="center"/>
                </w:tcPr>
                <w:p>
                  <w:pPr>
                    <w:adjustRightInd w:val="0"/>
                    <w:jc w:val="center"/>
                    <w:rPr>
                      <w:bCs/>
                      <w:color w:val="auto"/>
                      <w:szCs w:val="21"/>
                    </w:rPr>
                  </w:pPr>
                  <w:r>
                    <w:rPr>
                      <w:rFonts w:hint="eastAsia"/>
                      <w:bCs/>
                      <w:color w:val="auto"/>
                      <w:szCs w:val="21"/>
                    </w:rPr>
                    <w:t>4</w:t>
                  </w:r>
                </w:p>
              </w:tc>
              <w:tc>
                <w:tcPr>
                  <w:tcW w:w="646" w:type="pct"/>
                  <w:vAlign w:val="center"/>
                </w:tcPr>
                <w:p>
                  <w:pPr>
                    <w:autoSpaceDE w:val="0"/>
                    <w:autoSpaceDN w:val="0"/>
                    <w:adjustRightInd w:val="0"/>
                    <w:jc w:val="center"/>
                    <w:rPr>
                      <w:color w:val="auto"/>
                      <w:szCs w:val="21"/>
                      <w:lang w:val="zh-CN"/>
                    </w:rPr>
                  </w:pPr>
                  <w:r>
                    <w:rPr>
                      <w:color w:val="auto"/>
                      <w:szCs w:val="21"/>
                      <w:lang w:val="zh-CN"/>
                    </w:rPr>
                    <w:t>普通硅酸盐水泥筒仓</w:t>
                  </w:r>
                  <w:r>
                    <w:rPr>
                      <w:rFonts w:hint="eastAsia"/>
                      <w:color w:val="auto"/>
                      <w:szCs w:val="21"/>
                    </w:rPr>
                    <w:t>（DA004）</w:t>
                  </w:r>
                </w:p>
              </w:tc>
              <w:tc>
                <w:tcPr>
                  <w:tcW w:w="272" w:type="pct"/>
                  <w:vAlign w:val="center"/>
                </w:tcPr>
                <w:p>
                  <w:pPr>
                    <w:jc w:val="center"/>
                    <w:rPr>
                      <w:bCs/>
                      <w:color w:val="auto"/>
                      <w:szCs w:val="21"/>
                    </w:rPr>
                  </w:pPr>
                  <w:r>
                    <w:rPr>
                      <w:rFonts w:hint="eastAsia"/>
                      <w:bCs/>
                      <w:color w:val="auto"/>
                      <w:szCs w:val="21"/>
                    </w:rPr>
                    <w:t>151</w:t>
                  </w:r>
                </w:p>
              </w:tc>
              <w:tc>
                <w:tcPr>
                  <w:tcW w:w="326" w:type="pct"/>
                  <w:vAlign w:val="center"/>
                </w:tcPr>
                <w:p>
                  <w:pPr>
                    <w:jc w:val="center"/>
                    <w:rPr>
                      <w:bCs/>
                      <w:color w:val="auto"/>
                      <w:szCs w:val="21"/>
                    </w:rPr>
                  </w:pPr>
                  <w:r>
                    <w:rPr>
                      <w:rFonts w:hint="eastAsia"/>
                      <w:bCs/>
                      <w:color w:val="auto"/>
                      <w:szCs w:val="21"/>
                    </w:rPr>
                    <w:t>135</w:t>
                  </w:r>
                </w:p>
              </w:tc>
              <w:tc>
                <w:tcPr>
                  <w:tcW w:w="468" w:type="pct"/>
                  <w:vAlign w:val="center"/>
                </w:tcPr>
                <w:p>
                  <w:pPr>
                    <w:jc w:val="center"/>
                    <w:rPr>
                      <w:color w:val="auto"/>
                    </w:rPr>
                  </w:pPr>
                  <w:r>
                    <w:rPr>
                      <w:rFonts w:hint="eastAsia"/>
                      <w:color w:val="auto"/>
                    </w:rPr>
                    <w:t>356.61</w:t>
                  </w:r>
                </w:p>
              </w:tc>
              <w:tc>
                <w:tcPr>
                  <w:tcW w:w="355" w:type="pct"/>
                  <w:vAlign w:val="center"/>
                </w:tcPr>
                <w:p>
                  <w:pPr>
                    <w:jc w:val="center"/>
                    <w:rPr>
                      <w:color w:val="auto"/>
                    </w:rPr>
                  </w:pPr>
                  <w:r>
                    <w:rPr>
                      <w:rFonts w:hint="eastAsia"/>
                      <w:color w:val="auto"/>
                    </w:rPr>
                    <w:t>19</w:t>
                  </w:r>
                </w:p>
              </w:tc>
              <w:tc>
                <w:tcPr>
                  <w:tcW w:w="386" w:type="pct"/>
                  <w:vAlign w:val="center"/>
                </w:tcPr>
                <w:p>
                  <w:pPr>
                    <w:jc w:val="center"/>
                    <w:rPr>
                      <w:color w:val="auto"/>
                    </w:rPr>
                  </w:pPr>
                  <w:r>
                    <w:rPr>
                      <w:rFonts w:hint="eastAsia"/>
                      <w:color w:val="auto"/>
                    </w:rPr>
                    <w:t>0.15</w:t>
                  </w:r>
                </w:p>
              </w:tc>
              <w:tc>
                <w:tcPr>
                  <w:tcW w:w="603" w:type="pct"/>
                  <w:vAlign w:val="center"/>
                </w:tcPr>
                <w:p>
                  <w:pPr>
                    <w:jc w:val="center"/>
                    <w:rPr>
                      <w:color w:val="auto"/>
                    </w:rPr>
                  </w:pPr>
                  <w:r>
                    <w:rPr>
                      <w:rFonts w:hint="eastAsia"/>
                      <w:color w:val="auto"/>
                    </w:rPr>
                    <w:t>19.34</w:t>
                  </w:r>
                </w:p>
              </w:tc>
              <w:tc>
                <w:tcPr>
                  <w:tcW w:w="315" w:type="pct"/>
                  <w:vAlign w:val="center"/>
                </w:tcPr>
                <w:p>
                  <w:pPr>
                    <w:jc w:val="center"/>
                    <w:rPr>
                      <w:color w:val="auto"/>
                    </w:rPr>
                  </w:pPr>
                  <w:r>
                    <w:rPr>
                      <w:rFonts w:hint="eastAsia"/>
                      <w:color w:val="auto"/>
                    </w:rPr>
                    <w:t>25</w:t>
                  </w:r>
                </w:p>
              </w:tc>
              <w:tc>
                <w:tcPr>
                  <w:tcW w:w="442" w:type="pct"/>
                  <w:vAlign w:val="center"/>
                </w:tcPr>
                <w:p>
                  <w:pPr>
                    <w:jc w:val="center"/>
                    <w:rPr>
                      <w:color w:val="auto"/>
                    </w:rPr>
                  </w:pPr>
                  <w:r>
                    <w:rPr>
                      <w:rFonts w:hint="eastAsia"/>
                      <w:color w:val="auto"/>
                    </w:rPr>
                    <w:t>237.5</w:t>
                  </w:r>
                </w:p>
              </w:tc>
              <w:tc>
                <w:tcPr>
                  <w:tcW w:w="336" w:type="pct"/>
                  <w:vAlign w:val="center"/>
                </w:tcPr>
                <w:p>
                  <w:pPr>
                    <w:adjustRightInd w:val="0"/>
                    <w:jc w:val="center"/>
                    <w:rPr>
                      <w:bCs/>
                      <w:color w:val="auto"/>
                      <w:szCs w:val="21"/>
                    </w:rPr>
                  </w:pPr>
                  <w:r>
                    <w:rPr>
                      <w:bCs/>
                      <w:color w:val="auto"/>
                      <w:szCs w:val="21"/>
                    </w:rPr>
                    <w:t>正常</w:t>
                  </w:r>
                </w:p>
              </w:tc>
              <w:tc>
                <w:tcPr>
                  <w:tcW w:w="669" w:type="pct"/>
                  <w:vAlign w:val="center"/>
                </w:tcPr>
                <w:p>
                  <w:pPr>
                    <w:jc w:val="center"/>
                    <w:rPr>
                      <w:color w:val="auto"/>
                      <w:szCs w:val="21"/>
                    </w:rPr>
                  </w:pPr>
                  <w:r>
                    <w:rPr>
                      <w:rFonts w:hint="eastAsia"/>
                      <w:color w:val="auto"/>
                      <w:szCs w:val="21"/>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82" w:type="pct"/>
                  <w:vAlign w:val="center"/>
                </w:tcPr>
                <w:p>
                  <w:pPr>
                    <w:adjustRightInd w:val="0"/>
                    <w:jc w:val="center"/>
                    <w:rPr>
                      <w:bCs/>
                      <w:color w:val="auto"/>
                      <w:szCs w:val="21"/>
                    </w:rPr>
                  </w:pPr>
                  <w:r>
                    <w:rPr>
                      <w:rFonts w:hint="eastAsia"/>
                      <w:bCs/>
                      <w:color w:val="auto"/>
                      <w:szCs w:val="21"/>
                    </w:rPr>
                    <w:t>5</w:t>
                  </w:r>
                </w:p>
              </w:tc>
              <w:tc>
                <w:tcPr>
                  <w:tcW w:w="646" w:type="pct"/>
                  <w:vAlign w:val="center"/>
                </w:tcPr>
                <w:p>
                  <w:pPr>
                    <w:jc w:val="center"/>
                    <w:rPr>
                      <w:color w:val="auto"/>
                      <w:szCs w:val="21"/>
                    </w:rPr>
                  </w:pPr>
                  <w:r>
                    <w:rPr>
                      <w:color w:val="auto"/>
                      <w:szCs w:val="21"/>
                    </w:rPr>
                    <w:t>砂石筒仓</w:t>
                  </w:r>
                  <w:r>
                    <w:rPr>
                      <w:rFonts w:hint="eastAsia"/>
                      <w:color w:val="auto"/>
                      <w:szCs w:val="21"/>
                    </w:rPr>
                    <w:t>（DA005）</w:t>
                  </w:r>
                </w:p>
              </w:tc>
              <w:tc>
                <w:tcPr>
                  <w:tcW w:w="272" w:type="pct"/>
                  <w:vAlign w:val="center"/>
                </w:tcPr>
                <w:p>
                  <w:pPr>
                    <w:jc w:val="center"/>
                    <w:rPr>
                      <w:bCs/>
                      <w:color w:val="auto"/>
                      <w:szCs w:val="21"/>
                    </w:rPr>
                  </w:pPr>
                  <w:r>
                    <w:rPr>
                      <w:rFonts w:hint="eastAsia"/>
                      <w:bCs/>
                      <w:color w:val="auto"/>
                      <w:szCs w:val="21"/>
                    </w:rPr>
                    <w:t>155</w:t>
                  </w:r>
                </w:p>
              </w:tc>
              <w:tc>
                <w:tcPr>
                  <w:tcW w:w="326" w:type="pct"/>
                  <w:vAlign w:val="center"/>
                </w:tcPr>
                <w:p>
                  <w:pPr>
                    <w:jc w:val="center"/>
                    <w:rPr>
                      <w:bCs/>
                      <w:color w:val="auto"/>
                      <w:szCs w:val="21"/>
                    </w:rPr>
                  </w:pPr>
                  <w:r>
                    <w:rPr>
                      <w:rFonts w:hint="eastAsia"/>
                      <w:bCs/>
                      <w:color w:val="auto"/>
                      <w:szCs w:val="21"/>
                    </w:rPr>
                    <w:t>135</w:t>
                  </w:r>
                </w:p>
              </w:tc>
              <w:tc>
                <w:tcPr>
                  <w:tcW w:w="468" w:type="pct"/>
                  <w:vAlign w:val="center"/>
                </w:tcPr>
                <w:p>
                  <w:pPr>
                    <w:jc w:val="center"/>
                    <w:rPr>
                      <w:color w:val="auto"/>
                    </w:rPr>
                  </w:pPr>
                  <w:r>
                    <w:rPr>
                      <w:rFonts w:hint="eastAsia"/>
                      <w:color w:val="auto"/>
                    </w:rPr>
                    <w:t>356.59</w:t>
                  </w:r>
                </w:p>
              </w:tc>
              <w:tc>
                <w:tcPr>
                  <w:tcW w:w="355" w:type="pct"/>
                  <w:vAlign w:val="center"/>
                </w:tcPr>
                <w:p>
                  <w:pPr>
                    <w:jc w:val="center"/>
                    <w:rPr>
                      <w:color w:val="auto"/>
                    </w:rPr>
                  </w:pPr>
                  <w:r>
                    <w:rPr>
                      <w:rFonts w:hint="eastAsia"/>
                      <w:color w:val="auto"/>
                    </w:rPr>
                    <w:t>19</w:t>
                  </w:r>
                </w:p>
              </w:tc>
              <w:tc>
                <w:tcPr>
                  <w:tcW w:w="386" w:type="pct"/>
                  <w:vAlign w:val="center"/>
                </w:tcPr>
                <w:p>
                  <w:pPr>
                    <w:jc w:val="center"/>
                    <w:rPr>
                      <w:color w:val="auto"/>
                    </w:rPr>
                  </w:pPr>
                  <w:r>
                    <w:rPr>
                      <w:rFonts w:hint="eastAsia"/>
                      <w:color w:val="auto"/>
                    </w:rPr>
                    <w:t>0.15</w:t>
                  </w:r>
                </w:p>
              </w:tc>
              <w:tc>
                <w:tcPr>
                  <w:tcW w:w="603" w:type="pct"/>
                  <w:vAlign w:val="center"/>
                </w:tcPr>
                <w:p>
                  <w:pPr>
                    <w:jc w:val="center"/>
                    <w:rPr>
                      <w:color w:val="auto"/>
                    </w:rPr>
                  </w:pPr>
                  <w:r>
                    <w:rPr>
                      <w:rFonts w:hint="eastAsia"/>
                      <w:color w:val="auto"/>
                    </w:rPr>
                    <w:t>15.72</w:t>
                  </w:r>
                </w:p>
              </w:tc>
              <w:tc>
                <w:tcPr>
                  <w:tcW w:w="315" w:type="pct"/>
                  <w:vAlign w:val="center"/>
                </w:tcPr>
                <w:p>
                  <w:pPr>
                    <w:jc w:val="center"/>
                    <w:rPr>
                      <w:color w:val="auto"/>
                    </w:rPr>
                  </w:pPr>
                  <w:r>
                    <w:rPr>
                      <w:rFonts w:hint="eastAsia"/>
                      <w:color w:val="auto"/>
                    </w:rPr>
                    <w:t>25</w:t>
                  </w:r>
                </w:p>
              </w:tc>
              <w:tc>
                <w:tcPr>
                  <w:tcW w:w="442" w:type="pct"/>
                  <w:vAlign w:val="center"/>
                </w:tcPr>
                <w:p>
                  <w:pPr>
                    <w:jc w:val="center"/>
                    <w:rPr>
                      <w:color w:val="auto"/>
                    </w:rPr>
                  </w:pPr>
                  <w:r>
                    <w:rPr>
                      <w:rFonts w:hint="eastAsia"/>
                      <w:color w:val="auto"/>
                    </w:rPr>
                    <w:t>20</w:t>
                  </w:r>
                </w:p>
              </w:tc>
              <w:tc>
                <w:tcPr>
                  <w:tcW w:w="336" w:type="pct"/>
                  <w:vAlign w:val="center"/>
                </w:tcPr>
                <w:p>
                  <w:pPr>
                    <w:adjustRightInd w:val="0"/>
                    <w:jc w:val="center"/>
                    <w:rPr>
                      <w:bCs/>
                      <w:color w:val="auto"/>
                      <w:szCs w:val="21"/>
                    </w:rPr>
                  </w:pPr>
                  <w:r>
                    <w:rPr>
                      <w:bCs/>
                      <w:color w:val="auto"/>
                      <w:szCs w:val="21"/>
                    </w:rPr>
                    <w:t>正常</w:t>
                  </w:r>
                </w:p>
              </w:tc>
              <w:tc>
                <w:tcPr>
                  <w:tcW w:w="669" w:type="pct"/>
                  <w:vAlign w:val="center"/>
                </w:tcPr>
                <w:p>
                  <w:pPr>
                    <w:jc w:val="center"/>
                    <w:rPr>
                      <w:color w:val="auto"/>
                      <w:szCs w:val="21"/>
                    </w:rPr>
                  </w:pPr>
                  <w:r>
                    <w:rPr>
                      <w:rFonts w:hint="eastAsia"/>
                      <w:color w:val="auto"/>
                      <w:szCs w:val="21"/>
                    </w:rPr>
                    <w:t>0.004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82" w:type="pct"/>
                  <w:vAlign w:val="center"/>
                </w:tcPr>
                <w:p>
                  <w:pPr>
                    <w:adjustRightInd w:val="0"/>
                    <w:jc w:val="center"/>
                    <w:rPr>
                      <w:bCs/>
                      <w:color w:val="auto"/>
                      <w:szCs w:val="21"/>
                    </w:rPr>
                  </w:pPr>
                  <w:r>
                    <w:rPr>
                      <w:rFonts w:hint="eastAsia"/>
                      <w:bCs/>
                      <w:color w:val="auto"/>
                      <w:szCs w:val="21"/>
                    </w:rPr>
                    <w:t>6</w:t>
                  </w:r>
                </w:p>
              </w:tc>
              <w:tc>
                <w:tcPr>
                  <w:tcW w:w="646" w:type="pct"/>
                  <w:vAlign w:val="center"/>
                </w:tcPr>
                <w:p>
                  <w:pPr>
                    <w:jc w:val="center"/>
                    <w:rPr>
                      <w:color w:val="auto"/>
                      <w:szCs w:val="21"/>
                    </w:rPr>
                  </w:pPr>
                  <w:r>
                    <w:rPr>
                      <w:rFonts w:hint="eastAsia"/>
                      <w:color w:val="auto"/>
                      <w:szCs w:val="21"/>
                      <w:highlight w:val="none"/>
                    </w:rPr>
                    <w:t>上料、配料、混料、包装工序</w:t>
                  </w:r>
                  <w:r>
                    <w:rPr>
                      <w:color w:val="auto"/>
                      <w:szCs w:val="21"/>
                      <w:highlight w:val="none"/>
                    </w:rPr>
                    <w:t>排气筒</w:t>
                  </w:r>
                  <w:r>
                    <w:rPr>
                      <w:rFonts w:hint="eastAsia"/>
                      <w:color w:val="auto"/>
                      <w:szCs w:val="21"/>
                      <w:highlight w:val="none"/>
                    </w:rPr>
                    <w:t>（DA006）</w:t>
                  </w:r>
                </w:p>
              </w:tc>
              <w:tc>
                <w:tcPr>
                  <w:tcW w:w="272" w:type="pct"/>
                  <w:vAlign w:val="center"/>
                </w:tcPr>
                <w:p>
                  <w:pPr>
                    <w:jc w:val="center"/>
                    <w:rPr>
                      <w:bCs/>
                      <w:color w:val="auto"/>
                      <w:szCs w:val="21"/>
                    </w:rPr>
                  </w:pPr>
                  <w:r>
                    <w:rPr>
                      <w:rFonts w:hint="eastAsia"/>
                      <w:bCs/>
                      <w:color w:val="auto"/>
                      <w:szCs w:val="21"/>
                    </w:rPr>
                    <w:t>139</w:t>
                  </w:r>
                </w:p>
              </w:tc>
              <w:tc>
                <w:tcPr>
                  <w:tcW w:w="326" w:type="pct"/>
                  <w:vAlign w:val="center"/>
                </w:tcPr>
                <w:p>
                  <w:pPr>
                    <w:jc w:val="center"/>
                    <w:rPr>
                      <w:bCs/>
                      <w:color w:val="auto"/>
                      <w:szCs w:val="21"/>
                    </w:rPr>
                  </w:pPr>
                  <w:r>
                    <w:rPr>
                      <w:rFonts w:hint="eastAsia"/>
                      <w:bCs/>
                      <w:color w:val="auto"/>
                      <w:szCs w:val="21"/>
                    </w:rPr>
                    <w:t>100</w:t>
                  </w:r>
                </w:p>
              </w:tc>
              <w:tc>
                <w:tcPr>
                  <w:tcW w:w="468" w:type="pct"/>
                  <w:vAlign w:val="center"/>
                </w:tcPr>
                <w:p>
                  <w:pPr>
                    <w:jc w:val="center"/>
                    <w:rPr>
                      <w:color w:val="auto"/>
                    </w:rPr>
                  </w:pPr>
                  <w:r>
                    <w:rPr>
                      <w:rFonts w:hint="eastAsia"/>
                      <w:color w:val="auto"/>
                    </w:rPr>
                    <w:t>357.57</w:t>
                  </w:r>
                </w:p>
              </w:tc>
              <w:tc>
                <w:tcPr>
                  <w:tcW w:w="355" w:type="pct"/>
                  <w:vAlign w:val="center"/>
                </w:tcPr>
                <w:p>
                  <w:pPr>
                    <w:jc w:val="center"/>
                    <w:rPr>
                      <w:color w:val="auto"/>
                    </w:rPr>
                  </w:pPr>
                  <w:r>
                    <w:rPr>
                      <w:rFonts w:hint="eastAsia"/>
                      <w:color w:val="auto"/>
                    </w:rPr>
                    <w:t>25</w:t>
                  </w:r>
                </w:p>
              </w:tc>
              <w:tc>
                <w:tcPr>
                  <w:tcW w:w="386" w:type="pct"/>
                  <w:vAlign w:val="center"/>
                </w:tcPr>
                <w:p>
                  <w:pPr>
                    <w:jc w:val="center"/>
                    <w:rPr>
                      <w:color w:val="auto"/>
                    </w:rPr>
                  </w:pPr>
                  <w:r>
                    <w:rPr>
                      <w:rFonts w:hint="eastAsia"/>
                      <w:color w:val="auto"/>
                    </w:rPr>
                    <w:t>0.3</w:t>
                  </w:r>
                </w:p>
              </w:tc>
              <w:tc>
                <w:tcPr>
                  <w:tcW w:w="603" w:type="pct"/>
                  <w:vAlign w:val="center"/>
                </w:tcPr>
                <w:p>
                  <w:pPr>
                    <w:jc w:val="center"/>
                    <w:rPr>
                      <w:color w:val="auto"/>
                    </w:rPr>
                  </w:pPr>
                  <w:r>
                    <w:rPr>
                      <w:rFonts w:hint="eastAsia"/>
                      <w:color w:val="auto"/>
                    </w:rPr>
                    <w:t>19.64</w:t>
                  </w:r>
                </w:p>
              </w:tc>
              <w:tc>
                <w:tcPr>
                  <w:tcW w:w="315" w:type="pct"/>
                  <w:vAlign w:val="center"/>
                </w:tcPr>
                <w:p>
                  <w:pPr>
                    <w:jc w:val="center"/>
                    <w:rPr>
                      <w:color w:val="auto"/>
                    </w:rPr>
                  </w:pPr>
                  <w:r>
                    <w:rPr>
                      <w:rFonts w:hint="eastAsia"/>
                      <w:color w:val="auto"/>
                    </w:rPr>
                    <w:t>25</w:t>
                  </w:r>
                </w:p>
              </w:tc>
              <w:tc>
                <w:tcPr>
                  <w:tcW w:w="442" w:type="pct"/>
                  <w:vAlign w:val="center"/>
                </w:tcPr>
                <w:p>
                  <w:pPr>
                    <w:jc w:val="center"/>
                    <w:rPr>
                      <w:color w:val="auto"/>
                    </w:rPr>
                  </w:pPr>
                  <w:r>
                    <w:rPr>
                      <w:rFonts w:hint="eastAsia"/>
                      <w:color w:val="auto"/>
                    </w:rPr>
                    <w:t>7200</w:t>
                  </w:r>
                </w:p>
              </w:tc>
              <w:tc>
                <w:tcPr>
                  <w:tcW w:w="336" w:type="pct"/>
                  <w:vAlign w:val="center"/>
                </w:tcPr>
                <w:p>
                  <w:pPr>
                    <w:adjustRightInd w:val="0"/>
                    <w:jc w:val="center"/>
                    <w:rPr>
                      <w:bCs/>
                      <w:color w:val="auto"/>
                      <w:szCs w:val="21"/>
                    </w:rPr>
                  </w:pPr>
                  <w:r>
                    <w:rPr>
                      <w:bCs/>
                      <w:color w:val="auto"/>
                      <w:szCs w:val="21"/>
                    </w:rPr>
                    <w:t>正常</w:t>
                  </w:r>
                </w:p>
              </w:tc>
              <w:tc>
                <w:tcPr>
                  <w:tcW w:w="669" w:type="pct"/>
                  <w:vAlign w:val="center"/>
                </w:tcPr>
                <w:p>
                  <w:pPr>
                    <w:jc w:val="center"/>
                    <w:rPr>
                      <w:color w:val="auto"/>
                      <w:szCs w:val="21"/>
                    </w:rPr>
                  </w:pPr>
                  <w:r>
                    <w:rPr>
                      <w:rFonts w:hint="eastAsia"/>
                      <w:color w:val="auto"/>
                      <w:szCs w:val="21"/>
                    </w:rPr>
                    <w:t>0.004</w:t>
                  </w:r>
                </w:p>
              </w:tc>
            </w:tr>
          </w:tbl>
          <w:p>
            <w:pPr>
              <w:autoSpaceDE w:val="0"/>
              <w:autoSpaceDN w:val="0"/>
              <w:adjustRightInd w:val="0"/>
              <w:spacing w:before="120" w:beforeLines="50"/>
              <w:ind w:firstLine="482" w:firstLineChars="200"/>
              <w:jc w:val="center"/>
              <w:rPr>
                <w:b/>
                <w:snapToGrid w:val="0"/>
                <w:color w:val="auto"/>
                <w:sz w:val="24"/>
                <w:lang w:val="zh-CN"/>
              </w:rPr>
            </w:pPr>
            <w:r>
              <w:rPr>
                <w:b/>
                <w:snapToGrid w:val="0"/>
                <w:color w:val="auto"/>
                <w:sz w:val="24"/>
                <w:lang w:val="zh-CN"/>
              </w:rPr>
              <w:t>表4</w:t>
            </w:r>
            <w:r>
              <w:rPr>
                <w:rFonts w:hint="eastAsia"/>
                <w:b/>
                <w:snapToGrid w:val="0"/>
                <w:color w:val="auto"/>
                <w:sz w:val="24"/>
                <w:lang w:val="zh-CN"/>
              </w:rPr>
              <w:t>-4</w:t>
            </w:r>
            <w:r>
              <w:rPr>
                <w:b/>
                <w:snapToGrid w:val="0"/>
                <w:color w:val="auto"/>
                <w:sz w:val="24"/>
                <w:lang w:val="zh-CN"/>
              </w:rPr>
              <w:t xml:space="preserve">   废气无组织污染源参数一览表</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62"/>
              <w:gridCol w:w="286"/>
              <w:gridCol w:w="325"/>
              <w:gridCol w:w="350"/>
              <w:gridCol w:w="588"/>
              <w:gridCol w:w="550"/>
              <w:gridCol w:w="688"/>
              <w:gridCol w:w="817"/>
              <w:gridCol w:w="952"/>
              <w:gridCol w:w="823"/>
              <w:gridCol w:w="548"/>
              <w:gridCol w:w="19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263" w:type="dxa"/>
                  <w:vMerge w:val="restart"/>
                  <w:vAlign w:val="center"/>
                </w:tcPr>
                <w:p>
                  <w:pPr>
                    <w:adjustRightInd w:val="0"/>
                    <w:jc w:val="center"/>
                    <w:rPr>
                      <w:color w:val="auto"/>
                      <w:szCs w:val="21"/>
                    </w:rPr>
                  </w:pPr>
                  <w:r>
                    <w:rPr>
                      <w:color w:val="auto"/>
                      <w:szCs w:val="21"/>
                    </w:rPr>
                    <w:t>编号</w:t>
                  </w:r>
                </w:p>
              </w:tc>
              <w:tc>
                <w:tcPr>
                  <w:tcW w:w="288" w:type="dxa"/>
                  <w:vMerge w:val="restart"/>
                  <w:vAlign w:val="center"/>
                </w:tcPr>
                <w:p>
                  <w:pPr>
                    <w:adjustRightInd w:val="0"/>
                    <w:jc w:val="center"/>
                    <w:rPr>
                      <w:color w:val="auto"/>
                      <w:szCs w:val="21"/>
                    </w:rPr>
                  </w:pPr>
                  <w:r>
                    <w:rPr>
                      <w:color w:val="auto"/>
                      <w:szCs w:val="21"/>
                    </w:rPr>
                    <w:t>名称</w:t>
                  </w:r>
                </w:p>
              </w:tc>
              <w:tc>
                <w:tcPr>
                  <w:tcW w:w="591" w:type="dxa"/>
                  <w:gridSpan w:val="2"/>
                  <w:vAlign w:val="center"/>
                </w:tcPr>
                <w:p>
                  <w:pPr>
                    <w:adjustRightInd w:val="0"/>
                    <w:jc w:val="center"/>
                    <w:rPr>
                      <w:color w:val="auto"/>
                      <w:szCs w:val="21"/>
                    </w:rPr>
                  </w:pPr>
                  <w:r>
                    <w:rPr>
                      <w:color w:val="auto"/>
                      <w:szCs w:val="21"/>
                    </w:rPr>
                    <w:t>面源起点坐标</w:t>
                  </w:r>
                </w:p>
              </w:tc>
              <w:tc>
                <w:tcPr>
                  <w:tcW w:w="560" w:type="dxa"/>
                  <w:vMerge w:val="restart"/>
                  <w:vAlign w:val="center"/>
                </w:tcPr>
                <w:p>
                  <w:pPr>
                    <w:adjustRightInd w:val="0"/>
                    <w:jc w:val="center"/>
                    <w:rPr>
                      <w:color w:val="auto"/>
                      <w:szCs w:val="21"/>
                    </w:rPr>
                  </w:pPr>
                  <w:r>
                    <w:rPr>
                      <w:color w:val="auto"/>
                      <w:szCs w:val="21"/>
                    </w:rPr>
                    <w:t>面源海拔高度/m</w:t>
                  </w:r>
                </w:p>
              </w:tc>
              <w:tc>
                <w:tcPr>
                  <w:tcW w:w="558" w:type="dxa"/>
                  <w:vMerge w:val="restart"/>
                  <w:vAlign w:val="center"/>
                </w:tcPr>
                <w:p>
                  <w:pPr>
                    <w:adjustRightInd w:val="0"/>
                    <w:jc w:val="center"/>
                    <w:rPr>
                      <w:color w:val="auto"/>
                      <w:szCs w:val="21"/>
                    </w:rPr>
                  </w:pPr>
                  <w:r>
                    <w:rPr>
                      <w:color w:val="auto"/>
                      <w:szCs w:val="21"/>
                    </w:rPr>
                    <w:t>面源长度/m</w:t>
                  </w:r>
                </w:p>
              </w:tc>
              <w:tc>
                <w:tcPr>
                  <w:tcW w:w="700" w:type="dxa"/>
                  <w:vMerge w:val="restart"/>
                  <w:vAlign w:val="center"/>
                </w:tcPr>
                <w:p>
                  <w:pPr>
                    <w:adjustRightInd w:val="0"/>
                    <w:jc w:val="center"/>
                    <w:rPr>
                      <w:color w:val="auto"/>
                      <w:szCs w:val="21"/>
                    </w:rPr>
                  </w:pPr>
                  <w:r>
                    <w:rPr>
                      <w:color w:val="auto"/>
                      <w:szCs w:val="21"/>
                    </w:rPr>
                    <w:t>面源宽度/m</w:t>
                  </w:r>
                </w:p>
              </w:tc>
              <w:tc>
                <w:tcPr>
                  <w:tcW w:w="833" w:type="dxa"/>
                  <w:vMerge w:val="restart"/>
                  <w:vAlign w:val="center"/>
                </w:tcPr>
                <w:p>
                  <w:pPr>
                    <w:adjustRightInd w:val="0"/>
                    <w:jc w:val="center"/>
                    <w:rPr>
                      <w:color w:val="auto"/>
                      <w:szCs w:val="21"/>
                    </w:rPr>
                  </w:pPr>
                  <w:r>
                    <w:rPr>
                      <w:color w:val="auto"/>
                      <w:szCs w:val="21"/>
                    </w:rPr>
                    <w:t>与正北向夹角/°</w:t>
                  </w:r>
                </w:p>
              </w:tc>
              <w:tc>
                <w:tcPr>
                  <w:tcW w:w="971" w:type="dxa"/>
                  <w:vMerge w:val="restart"/>
                  <w:vAlign w:val="center"/>
                </w:tcPr>
                <w:p>
                  <w:pPr>
                    <w:adjustRightInd w:val="0"/>
                    <w:jc w:val="center"/>
                    <w:rPr>
                      <w:color w:val="auto"/>
                      <w:szCs w:val="21"/>
                    </w:rPr>
                  </w:pPr>
                  <w:r>
                    <w:rPr>
                      <w:color w:val="auto"/>
                      <w:szCs w:val="21"/>
                    </w:rPr>
                    <w:t>面源有效排放高度/m</w:t>
                  </w:r>
                </w:p>
              </w:tc>
              <w:tc>
                <w:tcPr>
                  <w:tcW w:w="838" w:type="dxa"/>
                  <w:vMerge w:val="restart"/>
                  <w:vAlign w:val="center"/>
                </w:tcPr>
                <w:p>
                  <w:pPr>
                    <w:adjustRightInd w:val="0"/>
                    <w:jc w:val="center"/>
                    <w:rPr>
                      <w:color w:val="auto"/>
                      <w:szCs w:val="21"/>
                    </w:rPr>
                  </w:pPr>
                  <w:r>
                    <w:rPr>
                      <w:color w:val="auto"/>
                      <w:szCs w:val="21"/>
                    </w:rPr>
                    <w:t>年排放小时/h</w:t>
                  </w:r>
                </w:p>
              </w:tc>
              <w:tc>
                <w:tcPr>
                  <w:tcW w:w="557" w:type="dxa"/>
                  <w:vMerge w:val="restart"/>
                  <w:vAlign w:val="center"/>
                </w:tcPr>
                <w:p>
                  <w:pPr>
                    <w:adjustRightInd w:val="0"/>
                    <w:jc w:val="center"/>
                    <w:rPr>
                      <w:color w:val="auto"/>
                      <w:szCs w:val="21"/>
                    </w:rPr>
                  </w:pPr>
                  <w:r>
                    <w:rPr>
                      <w:color w:val="auto"/>
                      <w:szCs w:val="21"/>
                    </w:rPr>
                    <w:t>排放工况</w:t>
                  </w:r>
                </w:p>
              </w:tc>
              <w:tc>
                <w:tcPr>
                  <w:tcW w:w="1958" w:type="dxa"/>
                  <w:vAlign w:val="center"/>
                </w:tcPr>
                <w:p>
                  <w:pPr>
                    <w:adjustRightInd w:val="0"/>
                    <w:jc w:val="center"/>
                    <w:rPr>
                      <w:color w:val="auto"/>
                      <w:szCs w:val="21"/>
                    </w:rPr>
                  </w:pPr>
                  <w:r>
                    <w:rPr>
                      <w:color w:val="auto"/>
                      <w:szCs w:val="21"/>
                    </w:rPr>
                    <w:t>污染物排放速率/（kg/h）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63" w:type="dxa"/>
                  <w:vMerge w:val="continue"/>
                  <w:vAlign w:val="center"/>
                </w:tcPr>
                <w:p>
                  <w:pPr>
                    <w:widowControl/>
                    <w:jc w:val="center"/>
                    <w:rPr>
                      <w:color w:val="auto"/>
                      <w:szCs w:val="21"/>
                    </w:rPr>
                  </w:pPr>
                </w:p>
              </w:tc>
              <w:tc>
                <w:tcPr>
                  <w:tcW w:w="288" w:type="dxa"/>
                  <w:vMerge w:val="continue"/>
                  <w:vAlign w:val="center"/>
                </w:tcPr>
                <w:p>
                  <w:pPr>
                    <w:widowControl/>
                    <w:jc w:val="center"/>
                    <w:rPr>
                      <w:color w:val="auto"/>
                      <w:szCs w:val="21"/>
                    </w:rPr>
                  </w:pPr>
                </w:p>
              </w:tc>
              <w:tc>
                <w:tcPr>
                  <w:tcW w:w="238" w:type="dxa"/>
                  <w:vAlign w:val="center"/>
                </w:tcPr>
                <w:p>
                  <w:pPr>
                    <w:adjustRightInd w:val="0"/>
                    <w:jc w:val="center"/>
                    <w:rPr>
                      <w:color w:val="auto"/>
                      <w:szCs w:val="21"/>
                    </w:rPr>
                  </w:pPr>
                  <w:r>
                    <w:rPr>
                      <w:color w:val="auto"/>
                      <w:szCs w:val="21"/>
                    </w:rPr>
                    <w:t>X</w:t>
                  </w:r>
                </w:p>
              </w:tc>
              <w:tc>
                <w:tcPr>
                  <w:tcW w:w="353" w:type="dxa"/>
                  <w:vAlign w:val="center"/>
                </w:tcPr>
                <w:p>
                  <w:pPr>
                    <w:adjustRightInd w:val="0"/>
                    <w:jc w:val="center"/>
                    <w:rPr>
                      <w:color w:val="auto"/>
                      <w:szCs w:val="21"/>
                    </w:rPr>
                  </w:pPr>
                  <w:r>
                    <w:rPr>
                      <w:color w:val="auto"/>
                      <w:szCs w:val="21"/>
                    </w:rPr>
                    <w:t>Y</w:t>
                  </w:r>
                </w:p>
              </w:tc>
              <w:tc>
                <w:tcPr>
                  <w:tcW w:w="560" w:type="dxa"/>
                  <w:vMerge w:val="continue"/>
                  <w:vAlign w:val="center"/>
                </w:tcPr>
                <w:p>
                  <w:pPr>
                    <w:widowControl/>
                    <w:jc w:val="center"/>
                    <w:rPr>
                      <w:color w:val="auto"/>
                      <w:szCs w:val="21"/>
                    </w:rPr>
                  </w:pPr>
                </w:p>
              </w:tc>
              <w:tc>
                <w:tcPr>
                  <w:tcW w:w="558" w:type="dxa"/>
                  <w:vMerge w:val="continue"/>
                  <w:vAlign w:val="center"/>
                </w:tcPr>
                <w:p>
                  <w:pPr>
                    <w:widowControl/>
                    <w:jc w:val="center"/>
                    <w:rPr>
                      <w:color w:val="auto"/>
                      <w:szCs w:val="21"/>
                    </w:rPr>
                  </w:pPr>
                </w:p>
              </w:tc>
              <w:tc>
                <w:tcPr>
                  <w:tcW w:w="700" w:type="dxa"/>
                  <w:vMerge w:val="continue"/>
                  <w:vAlign w:val="center"/>
                </w:tcPr>
                <w:p>
                  <w:pPr>
                    <w:widowControl/>
                    <w:jc w:val="center"/>
                    <w:rPr>
                      <w:color w:val="auto"/>
                      <w:szCs w:val="21"/>
                    </w:rPr>
                  </w:pPr>
                </w:p>
              </w:tc>
              <w:tc>
                <w:tcPr>
                  <w:tcW w:w="833" w:type="dxa"/>
                  <w:vMerge w:val="continue"/>
                  <w:vAlign w:val="center"/>
                </w:tcPr>
                <w:p>
                  <w:pPr>
                    <w:widowControl/>
                    <w:jc w:val="center"/>
                    <w:rPr>
                      <w:color w:val="auto"/>
                      <w:szCs w:val="21"/>
                    </w:rPr>
                  </w:pPr>
                </w:p>
              </w:tc>
              <w:tc>
                <w:tcPr>
                  <w:tcW w:w="971" w:type="dxa"/>
                  <w:vMerge w:val="continue"/>
                  <w:vAlign w:val="center"/>
                </w:tcPr>
                <w:p>
                  <w:pPr>
                    <w:widowControl/>
                    <w:jc w:val="center"/>
                    <w:rPr>
                      <w:color w:val="auto"/>
                      <w:szCs w:val="21"/>
                    </w:rPr>
                  </w:pPr>
                </w:p>
              </w:tc>
              <w:tc>
                <w:tcPr>
                  <w:tcW w:w="838" w:type="dxa"/>
                  <w:vMerge w:val="continue"/>
                  <w:vAlign w:val="center"/>
                </w:tcPr>
                <w:p>
                  <w:pPr>
                    <w:widowControl/>
                    <w:jc w:val="center"/>
                    <w:rPr>
                      <w:color w:val="auto"/>
                      <w:szCs w:val="21"/>
                    </w:rPr>
                  </w:pPr>
                </w:p>
              </w:tc>
              <w:tc>
                <w:tcPr>
                  <w:tcW w:w="557" w:type="dxa"/>
                  <w:vMerge w:val="continue"/>
                  <w:vAlign w:val="center"/>
                </w:tcPr>
                <w:p>
                  <w:pPr>
                    <w:widowControl/>
                    <w:jc w:val="center"/>
                    <w:rPr>
                      <w:color w:val="auto"/>
                      <w:szCs w:val="21"/>
                    </w:rPr>
                  </w:pPr>
                </w:p>
              </w:tc>
              <w:tc>
                <w:tcPr>
                  <w:tcW w:w="1958" w:type="dxa"/>
                  <w:vAlign w:val="center"/>
                </w:tcPr>
                <w:p>
                  <w:pPr>
                    <w:adjustRightInd w:val="0"/>
                    <w:jc w:val="center"/>
                    <w:rPr>
                      <w:color w:val="auto"/>
                      <w:szCs w:val="21"/>
                    </w:rPr>
                  </w:pPr>
                  <w:r>
                    <w:rPr>
                      <w:color w:val="auto"/>
                      <w:szCs w:val="21"/>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63" w:type="dxa"/>
                  <w:vAlign w:val="center"/>
                </w:tcPr>
                <w:p>
                  <w:pPr>
                    <w:adjustRightInd w:val="0"/>
                    <w:jc w:val="center"/>
                    <w:rPr>
                      <w:b/>
                      <w:bCs/>
                      <w:color w:val="auto"/>
                      <w:szCs w:val="21"/>
                    </w:rPr>
                  </w:pPr>
                  <w:r>
                    <w:rPr>
                      <w:b/>
                      <w:bCs/>
                      <w:color w:val="auto"/>
                      <w:szCs w:val="21"/>
                    </w:rPr>
                    <w:t>1</w:t>
                  </w:r>
                </w:p>
              </w:tc>
              <w:tc>
                <w:tcPr>
                  <w:tcW w:w="288" w:type="dxa"/>
                  <w:vAlign w:val="center"/>
                </w:tcPr>
                <w:p>
                  <w:pPr>
                    <w:jc w:val="center"/>
                    <w:rPr>
                      <w:color w:val="auto"/>
                      <w:szCs w:val="21"/>
                    </w:rPr>
                  </w:pPr>
                  <w:r>
                    <w:rPr>
                      <w:color w:val="auto"/>
                      <w:szCs w:val="21"/>
                    </w:rPr>
                    <w:t>厂房</w:t>
                  </w:r>
                </w:p>
              </w:tc>
              <w:tc>
                <w:tcPr>
                  <w:tcW w:w="238" w:type="dxa"/>
                  <w:vAlign w:val="center"/>
                </w:tcPr>
                <w:p>
                  <w:pPr>
                    <w:jc w:val="center"/>
                    <w:rPr>
                      <w:bCs/>
                      <w:color w:val="auto"/>
                      <w:szCs w:val="21"/>
                    </w:rPr>
                  </w:pPr>
                  <w:r>
                    <w:rPr>
                      <w:rFonts w:hint="eastAsia"/>
                      <w:bCs/>
                      <w:color w:val="auto"/>
                      <w:szCs w:val="21"/>
                    </w:rPr>
                    <w:t>196</w:t>
                  </w:r>
                </w:p>
              </w:tc>
              <w:tc>
                <w:tcPr>
                  <w:tcW w:w="353" w:type="dxa"/>
                  <w:vAlign w:val="center"/>
                </w:tcPr>
                <w:p>
                  <w:pPr>
                    <w:jc w:val="center"/>
                    <w:rPr>
                      <w:bCs/>
                      <w:color w:val="auto"/>
                      <w:szCs w:val="21"/>
                    </w:rPr>
                  </w:pPr>
                  <w:r>
                    <w:rPr>
                      <w:rFonts w:hint="eastAsia"/>
                      <w:bCs/>
                      <w:color w:val="auto"/>
                      <w:szCs w:val="21"/>
                    </w:rPr>
                    <w:t>95</w:t>
                  </w:r>
                </w:p>
              </w:tc>
              <w:tc>
                <w:tcPr>
                  <w:tcW w:w="560" w:type="dxa"/>
                  <w:vAlign w:val="center"/>
                </w:tcPr>
                <w:p>
                  <w:pPr>
                    <w:adjustRightInd w:val="0"/>
                    <w:jc w:val="center"/>
                    <w:rPr>
                      <w:bCs/>
                      <w:color w:val="auto"/>
                      <w:szCs w:val="21"/>
                    </w:rPr>
                  </w:pPr>
                  <w:r>
                    <w:rPr>
                      <w:rFonts w:hint="eastAsia"/>
                      <w:bCs/>
                      <w:color w:val="auto"/>
                      <w:szCs w:val="21"/>
                    </w:rPr>
                    <w:t>356.54</w:t>
                  </w:r>
                </w:p>
              </w:tc>
              <w:tc>
                <w:tcPr>
                  <w:tcW w:w="558" w:type="dxa"/>
                  <w:vAlign w:val="center"/>
                </w:tcPr>
                <w:p>
                  <w:pPr>
                    <w:jc w:val="center"/>
                    <w:rPr>
                      <w:bCs/>
                      <w:color w:val="auto"/>
                      <w:szCs w:val="21"/>
                    </w:rPr>
                  </w:pPr>
                  <w:r>
                    <w:rPr>
                      <w:rFonts w:hint="eastAsia"/>
                      <w:bCs/>
                      <w:color w:val="auto"/>
                      <w:szCs w:val="21"/>
                    </w:rPr>
                    <w:t>83</w:t>
                  </w:r>
                </w:p>
              </w:tc>
              <w:tc>
                <w:tcPr>
                  <w:tcW w:w="700" w:type="dxa"/>
                  <w:vAlign w:val="center"/>
                </w:tcPr>
                <w:p>
                  <w:pPr>
                    <w:adjustRightInd w:val="0"/>
                    <w:jc w:val="center"/>
                    <w:rPr>
                      <w:color w:val="auto"/>
                      <w:szCs w:val="21"/>
                      <w:lang w:val="en-GB"/>
                    </w:rPr>
                  </w:pPr>
                  <w:r>
                    <w:rPr>
                      <w:rFonts w:hint="eastAsia"/>
                      <w:color w:val="auto"/>
                      <w:szCs w:val="21"/>
                      <w:lang w:val="en-GB"/>
                    </w:rPr>
                    <w:t>60</w:t>
                  </w:r>
                </w:p>
              </w:tc>
              <w:tc>
                <w:tcPr>
                  <w:tcW w:w="833" w:type="dxa"/>
                  <w:vAlign w:val="center"/>
                </w:tcPr>
                <w:p>
                  <w:pPr>
                    <w:adjustRightInd w:val="0"/>
                    <w:jc w:val="center"/>
                    <w:rPr>
                      <w:bCs/>
                      <w:color w:val="auto"/>
                      <w:szCs w:val="21"/>
                    </w:rPr>
                  </w:pPr>
                  <w:r>
                    <w:rPr>
                      <w:rFonts w:hint="eastAsia"/>
                      <w:bCs/>
                      <w:color w:val="auto"/>
                      <w:szCs w:val="21"/>
                    </w:rPr>
                    <w:t>0</w:t>
                  </w:r>
                </w:p>
              </w:tc>
              <w:tc>
                <w:tcPr>
                  <w:tcW w:w="971" w:type="dxa"/>
                  <w:vAlign w:val="center"/>
                </w:tcPr>
                <w:p>
                  <w:pPr>
                    <w:adjustRightInd w:val="0"/>
                    <w:jc w:val="center"/>
                    <w:rPr>
                      <w:bCs/>
                      <w:color w:val="auto"/>
                      <w:szCs w:val="21"/>
                    </w:rPr>
                  </w:pPr>
                  <w:r>
                    <w:rPr>
                      <w:rFonts w:hint="eastAsia"/>
                      <w:bCs/>
                      <w:color w:val="auto"/>
                      <w:szCs w:val="21"/>
                    </w:rPr>
                    <w:t>18</w:t>
                  </w:r>
                </w:p>
              </w:tc>
              <w:tc>
                <w:tcPr>
                  <w:tcW w:w="838" w:type="dxa"/>
                  <w:vAlign w:val="center"/>
                </w:tcPr>
                <w:p>
                  <w:pPr>
                    <w:adjustRightInd w:val="0"/>
                    <w:jc w:val="center"/>
                    <w:rPr>
                      <w:rFonts w:hint="default" w:eastAsia="宋体"/>
                      <w:bCs/>
                      <w:color w:val="auto"/>
                      <w:szCs w:val="21"/>
                      <w:lang w:val="en-US" w:eastAsia="zh-CN"/>
                    </w:rPr>
                  </w:pPr>
                  <w:r>
                    <w:rPr>
                      <w:rFonts w:hint="eastAsia"/>
                      <w:bCs/>
                      <w:color w:val="auto"/>
                      <w:szCs w:val="21"/>
                      <w:lang w:val="en-US" w:eastAsia="zh-CN"/>
                    </w:rPr>
                    <w:t>7.5</w:t>
                  </w:r>
                </w:p>
              </w:tc>
              <w:tc>
                <w:tcPr>
                  <w:tcW w:w="557" w:type="dxa"/>
                  <w:vAlign w:val="center"/>
                </w:tcPr>
                <w:p>
                  <w:pPr>
                    <w:adjustRightInd w:val="0"/>
                    <w:jc w:val="center"/>
                    <w:rPr>
                      <w:bCs/>
                      <w:color w:val="auto"/>
                      <w:szCs w:val="21"/>
                    </w:rPr>
                  </w:pPr>
                  <w:r>
                    <w:rPr>
                      <w:bCs/>
                      <w:color w:val="auto"/>
                      <w:szCs w:val="21"/>
                    </w:rPr>
                    <w:t>正常</w:t>
                  </w:r>
                </w:p>
              </w:tc>
              <w:tc>
                <w:tcPr>
                  <w:tcW w:w="1958" w:type="dxa"/>
                  <w:vAlign w:val="center"/>
                </w:tcPr>
                <w:p>
                  <w:pPr>
                    <w:adjustRightInd w:val="0"/>
                    <w:jc w:val="center"/>
                    <w:rPr>
                      <w:bCs/>
                      <w:color w:val="auto"/>
                      <w:szCs w:val="21"/>
                    </w:rPr>
                  </w:pPr>
                  <w:r>
                    <w:rPr>
                      <w:rFonts w:hint="eastAsia"/>
                      <w:bCs/>
                      <w:color w:val="auto"/>
                      <w:szCs w:val="21"/>
                    </w:rPr>
                    <w:t>0.47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117" w:type="dxa"/>
                  <w:gridSpan w:val="12"/>
                  <w:vAlign w:val="center"/>
                </w:tcPr>
                <w:p>
                  <w:pPr>
                    <w:adjustRightInd w:val="0"/>
                    <w:jc w:val="left"/>
                    <w:rPr>
                      <w:bCs/>
                      <w:color w:val="auto"/>
                      <w:szCs w:val="21"/>
                    </w:rPr>
                  </w:pPr>
                  <w:r>
                    <w:rPr>
                      <w:bCs/>
                      <w:color w:val="auto"/>
                      <w:szCs w:val="21"/>
                    </w:rPr>
                    <w:t>备注：以厂界西南角为面源起点。</w:t>
                  </w:r>
                </w:p>
              </w:tc>
            </w:tr>
          </w:tbl>
          <w:p>
            <w:pPr>
              <w:spacing w:before="120" w:beforeLines="50" w:line="360" w:lineRule="auto"/>
              <w:ind w:firstLine="480" w:firstLineChars="200"/>
              <w:rPr>
                <w:color w:val="auto"/>
                <w:sz w:val="24"/>
              </w:rPr>
            </w:pPr>
            <w:r>
              <w:rPr>
                <w:rFonts w:hint="eastAsia" w:ascii="宋体" w:hAnsi="宋体" w:cs="宋体"/>
                <w:color w:val="auto"/>
                <w:sz w:val="24"/>
              </w:rPr>
              <w:t>②</w:t>
            </w:r>
            <w:r>
              <w:rPr>
                <w:color w:val="auto"/>
                <w:sz w:val="24"/>
              </w:rPr>
              <w:t>预测结果</w:t>
            </w:r>
          </w:p>
          <w:p>
            <w:pPr>
              <w:spacing w:line="360" w:lineRule="auto"/>
              <w:ind w:firstLine="480" w:firstLineChars="200"/>
              <w:rPr>
                <w:color w:val="auto"/>
                <w:sz w:val="24"/>
              </w:rPr>
            </w:pPr>
            <w:r>
              <w:rPr>
                <w:bCs/>
                <w:color w:val="auto"/>
                <w:sz w:val="24"/>
                <w:szCs w:val="28"/>
              </w:rPr>
              <w:t>本项目</w:t>
            </w:r>
            <w:r>
              <w:rPr>
                <w:color w:val="auto"/>
                <w:sz w:val="24"/>
              </w:rPr>
              <w:t>废气有组织及无组织排放预测结果分别见表4-</w:t>
            </w:r>
            <w:r>
              <w:rPr>
                <w:rFonts w:hint="eastAsia"/>
                <w:color w:val="auto"/>
                <w:sz w:val="24"/>
              </w:rPr>
              <w:t>5</w:t>
            </w:r>
            <w:r>
              <w:rPr>
                <w:color w:val="auto"/>
                <w:sz w:val="24"/>
              </w:rPr>
              <w:t>、表4-</w:t>
            </w:r>
            <w:r>
              <w:rPr>
                <w:rFonts w:hint="eastAsia"/>
                <w:color w:val="auto"/>
                <w:sz w:val="24"/>
              </w:rPr>
              <w:t>6</w:t>
            </w:r>
            <w:r>
              <w:rPr>
                <w:color w:val="auto"/>
                <w:sz w:val="24"/>
              </w:rPr>
              <w:t>。</w:t>
            </w:r>
          </w:p>
          <w:p>
            <w:pPr>
              <w:adjustRightInd w:val="0"/>
              <w:snapToGrid w:val="0"/>
              <w:spacing w:before="48" w:beforeLines="20"/>
              <w:jc w:val="center"/>
              <w:rPr>
                <w:b/>
                <w:bCs/>
                <w:color w:val="auto"/>
                <w:sz w:val="24"/>
              </w:rPr>
            </w:pPr>
            <w:r>
              <w:rPr>
                <w:b/>
                <w:bCs/>
                <w:color w:val="auto"/>
                <w:sz w:val="24"/>
              </w:rPr>
              <w:t>表4-</w:t>
            </w:r>
            <w:r>
              <w:rPr>
                <w:rFonts w:hint="eastAsia"/>
                <w:b/>
                <w:bCs/>
                <w:color w:val="auto"/>
                <w:sz w:val="24"/>
              </w:rPr>
              <w:t>5</w:t>
            </w:r>
            <w:r>
              <w:rPr>
                <w:b/>
                <w:bCs/>
                <w:color w:val="auto"/>
                <w:sz w:val="24"/>
              </w:rPr>
              <w:t xml:space="preserve">   废气有组织排放预测结果</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0" w:type="dxa"/>
                <w:bottom w:w="0" w:type="dxa"/>
                <w:right w:w="0" w:type="dxa"/>
              </w:tblCellMar>
            </w:tblPr>
            <w:tblGrid>
              <w:gridCol w:w="1954"/>
              <w:gridCol w:w="1110"/>
              <w:gridCol w:w="1543"/>
              <w:gridCol w:w="982"/>
              <w:gridCol w:w="1084"/>
              <w:gridCol w:w="14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c>
                <w:tcPr>
                  <w:tcW w:w="1954" w:type="dxa"/>
                  <w:tcMar>
                    <w:left w:w="28" w:type="dxa"/>
                    <w:right w:w="28" w:type="dxa"/>
                  </w:tcMar>
                  <w:vAlign w:val="center"/>
                </w:tcPr>
                <w:p>
                  <w:pPr>
                    <w:jc w:val="center"/>
                    <w:rPr>
                      <w:color w:val="auto"/>
                      <w:szCs w:val="21"/>
                    </w:rPr>
                  </w:pPr>
                  <w:r>
                    <w:rPr>
                      <w:color w:val="auto"/>
                      <w:szCs w:val="21"/>
                    </w:rPr>
                    <w:t>污染源名称</w:t>
                  </w:r>
                </w:p>
              </w:tc>
              <w:tc>
                <w:tcPr>
                  <w:tcW w:w="1110" w:type="dxa"/>
                  <w:tcMar>
                    <w:left w:w="28" w:type="dxa"/>
                    <w:right w:w="28" w:type="dxa"/>
                  </w:tcMar>
                  <w:vAlign w:val="center"/>
                </w:tcPr>
                <w:p>
                  <w:pPr>
                    <w:jc w:val="center"/>
                    <w:rPr>
                      <w:color w:val="auto"/>
                      <w:szCs w:val="21"/>
                    </w:rPr>
                  </w:pPr>
                  <w:r>
                    <w:rPr>
                      <w:color w:val="auto"/>
                      <w:szCs w:val="21"/>
                    </w:rPr>
                    <w:t>评价因子</w:t>
                  </w:r>
                </w:p>
              </w:tc>
              <w:tc>
                <w:tcPr>
                  <w:tcW w:w="1543" w:type="dxa"/>
                  <w:tcMar>
                    <w:left w:w="28" w:type="dxa"/>
                    <w:right w:w="28" w:type="dxa"/>
                  </w:tcMar>
                  <w:vAlign w:val="center"/>
                </w:tcPr>
                <w:p>
                  <w:pPr>
                    <w:jc w:val="center"/>
                    <w:rPr>
                      <w:color w:val="auto"/>
                      <w:szCs w:val="21"/>
                    </w:rPr>
                  </w:pPr>
                  <w:r>
                    <w:rPr>
                      <w:color w:val="auto"/>
                      <w:szCs w:val="21"/>
                    </w:rPr>
                    <w:t>评价标准（μg/m</w:t>
                  </w:r>
                  <w:r>
                    <w:rPr>
                      <w:color w:val="auto"/>
                      <w:szCs w:val="21"/>
                      <w:vertAlign w:val="superscript"/>
                    </w:rPr>
                    <w:t>3</w:t>
                  </w:r>
                  <w:r>
                    <w:rPr>
                      <w:color w:val="auto"/>
                      <w:szCs w:val="21"/>
                    </w:rPr>
                    <w:t>）</w:t>
                  </w:r>
                </w:p>
              </w:tc>
              <w:tc>
                <w:tcPr>
                  <w:tcW w:w="982" w:type="dxa"/>
                  <w:tcMar>
                    <w:left w:w="28" w:type="dxa"/>
                    <w:right w:w="28" w:type="dxa"/>
                  </w:tcMar>
                  <w:vAlign w:val="center"/>
                </w:tcPr>
                <w:p>
                  <w:pPr>
                    <w:jc w:val="center"/>
                    <w:rPr>
                      <w:color w:val="auto"/>
                      <w:szCs w:val="21"/>
                    </w:rPr>
                  </w:pPr>
                  <w:r>
                    <w:rPr>
                      <w:color w:val="auto"/>
                      <w:szCs w:val="21"/>
                    </w:rPr>
                    <w:t>P</w:t>
                  </w:r>
                  <w:r>
                    <w:rPr>
                      <w:color w:val="auto"/>
                      <w:szCs w:val="21"/>
                      <w:vertAlign w:val="subscript"/>
                    </w:rPr>
                    <w:t>max</w:t>
                  </w:r>
                  <w:r>
                    <w:rPr>
                      <w:color w:val="auto"/>
                      <w:szCs w:val="21"/>
                    </w:rPr>
                    <w:t>（%）</w:t>
                  </w:r>
                </w:p>
              </w:tc>
              <w:tc>
                <w:tcPr>
                  <w:tcW w:w="1084" w:type="dxa"/>
                  <w:tcMar>
                    <w:left w:w="28" w:type="dxa"/>
                    <w:right w:w="28" w:type="dxa"/>
                  </w:tcMar>
                  <w:vAlign w:val="center"/>
                </w:tcPr>
                <w:p>
                  <w:pPr>
                    <w:jc w:val="center"/>
                    <w:rPr>
                      <w:color w:val="auto"/>
                      <w:szCs w:val="21"/>
                    </w:rPr>
                  </w:pPr>
                  <w:r>
                    <w:rPr>
                      <w:color w:val="auto"/>
                      <w:szCs w:val="21"/>
                    </w:rPr>
                    <w:t>C</w:t>
                  </w:r>
                  <w:r>
                    <w:rPr>
                      <w:color w:val="auto"/>
                      <w:szCs w:val="21"/>
                      <w:vertAlign w:val="subscript"/>
                    </w:rPr>
                    <w:t>max</w:t>
                  </w:r>
                  <w:r>
                    <w:rPr>
                      <w:color w:val="auto"/>
                      <w:szCs w:val="21"/>
                    </w:rPr>
                    <w:t>（μg/m</w:t>
                  </w:r>
                  <w:r>
                    <w:rPr>
                      <w:color w:val="auto"/>
                      <w:szCs w:val="21"/>
                      <w:vertAlign w:val="superscript"/>
                    </w:rPr>
                    <w:t>3</w:t>
                  </w:r>
                  <w:r>
                    <w:rPr>
                      <w:color w:val="auto"/>
                      <w:szCs w:val="21"/>
                    </w:rPr>
                    <w:t>）</w:t>
                  </w:r>
                </w:p>
              </w:tc>
              <w:tc>
                <w:tcPr>
                  <w:tcW w:w="1444" w:type="dxa"/>
                  <w:tcMar>
                    <w:left w:w="28" w:type="dxa"/>
                    <w:right w:w="28" w:type="dxa"/>
                  </w:tcMar>
                  <w:vAlign w:val="center"/>
                </w:tcPr>
                <w:p>
                  <w:pPr>
                    <w:jc w:val="center"/>
                    <w:rPr>
                      <w:color w:val="auto"/>
                      <w:szCs w:val="21"/>
                    </w:rPr>
                  </w:pPr>
                  <w:r>
                    <w:rPr>
                      <w:color w:val="auto"/>
                      <w:szCs w:val="21"/>
                    </w:rPr>
                    <w:t>最大落地浓度对应距离（m）</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c>
                <w:tcPr>
                  <w:tcW w:w="1954" w:type="dxa"/>
                  <w:tcMar>
                    <w:left w:w="28" w:type="dxa"/>
                    <w:right w:w="28" w:type="dxa"/>
                  </w:tcMar>
                  <w:vAlign w:val="center"/>
                </w:tcPr>
                <w:p>
                  <w:pPr>
                    <w:autoSpaceDE w:val="0"/>
                    <w:autoSpaceDN w:val="0"/>
                    <w:adjustRightInd w:val="0"/>
                    <w:jc w:val="center"/>
                    <w:rPr>
                      <w:color w:val="auto"/>
                      <w:szCs w:val="21"/>
                    </w:rPr>
                  </w:pPr>
                  <w:r>
                    <w:rPr>
                      <w:color w:val="auto"/>
                      <w:szCs w:val="21"/>
                    </w:rPr>
                    <w:t>硫铝酸盐水泥筒仓</w:t>
                  </w:r>
                  <w:r>
                    <w:rPr>
                      <w:rFonts w:hint="eastAsia"/>
                      <w:color w:val="auto"/>
                      <w:szCs w:val="21"/>
                    </w:rPr>
                    <w:t>A产线（DA001）</w:t>
                  </w:r>
                </w:p>
              </w:tc>
              <w:tc>
                <w:tcPr>
                  <w:tcW w:w="1110" w:type="dxa"/>
                  <w:tcMar>
                    <w:left w:w="28" w:type="dxa"/>
                    <w:right w:w="28" w:type="dxa"/>
                  </w:tcMar>
                  <w:vAlign w:val="center"/>
                </w:tcPr>
                <w:p>
                  <w:pPr>
                    <w:adjustRightInd w:val="0"/>
                    <w:jc w:val="center"/>
                    <w:rPr>
                      <w:color w:val="auto"/>
                      <w:szCs w:val="21"/>
                      <w:lang w:val="en-GB"/>
                    </w:rPr>
                  </w:pPr>
                  <w:r>
                    <w:rPr>
                      <w:color w:val="auto"/>
                      <w:szCs w:val="21"/>
                      <w:lang w:val="en-GB"/>
                    </w:rPr>
                    <w:t>颗粒物</w:t>
                  </w:r>
                </w:p>
              </w:tc>
              <w:tc>
                <w:tcPr>
                  <w:tcW w:w="1543" w:type="dxa"/>
                  <w:tcMar>
                    <w:left w:w="28" w:type="dxa"/>
                    <w:right w:w="28" w:type="dxa"/>
                  </w:tcMar>
                  <w:vAlign w:val="center"/>
                </w:tcPr>
                <w:p>
                  <w:pPr>
                    <w:jc w:val="center"/>
                    <w:rPr>
                      <w:color w:val="auto"/>
                      <w:szCs w:val="21"/>
                    </w:rPr>
                  </w:pPr>
                  <w:r>
                    <w:rPr>
                      <w:rFonts w:hint="eastAsia"/>
                      <w:color w:val="auto"/>
                      <w:szCs w:val="21"/>
                    </w:rPr>
                    <w:t>450</w:t>
                  </w:r>
                </w:p>
              </w:tc>
              <w:tc>
                <w:tcPr>
                  <w:tcW w:w="982" w:type="dxa"/>
                  <w:tcMar>
                    <w:left w:w="28" w:type="dxa"/>
                    <w:right w:w="28" w:type="dxa"/>
                  </w:tcMar>
                  <w:vAlign w:val="center"/>
                </w:tcPr>
                <w:p>
                  <w:pPr>
                    <w:jc w:val="center"/>
                    <w:rPr>
                      <w:color w:val="auto"/>
                      <w:szCs w:val="21"/>
                    </w:rPr>
                  </w:pPr>
                  <w:r>
                    <w:rPr>
                      <w:rFonts w:hint="eastAsia"/>
                      <w:color w:val="auto"/>
                      <w:szCs w:val="21"/>
                    </w:rPr>
                    <w:t>0.02</w:t>
                  </w:r>
                </w:p>
              </w:tc>
              <w:tc>
                <w:tcPr>
                  <w:tcW w:w="1084" w:type="dxa"/>
                  <w:tcMar>
                    <w:left w:w="28" w:type="dxa"/>
                    <w:right w:w="28" w:type="dxa"/>
                  </w:tcMar>
                  <w:vAlign w:val="center"/>
                </w:tcPr>
                <w:p>
                  <w:pPr>
                    <w:jc w:val="center"/>
                    <w:rPr>
                      <w:color w:val="auto"/>
                      <w:szCs w:val="21"/>
                    </w:rPr>
                  </w:pPr>
                  <w:r>
                    <w:rPr>
                      <w:rFonts w:hint="eastAsia"/>
                      <w:color w:val="auto"/>
                      <w:szCs w:val="21"/>
                    </w:rPr>
                    <w:t>0.1</w:t>
                  </w:r>
                </w:p>
              </w:tc>
              <w:tc>
                <w:tcPr>
                  <w:tcW w:w="1444" w:type="dxa"/>
                  <w:tcMar>
                    <w:left w:w="28" w:type="dxa"/>
                    <w:right w:w="28" w:type="dxa"/>
                  </w:tcMar>
                  <w:vAlign w:val="center"/>
                </w:tcPr>
                <w:p>
                  <w:pPr>
                    <w:jc w:val="center"/>
                    <w:rPr>
                      <w:color w:val="auto"/>
                      <w:szCs w:val="21"/>
                    </w:rPr>
                  </w:pPr>
                  <w:r>
                    <w:rPr>
                      <w:rFonts w:hint="eastAsia"/>
                      <w:color w:val="auto"/>
                      <w:szCs w:val="21"/>
                    </w:rPr>
                    <w:t>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c>
                <w:tcPr>
                  <w:tcW w:w="1954" w:type="dxa"/>
                  <w:tcMar>
                    <w:left w:w="28" w:type="dxa"/>
                    <w:right w:w="28" w:type="dxa"/>
                  </w:tcMar>
                  <w:vAlign w:val="center"/>
                </w:tcPr>
                <w:p>
                  <w:pPr>
                    <w:autoSpaceDE w:val="0"/>
                    <w:autoSpaceDN w:val="0"/>
                    <w:adjustRightInd w:val="0"/>
                    <w:jc w:val="center"/>
                    <w:rPr>
                      <w:color w:val="auto"/>
                      <w:szCs w:val="21"/>
                    </w:rPr>
                  </w:pPr>
                  <w:r>
                    <w:rPr>
                      <w:color w:val="auto"/>
                      <w:szCs w:val="21"/>
                    </w:rPr>
                    <w:t>硫铝酸盐水泥筒仓</w:t>
                  </w:r>
                  <w:r>
                    <w:rPr>
                      <w:rFonts w:hint="eastAsia"/>
                      <w:color w:val="auto"/>
                      <w:szCs w:val="21"/>
                    </w:rPr>
                    <w:t>B产线（DA002）</w:t>
                  </w:r>
                </w:p>
              </w:tc>
              <w:tc>
                <w:tcPr>
                  <w:tcW w:w="1110" w:type="dxa"/>
                  <w:tcMar>
                    <w:left w:w="28" w:type="dxa"/>
                    <w:right w:w="28" w:type="dxa"/>
                  </w:tcMar>
                  <w:vAlign w:val="center"/>
                </w:tcPr>
                <w:p>
                  <w:pPr>
                    <w:adjustRightInd w:val="0"/>
                    <w:jc w:val="center"/>
                    <w:rPr>
                      <w:color w:val="auto"/>
                      <w:szCs w:val="21"/>
                      <w:lang w:val="en-GB"/>
                    </w:rPr>
                  </w:pPr>
                  <w:r>
                    <w:rPr>
                      <w:color w:val="auto"/>
                      <w:szCs w:val="21"/>
                      <w:lang w:val="en-GB"/>
                    </w:rPr>
                    <w:t>颗粒物</w:t>
                  </w:r>
                </w:p>
              </w:tc>
              <w:tc>
                <w:tcPr>
                  <w:tcW w:w="1543" w:type="dxa"/>
                  <w:tcMar>
                    <w:left w:w="28" w:type="dxa"/>
                    <w:right w:w="28" w:type="dxa"/>
                  </w:tcMar>
                  <w:vAlign w:val="center"/>
                </w:tcPr>
                <w:p>
                  <w:pPr>
                    <w:jc w:val="center"/>
                    <w:rPr>
                      <w:color w:val="auto"/>
                      <w:szCs w:val="21"/>
                    </w:rPr>
                  </w:pPr>
                  <w:r>
                    <w:rPr>
                      <w:rFonts w:hint="eastAsia"/>
                      <w:color w:val="auto"/>
                      <w:szCs w:val="21"/>
                    </w:rPr>
                    <w:t>450</w:t>
                  </w:r>
                </w:p>
              </w:tc>
              <w:tc>
                <w:tcPr>
                  <w:tcW w:w="982" w:type="dxa"/>
                  <w:tcMar>
                    <w:left w:w="28" w:type="dxa"/>
                    <w:right w:w="28" w:type="dxa"/>
                  </w:tcMar>
                  <w:vAlign w:val="center"/>
                </w:tcPr>
                <w:p>
                  <w:pPr>
                    <w:jc w:val="center"/>
                    <w:rPr>
                      <w:color w:val="auto"/>
                      <w:szCs w:val="21"/>
                    </w:rPr>
                  </w:pPr>
                  <w:r>
                    <w:rPr>
                      <w:rFonts w:hint="eastAsia"/>
                      <w:color w:val="auto"/>
                      <w:szCs w:val="21"/>
                    </w:rPr>
                    <w:t>0.01</w:t>
                  </w:r>
                </w:p>
              </w:tc>
              <w:tc>
                <w:tcPr>
                  <w:tcW w:w="1084" w:type="dxa"/>
                  <w:tcMar>
                    <w:left w:w="28" w:type="dxa"/>
                    <w:right w:w="28" w:type="dxa"/>
                  </w:tcMar>
                  <w:vAlign w:val="center"/>
                </w:tcPr>
                <w:p>
                  <w:pPr>
                    <w:jc w:val="center"/>
                    <w:rPr>
                      <w:color w:val="auto"/>
                      <w:szCs w:val="21"/>
                    </w:rPr>
                  </w:pPr>
                  <w:r>
                    <w:rPr>
                      <w:rFonts w:hint="eastAsia"/>
                      <w:color w:val="auto"/>
                      <w:szCs w:val="21"/>
                    </w:rPr>
                    <w:t>0.03</w:t>
                  </w:r>
                </w:p>
              </w:tc>
              <w:tc>
                <w:tcPr>
                  <w:tcW w:w="1444" w:type="dxa"/>
                  <w:tcMar>
                    <w:left w:w="28" w:type="dxa"/>
                    <w:right w:w="28" w:type="dxa"/>
                  </w:tcMar>
                  <w:vAlign w:val="center"/>
                </w:tcPr>
                <w:p>
                  <w:pPr>
                    <w:jc w:val="center"/>
                    <w:rPr>
                      <w:color w:val="auto"/>
                      <w:szCs w:val="21"/>
                    </w:rPr>
                  </w:pPr>
                  <w:r>
                    <w:rPr>
                      <w:rFonts w:hint="eastAsia"/>
                      <w:color w:val="auto"/>
                      <w:szCs w:val="21"/>
                    </w:rPr>
                    <w:t>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c>
                <w:tcPr>
                  <w:tcW w:w="1954" w:type="dxa"/>
                  <w:tcMar>
                    <w:left w:w="28" w:type="dxa"/>
                    <w:right w:w="28" w:type="dxa"/>
                  </w:tcMar>
                  <w:vAlign w:val="center"/>
                </w:tcPr>
                <w:p>
                  <w:pPr>
                    <w:autoSpaceDE w:val="0"/>
                    <w:autoSpaceDN w:val="0"/>
                    <w:adjustRightInd w:val="0"/>
                    <w:jc w:val="center"/>
                    <w:rPr>
                      <w:color w:val="auto"/>
                      <w:szCs w:val="21"/>
                      <w:lang w:val="zh-CN"/>
                    </w:rPr>
                  </w:pPr>
                  <w:r>
                    <w:rPr>
                      <w:color w:val="auto"/>
                      <w:szCs w:val="21"/>
                      <w:lang w:val="zh-CN"/>
                    </w:rPr>
                    <w:t>铝酸盐水泥筒仓</w:t>
                  </w:r>
                  <w:r>
                    <w:rPr>
                      <w:rFonts w:hint="eastAsia"/>
                      <w:color w:val="auto"/>
                      <w:szCs w:val="21"/>
                    </w:rPr>
                    <w:t>（DA003）</w:t>
                  </w:r>
                </w:p>
              </w:tc>
              <w:tc>
                <w:tcPr>
                  <w:tcW w:w="1110" w:type="dxa"/>
                  <w:tcMar>
                    <w:left w:w="28" w:type="dxa"/>
                    <w:right w:w="28" w:type="dxa"/>
                  </w:tcMar>
                  <w:vAlign w:val="center"/>
                </w:tcPr>
                <w:p>
                  <w:pPr>
                    <w:adjustRightInd w:val="0"/>
                    <w:jc w:val="center"/>
                    <w:rPr>
                      <w:color w:val="auto"/>
                      <w:szCs w:val="21"/>
                      <w:lang w:val="en-GB"/>
                    </w:rPr>
                  </w:pPr>
                  <w:r>
                    <w:rPr>
                      <w:color w:val="auto"/>
                      <w:szCs w:val="21"/>
                      <w:lang w:val="en-GB"/>
                    </w:rPr>
                    <w:t>颗粒物</w:t>
                  </w:r>
                </w:p>
              </w:tc>
              <w:tc>
                <w:tcPr>
                  <w:tcW w:w="1543" w:type="dxa"/>
                  <w:tcMar>
                    <w:left w:w="28" w:type="dxa"/>
                    <w:right w:w="28" w:type="dxa"/>
                  </w:tcMar>
                  <w:vAlign w:val="center"/>
                </w:tcPr>
                <w:p>
                  <w:pPr>
                    <w:jc w:val="center"/>
                    <w:rPr>
                      <w:color w:val="auto"/>
                      <w:szCs w:val="21"/>
                    </w:rPr>
                  </w:pPr>
                  <w:r>
                    <w:rPr>
                      <w:rFonts w:hint="eastAsia"/>
                      <w:color w:val="auto"/>
                      <w:szCs w:val="21"/>
                    </w:rPr>
                    <w:t>450</w:t>
                  </w:r>
                </w:p>
              </w:tc>
              <w:tc>
                <w:tcPr>
                  <w:tcW w:w="982" w:type="dxa"/>
                  <w:tcMar>
                    <w:left w:w="28" w:type="dxa"/>
                    <w:right w:w="28" w:type="dxa"/>
                  </w:tcMar>
                  <w:vAlign w:val="center"/>
                </w:tcPr>
                <w:p>
                  <w:pPr>
                    <w:jc w:val="center"/>
                    <w:rPr>
                      <w:color w:val="auto"/>
                      <w:szCs w:val="21"/>
                    </w:rPr>
                  </w:pPr>
                  <w:r>
                    <w:rPr>
                      <w:rFonts w:hint="eastAsia"/>
                      <w:color w:val="auto"/>
                      <w:szCs w:val="21"/>
                    </w:rPr>
                    <w:t>0.03</w:t>
                  </w:r>
                </w:p>
              </w:tc>
              <w:tc>
                <w:tcPr>
                  <w:tcW w:w="1084" w:type="dxa"/>
                  <w:tcMar>
                    <w:left w:w="28" w:type="dxa"/>
                    <w:right w:w="28" w:type="dxa"/>
                  </w:tcMar>
                  <w:vAlign w:val="center"/>
                </w:tcPr>
                <w:p>
                  <w:pPr>
                    <w:jc w:val="center"/>
                    <w:rPr>
                      <w:color w:val="auto"/>
                      <w:szCs w:val="21"/>
                    </w:rPr>
                  </w:pPr>
                  <w:r>
                    <w:rPr>
                      <w:rFonts w:hint="eastAsia"/>
                      <w:color w:val="auto"/>
                      <w:szCs w:val="21"/>
                    </w:rPr>
                    <w:t>0.13</w:t>
                  </w:r>
                </w:p>
              </w:tc>
              <w:tc>
                <w:tcPr>
                  <w:tcW w:w="1444" w:type="dxa"/>
                  <w:tcMar>
                    <w:left w:w="28" w:type="dxa"/>
                    <w:right w:w="28" w:type="dxa"/>
                  </w:tcMar>
                  <w:vAlign w:val="center"/>
                </w:tcPr>
                <w:p>
                  <w:pPr>
                    <w:jc w:val="center"/>
                    <w:rPr>
                      <w:color w:val="auto"/>
                      <w:szCs w:val="21"/>
                    </w:rPr>
                  </w:pPr>
                  <w:r>
                    <w:rPr>
                      <w:rFonts w:hint="eastAsia"/>
                      <w:color w:val="auto"/>
                      <w:szCs w:val="21"/>
                    </w:rPr>
                    <w:t>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c>
                <w:tcPr>
                  <w:tcW w:w="1954" w:type="dxa"/>
                  <w:tcMar>
                    <w:left w:w="28" w:type="dxa"/>
                    <w:right w:w="28" w:type="dxa"/>
                  </w:tcMar>
                  <w:vAlign w:val="center"/>
                </w:tcPr>
                <w:p>
                  <w:pPr>
                    <w:autoSpaceDE w:val="0"/>
                    <w:autoSpaceDN w:val="0"/>
                    <w:adjustRightInd w:val="0"/>
                    <w:jc w:val="center"/>
                    <w:rPr>
                      <w:color w:val="auto"/>
                      <w:szCs w:val="21"/>
                      <w:lang w:val="zh-CN"/>
                    </w:rPr>
                  </w:pPr>
                  <w:r>
                    <w:rPr>
                      <w:color w:val="auto"/>
                      <w:szCs w:val="21"/>
                      <w:lang w:val="zh-CN"/>
                    </w:rPr>
                    <w:t>普通硅酸盐水泥筒仓</w:t>
                  </w:r>
                  <w:r>
                    <w:rPr>
                      <w:rFonts w:hint="eastAsia"/>
                      <w:color w:val="auto"/>
                      <w:szCs w:val="21"/>
                    </w:rPr>
                    <w:t>（DA004）</w:t>
                  </w:r>
                </w:p>
              </w:tc>
              <w:tc>
                <w:tcPr>
                  <w:tcW w:w="1110" w:type="dxa"/>
                  <w:tcMar>
                    <w:left w:w="28" w:type="dxa"/>
                    <w:right w:w="28" w:type="dxa"/>
                  </w:tcMar>
                  <w:vAlign w:val="center"/>
                </w:tcPr>
                <w:p>
                  <w:pPr>
                    <w:adjustRightInd w:val="0"/>
                    <w:jc w:val="center"/>
                    <w:rPr>
                      <w:color w:val="auto"/>
                      <w:szCs w:val="21"/>
                      <w:lang w:val="en-GB"/>
                    </w:rPr>
                  </w:pPr>
                  <w:r>
                    <w:rPr>
                      <w:color w:val="auto"/>
                      <w:szCs w:val="21"/>
                      <w:lang w:val="en-GB"/>
                    </w:rPr>
                    <w:t>颗粒物</w:t>
                  </w:r>
                </w:p>
              </w:tc>
              <w:tc>
                <w:tcPr>
                  <w:tcW w:w="1543" w:type="dxa"/>
                  <w:tcMar>
                    <w:left w:w="28" w:type="dxa"/>
                    <w:right w:w="28" w:type="dxa"/>
                  </w:tcMar>
                  <w:vAlign w:val="center"/>
                </w:tcPr>
                <w:p>
                  <w:pPr>
                    <w:jc w:val="center"/>
                    <w:rPr>
                      <w:color w:val="auto"/>
                      <w:szCs w:val="21"/>
                    </w:rPr>
                  </w:pPr>
                  <w:r>
                    <w:rPr>
                      <w:rFonts w:hint="eastAsia"/>
                      <w:color w:val="auto"/>
                      <w:szCs w:val="21"/>
                    </w:rPr>
                    <w:t>450</w:t>
                  </w:r>
                </w:p>
              </w:tc>
              <w:tc>
                <w:tcPr>
                  <w:tcW w:w="982" w:type="dxa"/>
                  <w:tcMar>
                    <w:left w:w="28" w:type="dxa"/>
                    <w:right w:w="28" w:type="dxa"/>
                  </w:tcMar>
                  <w:vAlign w:val="center"/>
                </w:tcPr>
                <w:p>
                  <w:pPr>
                    <w:jc w:val="center"/>
                    <w:rPr>
                      <w:color w:val="auto"/>
                      <w:szCs w:val="21"/>
                    </w:rPr>
                  </w:pPr>
                  <w:r>
                    <w:rPr>
                      <w:rFonts w:hint="eastAsia"/>
                      <w:color w:val="auto"/>
                      <w:szCs w:val="21"/>
                    </w:rPr>
                    <w:t>0.03</w:t>
                  </w:r>
                </w:p>
              </w:tc>
              <w:tc>
                <w:tcPr>
                  <w:tcW w:w="1084" w:type="dxa"/>
                  <w:tcMar>
                    <w:left w:w="28" w:type="dxa"/>
                    <w:right w:w="28" w:type="dxa"/>
                  </w:tcMar>
                  <w:vAlign w:val="center"/>
                </w:tcPr>
                <w:p>
                  <w:pPr>
                    <w:jc w:val="center"/>
                    <w:rPr>
                      <w:color w:val="auto"/>
                      <w:szCs w:val="21"/>
                    </w:rPr>
                  </w:pPr>
                  <w:r>
                    <w:rPr>
                      <w:rFonts w:hint="eastAsia"/>
                      <w:color w:val="auto"/>
                      <w:szCs w:val="21"/>
                    </w:rPr>
                    <w:t>0.13</w:t>
                  </w:r>
                </w:p>
              </w:tc>
              <w:tc>
                <w:tcPr>
                  <w:tcW w:w="1444" w:type="dxa"/>
                  <w:tcMar>
                    <w:left w:w="28" w:type="dxa"/>
                    <w:right w:w="28" w:type="dxa"/>
                  </w:tcMar>
                  <w:vAlign w:val="center"/>
                </w:tcPr>
                <w:p>
                  <w:pPr>
                    <w:jc w:val="center"/>
                    <w:rPr>
                      <w:color w:val="auto"/>
                      <w:szCs w:val="21"/>
                    </w:rPr>
                  </w:pPr>
                  <w:r>
                    <w:rPr>
                      <w:rFonts w:hint="eastAsia"/>
                      <w:color w:val="auto"/>
                      <w:szCs w:val="21"/>
                    </w:rPr>
                    <w:t>92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c>
                <w:tcPr>
                  <w:tcW w:w="1954" w:type="dxa"/>
                  <w:tcMar>
                    <w:left w:w="28" w:type="dxa"/>
                    <w:right w:w="28" w:type="dxa"/>
                  </w:tcMar>
                  <w:vAlign w:val="center"/>
                </w:tcPr>
                <w:p>
                  <w:pPr>
                    <w:jc w:val="center"/>
                    <w:rPr>
                      <w:color w:val="auto"/>
                      <w:szCs w:val="21"/>
                    </w:rPr>
                  </w:pPr>
                  <w:r>
                    <w:rPr>
                      <w:color w:val="auto"/>
                      <w:szCs w:val="21"/>
                    </w:rPr>
                    <w:t>砂石筒仓</w:t>
                  </w:r>
                  <w:r>
                    <w:rPr>
                      <w:rFonts w:hint="eastAsia"/>
                      <w:color w:val="auto"/>
                      <w:szCs w:val="21"/>
                    </w:rPr>
                    <w:t>（DA005）</w:t>
                  </w:r>
                </w:p>
              </w:tc>
              <w:tc>
                <w:tcPr>
                  <w:tcW w:w="1110" w:type="dxa"/>
                  <w:tcMar>
                    <w:left w:w="28" w:type="dxa"/>
                    <w:right w:w="28" w:type="dxa"/>
                  </w:tcMar>
                  <w:vAlign w:val="center"/>
                </w:tcPr>
                <w:p>
                  <w:pPr>
                    <w:adjustRightInd w:val="0"/>
                    <w:jc w:val="center"/>
                    <w:rPr>
                      <w:color w:val="auto"/>
                      <w:szCs w:val="21"/>
                      <w:lang w:val="en-GB"/>
                    </w:rPr>
                  </w:pPr>
                  <w:r>
                    <w:rPr>
                      <w:color w:val="auto"/>
                      <w:szCs w:val="21"/>
                      <w:lang w:val="en-GB"/>
                    </w:rPr>
                    <w:t>颗粒物</w:t>
                  </w:r>
                </w:p>
              </w:tc>
              <w:tc>
                <w:tcPr>
                  <w:tcW w:w="1543" w:type="dxa"/>
                  <w:tcMar>
                    <w:left w:w="28" w:type="dxa"/>
                    <w:right w:w="28" w:type="dxa"/>
                  </w:tcMar>
                  <w:vAlign w:val="center"/>
                </w:tcPr>
                <w:p>
                  <w:pPr>
                    <w:jc w:val="center"/>
                    <w:rPr>
                      <w:color w:val="auto"/>
                      <w:szCs w:val="21"/>
                    </w:rPr>
                  </w:pPr>
                  <w:r>
                    <w:rPr>
                      <w:rFonts w:hint="eastAsia"/>
                      <w:color w:val="auto"/>
                      <w:szCs w:val="21"/>
                    </w:rPr>
                    <w:t>450</w:t>
                  </w:r>
                </w:p>
              </w:tc>
              <w:tc>
                <w:tcPr>
                  <w:tcW w:w="982" w:type="dxa"/>
                  <w:tcMar>
                    <w:left w:w="28" w:type="dxa"/>
                    <w:right w:w="28" w:type="dxa"/>
                  </w:tcMar>
                  <w:vAlign w:val="center"/>
                </w:tcPr>
                <w:p>
                  <w:pPr>
                    <w:jc w:val="center"/>
                    <w:rPr>
                      <w:color w:val="auto"/>
                      <w:szCs w:val="21"/>
                    </w:rPr>
                  </w:pPr>
                  <w:r>
                    <w:rPr>
                      <w:rFonts w:hint="eastAsia"/>
                      <w:color w:val="auto"/>
                      <w:szCs w:val="21"/>
                    </w:rPr>
                    <w:t>0.02</w:t>
                  </w:r>
                </w:p>
              </w:tc>
              <w:tc>
                <w:tcPr>
                  <w:tcW w:w="1084" w:type="dxa"/>
                  <w:tcMar>
                    <w:left w:w="28" w:type="dxa"/>
                    <w:right w:w="28" w:type="dxa"/>
                  </w:tcMar>
                  <w:vAlign w:val="center"/>
                </w:tcPr>
                <w:p>
                  <w:pPr>
                    <w:jc w:val="center"/>
                    <w:rPr>
                      <w:color w:val="auto"/>
                      <w:szCs w:val="21"/>
                    </w:rPr>
                  </w:pPr>
                  <w:r>
                    <w:rPr>
                      <w:rFonts w:hint="eastAsia"/>
                      <w:color w:val="auto"/>
                      <w:szCs w:val="21"/>
                    </w:rPr>
                    <w:t>0.09</w:t>
                  </w:r>
                </w:p>
              </w:tc>
              <w:tc>
                <w:tcPr>
                  <w:tcW w:w="1444" w:type="dxa"/>
                  <w:tcMar>
                    <w:left w:w="28" w:type="dxa"/>
                    <w:right w:w="28" w:type="dxa"/>
                  </w:tcMar>
                  <w:vAlign w:val="center"/>
                </w:tcPr>
                <w:p>
                  <w:pPr>
                    <w:jc w:val="center"/>
                    <w:rPr>
                      <w:color w:val="auto"/>
                      <w:szCs w:val="21"/>
                    </w:rPr>
                  </w:pPr>
                  <w:r>
                    <w:rPr>
                      <w:rFonts w:hint="eastAsia"/>
                      <w:color w:val="auto"/>
                      <w:szCs w:val="21"/>
                    </w:rPr>
                    <w:t>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c>
                <w:tcPr>
                  <w:tcW w:w="1954" w:type="dxa"/>
                  <w:tcMar>
                    <w:left w:w="28" w:type="dxa"/>
                    <w:right w:w="28" w:type="dxa"/>
                  </w:tcMar>
                  <w:vAlign w:val="center"/>
                </w:tcPr>
                <w:p>
                  <w:pPr>
                    <w:jc w:val="center"/>
                    <w:rPr>
                      <w:color w:val="auto"/>
                      <w:szCs w:val="21"/>
                    </w:rPr>
                  </w:pPr>
                  <w:r>
                    <w:rPr>
                      <w:rFonts w:hint="eastAsia"/>
                      <w:color w:val="auto"/>
                      <w:szCs w:val="21"/>
                      <w:highlight w:val="none"/>
                    </w:rPr>
                    <w:t>上料、配料、混料、包装工序</w:t>
                  </w:r>
                  <w:r>
                    <w:rPr>
                      <w:color w:val="auto"/>
                      <w:szCs w:val="21"/>
                      <w:highlight w:val="none"/>
                    </w:rPr>
                    <w:t>排气筒</w:t>
                  </w:r>
                  <w:r>
                    <w:rPr>
                      <w:rFonts w:hint="eastAsia"/>
                      <w:color w:val="auto"/>
                      <w:szCs w:val="21"/>
                      <w:highlight w:val="none"/>
                    </w:rPr>
                    <w:t>（DA006）</w:t>
                  </w:r>
                </w:p>
              </w:tc>
              <w:tc>
                <w:tcPr>
                  <w:tcW w:w="1110" w:type="dxa"/>
                  <w:tcMar>
                    <w:left w:w="28" w:type="dxa"/>
                    <w:right w:w="28" w:type="dxa"/>
                  </w:tcMar>
                  <w:vAlign w:val="center"/>
                </w:tcPr>
                <w:p>
                  <w:pPr>
                    <w:adjustRightInd w:val="0"/>
                    <w:jc w:val="center"/>
                    <w:rPr>
                      <w:color w:val="auto"/>
                      <w:szCs w:val="21"/>
                      <w:lang w:val="en-GB"/>
                    </w:rPr>
                  </w:pPr>
                  <w:r>
                    <w:rPr>
                      <w:color w:val="auto"/>
                      <w:szCs w:val="21"/>
                      <w:lang w:val="en-GB"/>
                    </w:rPr>
                    <w:t>颗粒物</w:t>
                  </w:r>
                </w:p>
              </w:tc>
              <w:tc>
                <w:tcPr>
                  <w:tcW w:w="1543" w:type="dxa"/>
                  <w:tcMar>
                    <w:left w:w="28" w:type="dxa"/>
                    <w:right w:w="28" w:type="dxa"/>
                  </w:tcMar>
                  <w:vAlign w:val="center"/>
                </w:tcPr>
                <w:p>
                  <w:pPr>
                    <w:jc w:val="center"/>
                    <w:rPr>
                      <w:color w:val="auto"/>
                      <w:szCs w:val="21"/>
                    </w:rPr>
                  </w:pPr>
                  <w:r>
                    <w:rPr>
                      <w:rFonts w:hint="eastAsia"/>
                      <w:color w:val="auto"/>
                      <w:szCs w:val="21"/>
                    </w:rPr>
                    <w:t>450</w:t>
                  </w:r>
                </w:p>
              </w:tc>
              <w:tc>
                <w:tcPr>
                  <w:tcW w:w="982" w:type="dxa"/>
                  <w:tcMar>
                    <w:left w:w="28" w:type="dxa"/>
                    <w:right w:w="28" w:type="dxa"/>
                  </w:tcMar>
                  <w:vAlign w:val="center"/>
                </w:tcPr>
                <w:p>
                  <w:pPr>
                    <w:jc w:val="center"/>
                    <w:rPr>
                      <w:color w:val="auto"/>
                      <w:szCs w:val="21"/>
                    </w:rPr>
                  </w:pPr>
                  <w:r>
                    <w:rPr>
                      <w:rFonts w:hint="eastAsia"/>
                      <w:color w:val="auto"/>
                      <w:szCs w:val="21"/>
                    </w:rPr>
                    <w:t>0.01</w:t>
                  </w:r>
                </w:p>
              </w:tc>
              <w:tc>
                <w:tcPr>
                  <w:tcW w:w="1084" w:type="dxa"/>
                  <w:tcMar>
                    <w:left w:w="28" w:type="dxa"/>
                    <w:right w:w="28" w:type="dxa"/>
                  </w:tcMar>
                  <w:vAlign w:val="center"/>
                </w:tcPr>
                <w:p>
                  <w:pPr>
                    <w:jc w:val="center"/>
                    <w:rPr>
                      <w:color w:val="auto"/>
                      <w:szCs w:val="21"/>
                    </w:rPr>
                  </w:pPr>
                  <w:r>
                    <w:rPr>
                      <w:rFonts w:hint="eastAsia"/>
                      <w:color w:val="auto"/>
                      <w:szCs w:val="21"/>
                    </w:rPr>
                    <w:t>0.05</w:t>
                  </w:r>
                </w:p>
              </w:tc>
              <w:tc>
                <w:tcPr>
                  <w:tcW w:w="1444" w:type="dxa"/>
                  <w:tcMar>
                    <w:left w:w="28" w:type="dxa"/>
                    <w:right w:w="28" w:type="dxa"/>
                  </w:tcMar>
                  <w:vAlign w:val="center"/>
                </w:tcPr>
                <w:p>
                  <w:pPr>
                    <w:jc w:val="center"/>
                    <w:rPr>
                      <w:color w:val="auto"/>
                      <w:szCs w:val="21"/>
                    </w:rPr>
                  </w:pPr>
                  <w:r>
                    <w:rPr>
                      <w:rFonts w:hint="eastAsia"/>
                      <w:color w:val="auto"/>
                      <w:szCs w:val="21"/>
                    </w:rPr>
                    <w:t>122</w:t>
                  </w:r>
                </w:p>
              </w:tc>
            </w:tr>
          </w:tbl>
          <w:p>
            <w:pPr>
              <w:autoSpaceDE w:val="0"/>
              <w:autoSpaceDN w:val="0"/>
              <w:adjustRightInd w:val="0"/>
              <w:spacing w:before="120" w:beforeLines="50"/>
              <w:ind w:firstLine="482" w:firstLineChars="200"/>
              <w:jc w:val="center"/>
              <w:rPr>
                <w:b/>
                <w:snapToGrid w:val="0"/>
                <w:color w:val="auto"/>
                <w:sz w:val="24"/>
                <w:lang w:val="zh-CN"/>
              </w:rPr>
            </w:pPr>
            <w:r>
              <w:rPr>
                <w:b/>
                <w:snapToGrid w:val="0"/>
                <w:color w:val="auto"/>
                <w:sz w:val="24"/>
                <w:lang w:val="zh-CN"/>
              </w:rPr>
              <w:t>表4-</w:t>
            </w:r>
            <w:r>
              <w:rPr>
                <w:rFonts w:hint="eastAsia"/>
                <w:b/>
                <w:snapToGrid w:val="0"/>
                <w:color w:val="auto"/>
                <w:sz w:val="24"/>
                <w:lang w:val="zh-CN"/>
              </w:rPr>
              <w:t>6</w:t>
            </w:r>
            <w:r>
              <w:rPr>
                <w:b/>
                <w:snapToGrid w:val="0"/>
                <w:color w:val="auto"/>
                <w:sz w:val="24"/>
                <w:lang w:val="zh-CN"/>
              </w:rPr>
              <w:t xml:space="preserve">   废气无组织排放预测结果</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0" w:type="dxa"/>
                <w:bottom w:w="0" w:type="dxa"/>
                <w:right w:w="0" w:type="dxa"/>
              </w:tblCellMar>
            </w:tblPr>
            <w:tblGrid>
              <w:gridCol w:w="1128"/>
              <w:gridCol w:w="1110"/>
              <w:gridCol w:w="1544"/>
              <w:gridCol w:w="982"/>
              <w:gridCol w:w="1405"/>
              <w:gridCol w:w="194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45" w:hRule="atLeast"/>
              </w:trPr>
              <w:tc>
                <w:tcPr>
                  <w:tcW w:w="1128" w:type="dxa"/>
                  <w:tcMar>
                    <w:left w:w="28" w:type="dxa"/>
                    <w:right w:w="28" w:type="dxa"/>
                  </w:tcMar>
                  <w:vAlign w:val="center"/>
                </w:tcPr>
                <w:p>
                  <w:pPr>
                    <w:jc w:val="center"/>
                    <w:rPr>
                      <w:color w:val="auto"/>
                      <w:szCs w:val="21"/>
                    </w:rPr>
                  </w:pPr>
                  <w:r>
                    <w:rPr>
                      <w:color w:val="auto"/>
                      <w:szCs w:val="21"/>
                    </w:rPr>
                    <w:t>污染源名称</w:t>
                  </w:r>
                </w:p>
              </w:tc>
              <w:tc>
                <w:tcPr>
                  <w:tcW w:w="1110" w:type="dxa"/>
                  <w:tcMar>
                    <w:left w:w="28" w:type="dxa"/>
                    <w:right w:w="28" w:type="dxa"/>
                  </w:tcMar>
                  <w:vAlign w:val="center"/>
                </w:tcPr>
                <w:p>
                  <w:pPr>
                    <w:jc w:val="center"/>
                    <w:rPr>
                      <w:color w:val="auto"/>
                      <w:szCs w:val="21"/>
                    </w:rPr>
                  </w:pPr>
                  <w:r>
                    <w:rPr>
                      <w:color w:val="auto"/>
                      <w:szCs w:val="21"/>
                    </w:rPr>
                    <w:t>评价因子</w:t>
                  </w:r>
                </w:p>
              </w:tc>
              <w:tc>
                <w:tcPr>
                  <w:tcW w:w="1544" w:type="dxa"/>
                  <w:tcMar>
                    <w:left w:w="28" w:type="dxa"/>
                    <w:right w:w="28" w:type="dxa"/>
                  </w:tcMar>
                  <w:vAlign w:val="center"/>
                </w:tcPr>
                <w:p>
                  <w:pPr>
                    <w:jc w:val="center"/>
                    <w:rPr>
                      <w:color w:val="auto"/>
                      <w:szCs w:val="21"/>
                    </w:rPr>
                  </w:pPr>
                  <w:r>
                    <w:rPr>
                      <w:color w:val="auto"/>
                      <w:szCs w:val="21"/>
                    </w:rPr>
                    <w:t>评价标准（μg/m</w:t>
                  </w:r>
                  <w:r>
                    <w:rPr>
                      <w:color w:val="auto"/>
                      <w:szCs w:val="21"/>
                      <w:vertAlign w:val="superscript"/>
                    </w:rPr>
                    <w:t>3</w:t>
                  </w:r>
                  <w:r>
                    <w:rPr>
                      <w:color w:val="auto"/>
                      <w:szCs w:val="21"/>
                    </w:rPr>
                    <w:t>）</w:t>
                  </w:r>
                </w:p>
              </w:tc>
              <w:tc>
                <w:tcPr>
                  <w:tcW w:w="982" w:type="dxa"/>
                  <w:tcMar>
                    <w:left w:w="28" w:type="dxa"/>
                    <w:right w:w="28" w:type="dxa"/>
                  </w:tcMar>
                  <w:vAlign w:val="center"/>
                </w:tcPr>
                <w:p>
                  <w:pPr>
                    <w:jc w:val="center"/>
                    <w:rPr>
                      <w:color w:val="auto"/>
                      <w:szCs w:val="21"/>
                    </w:rPr>
                  </w:pPr>
                  <w:r>
                    <w:rPr>
                      <w:color w:val="auto"/>
                      <w:szCs w:val="21"/>
                    </w:rPr>
                    <w:t>P</w:t>
                  </w:r>
                  <w:r>
                    <w:rPr>
                      <w:color w:val="auto"/>
                      <w:szCs w:val="21"/>
                      <w:vertAlign w:val="subscript"/>
                    </w:rPr>
                    <w:t>max</w:t>
                  </w:r>
                  <w:r>
                    <w:rPr>
                      <w:color w:val="auto"/>
                      <w:szCs w:val="21"/>
                    </w:rPr>
                    <w:t>（%）</w:t>
                  </w:r>
                </w:p>
              </w:tc>
              <w:tc>
                <w:tcPr>
                  <w:tcW w:w="1405" w:type="dxa"/>
                  <w:tcMar>
                    <w:left w:w="28" w:type="dxa"/>
                    <w:right w:w="28" w:type="dxa"/>
                  </w:tcMar>
                  <w:vAlign w:val="center"/>
                </w:tcPr>
                <w:p>
                  <w:pPr>
                    <w:jc w:val="center"/>
                    <w:rPr>
                      <w:color w:val="auto"/>
                      <w:szCs w:val="21"/>
                    </w:rPr>
                  </w:pPr>
                  <w:r>
                    <w:rPr>
                      <w:color w:val="auto"/>
                      <w:szCs w:val="21"/>
                    </w:rPr>
                    <w:t>C</w:t>
                  </w:r>
                  <w:r>
                    <w:rPr>
                      <w:color w:val="auto"/>
                      <w:szCs w:val="21"/>
                      <w:vertAlign w:val="subscript"/>
                    </w:rPr>
                    <w:t>max</w:t>
                  </w:r>
                  <w:r>
                    <w:rPr>
                      <w:color w:val="auto"/>
                      <w:szCs w:val="21"/>
                    </w:rPr>
                    <w:t>（μg/m</w:t>
                  </w:r>
                  <w:r>
                    <w:rPr>
                      <w:color w:val="auto"/>
                      <w:szCs w:val="21"/>
                      <w:vertAlign w:val="superscript"/>
                    </w:rPr>
                    <w:t>3</w:t>
                  </w:r>
                  <w:r>
                    <w:rPr>
                      <w:color w:val="auto"/>
                      <w:szCs w:val="21"/>
                    </w:rPr>
                    <w:t>）</w:t>
                  </w:r>
                </w:p>
              </w:tc>
              <w:tc>
                <w:tcPr>
                  <w:tcW w:w="1948" w:type="dxa"/>
                  <w:tcMar>
                    <w:left w:w="28" w:type="dxa"/>
                    <w:right w:w="28" w:type="dxa"/>
                  </w:tcMar>
                  <w:vAlign w:val="center"/>
                </w:tcPr>
                <w:p>
                  <w:pPr>
                    <w:jc w:val="center"/>
                    <w:rPr>
                      <w:color w:val="auto"/>
                      <w:szCs w:val="21"/>
                    </w:rPr>
                  </w:pPr>
                  <w:r>
                    <w:rPr>
                      <w:color w:val="auto"/>
                      <w:szCs w:val="21"/>
                    </w:rPr>
                    <w:t>最大落地浓度对应距离（m）</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c>
                <w:tcPr>
                  <w:tcW w:w="1128" w:type="dxa"/>
                  <w:tcMar>
                    <w:left w:w="28" w:type="dxa"/>
                    <w:right w:w="28" w:type="dxa"/>
                  </w:tcMar>
                  <w:vAlign w:val="center"/>
                </w:tcPr>
                <w:p>
                  <w:pPr>
                    <w:pStyle w:val="49"/>
                    <w:rPr>
                      <w:color w:val="auto"/>
                    </w:rPr>
                  </w:pPr>
                  <w:r>
                    <w:rPr>
                      <w:color w:val="auto"/>
                    </w:rPr>
                    <w:t>厂房</w:t>
                  </w:r>
                </w:p>
              </w:tc>
              <w:tc>
                <w:tcPr>
                  <w:tcW w:w="1110" w:type="dxa"/>
                  <w:tcMar>
                    <w:left w:w="28" w:type="dxa"/>
                    <w:right w:w="28" w:type="dxa"/>
                  </w:tcMar>
                  <w:vAlign w:val="center"/>
                </w:tcPr>
                <w:p>
                  <w:pPr>
                    <w:adjustRightInd w:val="0"/>
                    <w:jc w:val="center"/>
                    <w:rPr>
                      <w:color w:val="auto"/>
                      <w:szCs w:val="21"/>
                      <w:lang w:val="en-GB"/>
                    </w:rPr>
                  </w:pPr>
                  <w:r>
                    <w:rPr>
                      <w:color w:val="auto"/>
                      <w:szCs w:val="21"/>
                      <w:lang w:val="en-GB"/>
                    </w:rPr>
                    <w:t>颗粒物</w:t>
                  </w:r>
                </w:p>
              </w:tc>
              <w:tc>
                <w:tcPr>
                  <w:tcW w:w="1544" w:type="dxa"/>
                  <w:tcMar>
                    <w:left w:w="28" w:type="dxa"/>
                    <w:right w:w="28" w:type="dxa"/>
                  </w:tcMar>
                  <w:vAlign w:val="center"/>
                </w:tcPr>
                <w:p>
                  <w:pPr>
                    <w:jc w:val="center"/>
                    <w:rPr>
                      <w:color w:val="auto"/>
                      <w:szCs w:val="21"/>
                    </w:rPr>
                  </w:pPr>
                  <w:r>
                    <w:rPr>
                      <w:rFonts w:hint="eastAsia"/>
                      <w:color w:val="auto"/>
                      <w:szCs w:val="21"/>
                    </w:rPr>
                    <w:t>900</w:t>
                  </w:r>
                </w:p>
              </w:tc>
              <w:tc>
                <w:tcPr>
                  <w:tcW w:w="982" w:type="dxa"/>
                  <w:tcMar>
                    <w:left w:w="28" w:type="dxa"/>
                    <w:right w:w="28" w:type="dxa"/>
                  </w:tcMar>
                  <w:vAlign w:val="center"/>
                </w:tcPr>
                <w:p>
                  <w:pPr>
                    <w:jc w:val="center"/>
                    <w:rPr>
                      <w:color w:val="auto"/>
                      <w:szCs w:val="21"/>
                    </w:rPr>
                  </w:pPr>
                  <w:r>
                    <w:rPr>
                      <w:rFonts w:hint="eastAsia"/>
                      <w:color w:val="auto"/>
                      <w:szCs w:val="21"/>
                    </w:rPr>
                    <w:t>1.84</w:t>
                  </w:r>
                </w:p>
              </w:tc>
              <w:tc>
                <w:tcPr>
                  <w:tcW w:w="1405" w:type="dxa"/>
                  <w:tcMar>
                    <w:left w:w="28" w:type="dxa"/>
                    <w:right w:w="28" w:type="dxa"/>
                  </w:tcMar>
                  <w:vAlign w:val="center"/>
                </w:tcPr>
                <w:p>
                  <w:pPr>
                    <w:jc w:val="center"/>
                    <w:rPr>
                      <w:color w:val="auto"/>
                      <w:szCs w:val="21"/>
                    </w:rPr>
                  </w:pPr>
                  <w:r>
                    <w:rPr>
                      <w:rFonts w:hint="eastAsia"/>
                      <w:color w:val="auto"/>
                      <w:szCs w:val="21"/>
                    </w:rPr>
                    <w:t>16.53</w:t>
                  </w:r>
                </w:p>
              </w:tc>
              <w:tc>
                <w:tcPr>
                  <w:tcW w:w="1948" w:type="dxa"/>
                  <w:tcMar>
                    <w:left w:w="28" w:type="dxa"/>
                    <w:right w:w="28" w:type="dxa"/>
                  </w:tcMar>
                  <w:vAlign w:val="center"/>
                </w:tcPr>
                <w:p>
                  <w:pPr>
                    <w:jc w:val="center"/>
                    <w:rPr>
                      <w:color w:val="auto"/>
                      <w:szCs w:val="21"/>
                    </w:rPr>
                  </w:pPr>
                  <w:r>
                    <w:rPr>
                      <w:rFonts w:hint="eastAsia"/>
                      <w:color w:val="auto"/>
                      <w:szCs w:val="21"/>
                    </w:rPr>
                    <w:t>105</w:t>
                  </w:r>
                </w:p>
              </w:tc>
            </w:tr>
          </w:tbl>
          <w:p>
            <w:pPr>
              <w:spacing w:line="360" w:lineRule="auto"/>
              <w:ind w:firstLine="480" w:firstLineChars="200"/>
              <w:rPr>
                <w:rFonts w:ascii="宋体" w:hAnsi="宋体" w:cs="宋体"/>
                <w:color w:val="auto"/>
                <w:sz w:val="24"/>
              </w:rPr>
            </w:pPr>
            <w:r>
              <w:rPr>
                <w:rFonts w:ascii="宋体" w:hAnsi="宋体" w:cs="宋体"/>
                <w:color w:val="auto"/>
                <w:sz w:val="24"/>
              </w:rPr>
              <w:t>由上表可知，项目颗粒物最大落地浓度符合《环境空气质量标准》中限值（≤0.3mg/m</w:t>
            </w:r>
            <w:r>
              <w:rPr>
                <w:rFonts w:ascii="宋体" w:hAnsi="宋体" w:cs="宋体"/>
                <w:color w:val="auto"/>
                <w:sz w:val="24"/>
                <w:vertAlign w:val="superscript"/>
              </w:rPr>
              <w:t>3</w:t>
            </w:r>
            <w:r>
              <w:rPr>
                <w:rFonts w:ascii="宋体" w:hAnsi="宋体" w:cs="宋体"/>
                <w:color w:val="auto"/>
                <w:sz w:val="24"/>
              </w:rPr>
              <w:t>）要求。</w:t>
            </w:r>
          </w:p>
          <w:p>
            <w:pPr>
              <w:spacing w:line="360" w:lineRule="auto"/>
              <w:ind w:firstLine="480" w:firstLineChars="200"/>
              <w:rPr>
                <w:rFonts w:ascii="宋体" w:hAnsi="宋体" w:cs="宋体"/>
                <w:color w:val="auto"/>
                <w:sz w:val="24"/>
              </w:rPr>
            </w:pPr>
            <w:r>
              <w:rPr>
                <w:rFonts w:ascii="宋体" w:hAnsi="宋体" w:cs="宋体"/>
                <w:color w:val="auto"/>
                <w:sz w:val="24"/>
              </w:rPr>
              <w:t>因此，本项目运营期废气排放对周围环境空气贡献值很小。</w:t>
            </w:r>
          </w:p>
          <w:p>
            <w:pPr>
              <w:adjustRightInd w:val="0"/>
              <w:spacing w:line="360" w:lineRule="auto"/>
              <w:ind w:firstLine="480" w:firstLineChars="200"/>
              <w:rPr>
                <w:color w:val="auto"/>
                <w:sz w:val="24"/>
              </w:rPr>
            </w:pPr>
            <w:r>
              <w:rPr>
                <w:rFonts w:hint="eastAsia"/>
                <w:color w:val="auto"/>
                <w:sz w:val="24"/>
              </w:rPr>
              <w:t>（3）废气达标排放情况</w:t>
            </w:r>
          </w:p>
          <w:p>
            <w:pPr>
              <w:adjustRightInd w:val="0"/>
              <w:spacing w:line="360" w:lineRule="auto"/>
              <w:ind w:firstLine="480" w:firstLineChars="200"/>
              <w:rPr>
                <w:color w:val="auto"/>
                <w:sz w:val="24"/>
              </w:rPr>
            </w:pPr>
            <w:r>
              <w:rPr>
                <w:rFonts w:hint="eastAsia"/>
                <w:color w:val="auto"/>
                <w:sz w:val="24"/>
              </w:rPr>
              <w:t>项目排放的污染物均为颗粒物，其中仓顶除尘器排放口最大排放速率为0.004 kg/h，最大排放浓度为4.55 mg/m</w:t>
            </w:r>
            <w:r>
              <w:rPr>
                <w:rFonts w:hint="eastAsia"/>
                <w:color w:val="auto"/>
                <w:sz w:val="24"/>
                <w:vertAlign w:val="superscript"/>
              </w:rPr>
              <w:t>3</w:t>
            </w:r>
            <w:r>
              <w:rPr>
                <w:rFonts w:hint="eastAsia"/>
                <w:color w:val="auto"/>
                <w:sz w:val="24"/>
              </w:rPr>
              <w:t>，符合《大气污染物综合排放标准》（GB16297-1996）中相关标准要求（19m高排气筒对应的：最高允许排放速率5.42kg/h，最高允许排放浓度120 mg/m</w:t>
            </w:r>
            <w:r>
              <w:rPr>
                <w:rFonts w:hint="eastAsia"/>
                <w:color w:val="auto"/>
                <w:sz w:val="24"/>
                <w:vertAlign w:val="superscript"/>
              </w:rPr>
              <w:t>3</w:t>
            </w:r>
            <w:r>
              <w:rPr>
                <w:rFonts w:hint="eastAsia"/>
                <w:color w:val="auto"/>
                <w:sz w:val="24"/>
              </w:rPr>
              <w:t>）。上料、配料、混料、包装工序粉尘的排气筒最大排放速率为0.004 kg/h，最大排放浓度为0.854 mg/m</w:t>
            </w:r>
            <w:r>
              <w:rPr>
                <w:rFonts w:hint="eastAsia"/>
                <w:color w:val="auto"/>
                <w:sz w:val="24"/>
                <w:vertAlign w:val="superscript"/>
              </w:rPr>
              <w:t>3</w:t>
            </w:r>
            <w:r>
              <w:rPr>
                <w:rFonts w:hint="eastAsia"/>
                <w:color w:val="auto"/>
                <w:sz w:val="24"/>
              </w:rPr>
              <w:t>，符合《大气污染物综合排放标准》（GB16297-1996）中相关标准要求（25m高排气筒对应的：最高允许排放速率14.45kg/h，最高允许排放浓度120 mg/m</w:t>
            </w:r>
            <w:r>
              <w:rPr>
                <w:rFonts w:hint="eastAsia"/>
                <w:color w:val="auto"/>
                <w:sz w:val="24"/>
                <w:vertAlign w:val="superscript"/>
              </w:rPr>
              <w:t>3</w:t>
            </w:r>
            <w:r>
              <w:rPr>
                <w:rFonts w:hint="eastAsia"/>
                <w:color w:val="auto"/>
                <w:sz w:val="24"/>
              </w:rPr>
              <w:t>）。砂石进料工序均在室内进行，排放量较少，根据预测结果，无组织颗粒物最大落地浓度为16.53</w:t>
            </w:r>
            <w:r>
              <w:rPr>
                <w:color w:val="auto"/>
                <w:sz w:val="24"/>
              </w:rPr>
              <w:t>μg/m</w:t>
            </w:r>
            <w:r>
              <w:rPr>
                <w:color w:val="auto"/>
                <w:sz w:val="24"/>
                <w:vertAlign w:val="superscript"/>
              </w:rPr>
              <w:t>3</w:t>
            </w:r>
            <w:r>
              <w:rPr>
                <w:color w:val="auto"/>
                <w:sz w:val="24"/>
              </w:rPr>
              <w:t>，</w:t>
            </w:r>
            <w:r>
              <w:rPr>
                <w:rFonts w:hint="eastAsia"/>
                <w:color w:val="auto"/>
                <w:sz w:val="24"/>
              </w:rPr>
              <w:t>符合《大气污染物综合排放标准》（GB16297-1996）无组织排放标准限值要求（1 mg/m</w:t>
            </w:r>
            <w:r>
              <w:rPr>
                <w:rFonts w:hint="eastAsia"/>
                <w:color w:val="auto"/>
                <w:sz w:val="24"/>
                <w:vertAlign w:val="superscript"/>
              </w:rPr>
              <w:t>3</w:t>
            </w:r>
            <w:r>
              <w:rPr>
                <w:rFonts w:hint="eastAsia"/>
                <w:color w:val="auto"/>
                <w:sz w:val="24"/>
              </w:rPr>
              <w:t>），对周围大气环境影响较小。</w:t>
            </w:r>
          </w:p>
          <w:p>
            <w:pPr>
              <w:adjustRightInd w:val="0"/>
              <w:spacing w:line="360" w:lineRule="auto"/>
              <w:ind w:firstLine="480" w:firstLineChars="200"/>
              <w:rPr>
                <w:color w:val="auto"/>
                <w:sz w:val="24"/>
              </w:rPr>
            </w:pPr>
            <w:r>
              <w:rPr>
                <w:rFonts w:hint="eastAsia"/>
                <w:color w:val="auto"/>
                <w:sz w:val="24"/>
              </w:rPr>
              <w:t>（4）废气治理措施可行性分析</w:t>
            </w:r>
          </w:p>
          <w:p>
            <w:pPr>
              <w:adjustRightInd w:val="0"/>
              <w:spacing w:line="360" w:lineRule="auto"/>
              <w:ind w:firstLine="480" w:firstLineChars="200"/>
              <w:rPr>
                <w:color w:val="auto"/>
                <w:sz w:val="24"/>
              </w:rPr>
            </w:pPr>
            <w:r>
              <w:rPr>
                <w:rFonts w:hint="eastAsia"/>
                <w:color w:val="auto"/>
                <w:sz w:val="24"/>
              </w:rPr>
              <w:t>项目生产过程中产生的含尘废气使用脉冲布袋除尘器处理达标后排放。</w:t>
            </w:r>
          </w:p>
          <w:p>
            <w:pPr>
              <w:adjustRightInd w:val="0"/>
              <w:spacing w:line="360" w:lineRule="auto"/>
              <w:ind w:firstLine="480" w:firstLineChars="200"/>
              <w:rPr>
                <w:color w:val="auto"/>
                <w:sz w:val="24"/>
              </w:rPr>
            </w:pPr>
            <w:r>
              <w:rPr>
                <w:rFonts w:hint="eastAsia"/>
                <w:color w:val="auto"/>
                <w:sz w:val="24"/>
              </w:rPr>
              <w:t>脉冲布袋除尘器工作原理：含尘气体由灰斗（或下部宽敞开式法兰）进入过滤室，较粗颗粒直接落入灰斗或灰仓，灰尘气体经滤袋过滤，粉尘阻留于滤袋表面，净气经袋口到净气室、由风机排入大气，当滤袋表面的粉尘不断增加，导致设备阻力上升至设定值时，时间继电器（或微差压控制器）输出信号，程控仪开始工作，逐个开启脉冲阀，使压缩空气通过喷口对滤袋进行喷吹清灰，使滤袋突然膨胀，在反向气流的作用下，附于滤袋表面的粉尘迅速脱离滤袋落入灰斗（或灰仓）内，粉尘由卸灰阀排出，全部滤袋喷吹清灰结束后，除尘器恢复正常工作。</w:t>
            </w:r>
          </w:p>
          <w:p>
            <w:pPr>
              <w:adjustRightInd w:val="0"/>
              <w:spacing w:line="360" w:lineRule="auto"/>
              <w:ind w:firstLine="480" w:firstLineChars="200"/>
              <w:jc w:val="center"/>
              <w:rPr>
                <w:color w:val="auto"/>
                <w:sz w:val="24"/>
              </w:rPr>
            </w:pPr>
            <w:r>
              <w:rPr>
                <w:color w:val="auto"/>
                <w:sz w:val="24"/>
              </w:rPr>
              <w:drawing>
                <wp:inline distT="0" distB="0" distL="0" distR="0">
                  <wp:extent cx="3743325" cy="3971925"/>
                  <wp:effectExtent l="0" t="0" r="9525" b="9525"/>
                  <wp:docPr id="1" name="图片 1" descr="C:\Users\123\AppData\Local\Temp\16372029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23\AppData\Local\Temp\1637202903(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743325" cy="3971925"/>
                          </a:xfrm>
                          <a:prstGeom prst="rect">
                            <a:avLst/>
                          </a:prstGeom>
                          <a:noFill/>
                          <a:ln>
                            <a:noFill/>
                          </a:ln>
                        </pic:spPr>
                      </pic:pic>
                    </a:graphicData>
                  </a:graphic>
                </wp:inline>
              </w:drawing>
            </w:r>
          </w:p>
          <w:p>
            <w:pPr>
              <w:jc w:val="center"/>
              <w:rPr>
                <w:b/>
                <w:color w:val="auto"/>
                <w:sz w:val="24"/>
              </w:rPr>
            </w:pPr>
            <w:r>
              <w:rPr>
                <w:rFonts w:hint="eastAsia"/>
                <w:b/>
                <w:color w:val="auto"/>
                <w:sz w:val="24"/>
              </w:rPr>
              <w:t>图4-2   脉冲布袋除尘器示意图</w:t>
            </w:r>
          </w:p>
          <w:p>
            <w:pPr>
              <w:adjustRightInd w:val="0"/>
              <w:spacing w:line="360" w:lineRule="auto"/>
              <w:ind w:firstLine="480" w:firstLineChars="200"/>
              <w:rPr>
                <w:color w:val="auto"/>
                <w:sz w:val="24"/>
              </w:rPr>
            </w:pPr>
            <w:r>
              <w:rPr>
                <w:rFonts w:hint="eastAsia"/>
                <w:color w:val="auto"/>
                <w:sz w:val="24"/>
                <w:lang w:val="en-GB"/>
              </w:rPr>
              <w:t>参照《排污许可证申请与核发技术规范 总则》（</w:t>
            </w:r>
            <w:r>
              <w:rPr>
                <w:color w:val="auto"/>
                <w:sz w:val="24"/>
                <w:lang w:val="en-GB"/>
              </w:rPr>
              <w:t>HJ</w:t>
            </w:r>
            <w:r>
              <w:rPr>
                <w:rFonts w:hint="eastAsia"/>
                <w:color w:val="auto"/>
                <w:sz w:val="24"/>
                <w:lang w:val="en-GB"/>
              </w:rPr>
              <w:t>942</w:t>
            </w:r>
            <w:r>
              <w:rPr>
                <w:color w:val="auto"/>
                <w:sz w:val="24"/>
                <w:lang w:val="en-GB"/>
              </w:rPr>
              <w:t>-20</w:t>
            </w:r>
            <w:r>
              <w:rPr>
                <w:rFonts w:hint="eastAsia"/>
                <w:color w:val="auto"/>
                <w:sz w:val="24"/>
                <w:lang w:val="en-GB"/>
              </w:rPr>
              <w:t>18）废气污染治理设施工艺中除尘设施为“袋式除尘器、电除尘器、电袋复合除尘器、其它”，本项目使用的脉冲布袋除尘器属于袋式除尘的一种，为常用的除尘措施。</w:t>
            </w:r>
            <w:r>
              <w:rPr>
                <w:rFonts w:hint="eastAsia"/>
                <w:color w:val="auto"/>
                <w:sz w:val="24"/>
              </w:rPr>
              <w:t>因此，本项目废气治理措施可行。</w:t>
            </w:r>
          </w:p>
          <w:p>
            <w:pPr>
              <w:adjustRightInd w:val="0"/>
              <w:spacing w:line="360" w:lineRule="auto"/>
              <w:ind w:firstLine="480" w:firstLineChars="200"/>
              <w:rPr>
                <w:color w:val="auto"/>
                <w:sz w:val="24"/>
              </w:rPr>
            </w:pPr>
            <w:r>
              <w:rPr>
                <w:rFonts w:hint="eastAsia"/>
                <w:color w:val="auto"/>
                <w:sz w:val="24"/>
              </w:rPr>
              <w:t>废气排放口基本情况见下表。</w:t>
            </w:r>
          </w:p>
          <w:p>
            <w:pPr>
              <w:adjustRightInd w:val="0"/>
              <w:snapToGrid w:val="0"/>
              <w:jc w:val="center"/>
              <w:rPr>
                <w:b/>
                <w:bCs/>
                <w:color w:val="auto"/>
                <w:sz w:val="24"/>
              </w:rPr>
            </w:pPr>
            <w:r>
              <w:rPr>
                <w:b/>
                <w:bCs/>
                <w:color w:val="auto"/>
                <w:sz w:val="24"/>
              </w:rPr>
              <w:t>表</w:t>
            </w:r>
            <w:r>
              <w:rPr>
                <w:rFonts w:hint="eastAsia"/>
                <w:b/>
                <w:bCs/>
                <w:color w:val="auto"/>
                <w:sz w:val="24"/>
              </w:rPr>
              <w:t xml:space="preserve">4-7 </w:t>
            </w:r>
            <w:r>
              <w:rPr>
                <w:b/>
                <w:bCs/>
                <w:color w:val="auto"/>
                <w:sz w:val="24"/>
              </w:rPr>
              <w:t xml:space="preserve">  </w:t>
            </w:r>
            <w:r>
              <w:rPr>
                <w:rFonts w:hint="eastAsia"/>
                <w:b/>
                <w:bCs/>
                <w:color w:val="auto"/>
                <w:sz w:val="24"/>
              </w:rPr>
              <w:t>排气口基本情况</w:t>
            </w:r>
            <w:r>
              <w:rPr>
                <w:b/>
                <w:bCs/>
                <w:color w:val="auto"/>
                <w:sz w:val="24"/>
              </w:rPr>
              <w:t>一览表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188"/>
              <w:gridCol w:w="1265"/>
              <w:gridCol w:w="1632"/>
              <w:gridCol w:w="714"/>
              <w:gridCol w:w="471"/>
              <w:gridCol w:w="671"/>
              <w:gridCol w:w="780"/>
              <w:gridCol w:w="654"/>
              <w:gridCol w:w="7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9" w:hRule="atLeast"/>
                <w:jc w:val="center"/>
              </w:trPr>
              <w:tc>
                <w:tcPr>
                  <w:tcW w:w="732" w:type="pct"/>
                  <w:vMerge w:val="restart"/>
                  <w:vAlign w:val="center"/>
                </w:tcPr>
                <w:p>
                  <w:pPr>
                    <w:jc w:val="center"/>
                    <w:rPr>
                      <w:color w:val="auto"/>
                    </w:rPr>
                  </w:pPr>
                  <w:r>
                    <w:rPr>
                      <w:rFonts w:hint="eastAsia"/>
                      <w:color w:val="auto"/>
                    </w:rPr>
                    <w:t>名称及编号</w:t>
                  </w:r>
                </w:p>
              </w:tc>
              <w:tc>
                <w:tcPr>
                  <w:tcW w:w="1783" w:type="pct"/>
                  <w:gridSpan w:val="2"/>
                  <w:vAlign w:val="center"/>
                </w:tcPr>
                <w:p>
                  <w:pPr>
                    <w:jc w:val="center"/>
                    <w:rPr>
                      <w:color w:val="auto"/>
                    </w:rPr>
                  </w:pPr>
                  <w:r>
                    <w:rPr>
                      <w:rFonts w:hint="eastAsia"/>
                      <w:color w:val="auto"/>
                    </w:rPr>
                    <w:t>排气筒底部中心坐标</w:t>
                  </w:r>
                  <w:r>
                    <w:rPr>
                      <w:color w:val="auto"/>
                    </w:rPr>
                    <w:t>（</w:t>
                  </w:r>
                  <w:r>
                    <w:rPr>
                      <w:rFonts w:hint="eastAsia" w:ascii="宋体" w:hAnsi="宋体" w:cs="宋体"/>
                      <w:color w:val="auto"/>
                    </w:rPr>
                    <w:t>︒</w:t>
                  </w:r>
                  <w:r>
                    <w:rPr>
                      <w:color w:val="auto"/>
                    </w:rPr>
                    <w:t>）</w:t>
                  </w:r>
                </w:p>
              </w:tc>
              <w:tc>
                <w:tcPr>
                  <w:tcW w:w="440" w:type="pct"/>
                  <w:vMerge w:val="restart"/>
                  <w:vAlign w:val="center"/>
                </w:tcPr>
                <w:p>
                  <w:pPr>
                    <w:jc w:val="center"/>
                    <w:rPr>
                      <w:color w:val="auto"/>
                    </w:rPr>
                  </w:pPr>
                  <w:r>
                    <w:rPr>
                      <w:rFonts w:hint="eastAsia"/>
                      <w:color w:val="auto"/>
                    </w:rPr>
                    <w:t>排气筒底部海拔高度/m</w:t>
                  </w:r>
                </w:p>
              </w:tc>
              <w:tc>
                <w:tcPr>
                  <w:tcW w:w="290" w:type="pct"/>
                  <w:vMerge w:val="restart"/>
                  <w:vAlign w:val="center"/>
                </w:tcPr>
                <w:p>
                  <w:pPr>
                    <w:jc w:val="center"/>
                    <w:rPr>
                      <w:color w:val="auto"/>
                    </w:rPr>
                  </w:pPr>
                  <w:r>
                    <w:rPr>
                      <w:rFonts w:hint="eastAsia"/>
                      <w:color w:val="auto"/>
                    </w:rPr>
                    <w:t>排气筒高度/m</w:t>
                  </w:r>
                </w:p>
              </w:tc>
              <w:tc>
                <w:tcPr>
                  <w:tcW w:w="413" w:type="pct"/>
                  <w:vMerge w:val="restart"/>
                  <w:vAlign w:val="center"/>
                </w:tcPr>
                <w:p>
                  <w:pPr>
                    <w:jc w:val="center"/>
                    <w:rPr>
                      <w:color w:val="auto"/>
                    </w:rPr>
                  </w:pPr>
                  <w:r>
                    <w:rPr>
                      <w:color w:val="auto"/>
                    </w:rPr>
                    <w:t>排气筒</w:t>
                  </w:r>
                  <w:r>
                    <w:rPr>
                      <w:rFonts w:hint="eastAsia"/>
                      <w:color w:val="auto"/>
                    </w:rPr>
                    <w:t>出口</w:t>
                  </w:r>
                  <w:r>
                    <w:rPr>
                      <w:color w:val="auto"/>
                    </w:rPr>
                    <w:t>内径</w:t>
                  </w:r>
                  <w:r>
                    <w:rPr>
                      <w:rFonts w:hint="eastAsia"/>
                      <w:color w:val="auto"/>
                    </w:rPr>
                    <w:t>/m</w:t>
                  </w:r>
                </w:p>
              </w:tc>
              <w:tc>
                <w:tcPr>
                  <w:tcW w:w="480" w:type="pct"/>
                  <w:vMerge w:val="restart"/>
                  <w:vAlign w:val="center"/>
                </w:tcPr>
                <w:p>
                  <w:pPr>
                    <w:jc w:val="center"/>
                    <w:rPr>
                      <w:color w:val="auto"/>
                    </w:rPr>
                  </w:pPr>
                  <w:r>
                    <w:rPr>
                      <w:rFonts w:hint="eastAsia"/>
                      <w:color w:val="auto"/>
                    </w:rPr>
                    <w:t>烟气流速/（m/s）</w:t>
                  </w:r>
                </w:p>
              </w:tc>
              <w:tc>
                <w:tcPr>
                  <w:tcW w:w="403" w:type="pct"/>
                  <w:vMerge w:val="restart"/>
                  <w:vAlign w:val="center"/>
                </w:tcPr>
                <w:p>
                  <w:pPr>
                    <w:jc w:val="center"/>
                    <w:rPr>
                      <w:color w:val="auto"/>
                    </w:rPr>
                  </w:pPr>
                  <w:r>
                    <w:rPr>
                      <w:rFonts w:hint="eastAsia"/>
                      <w:color w:val="auto"/>
                    </w:rPr>
                    <w:t>烟气温度/</w:t>
                  </w:r>
                  <w:r>
                    <w:rPr>
                      <w:rFonts w:hint="eastAsia" w:ascii="宋体" w:hAnsi="宋体" w:cs="宋体"/>
                      <w:color w:val="auto"/>
                    </w:rPr>
                    <w:t>℃</w:t>
                  </w:r>
                </w:p>
              </w:tc>
              <w:tc>
                <w:tcPr>
                  <w:tcW w:w="457" w:type="pct"/>
                  <w:vMerge w:val="restart"/>
                  <w:vAlign w:val="center"/>
                </w:tcPr>
                <w:p>
                  <w:pPr>
                    <w:jc w:val="center"/>
                    <w:rPr>
                      <w:color w:val="auto"/>
                    </w:rPr>
                  </w:pPr>
                  <w:r>
                    <w:rPr>
                      <w:rFonts w:hint="eastAsia"/>
                      <w:color w:val="auto"/>
                    </w:rPr>
                    <w:t>年排放小时数/h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06" w:hRule="atLeast"/>
                <w:jc w:val="center"/>
              </w:trPr>
              <w:tc>
                <w:tcPr>
                  <w:tcW w:w="732" w:type="pct"/>
                  <w:vMerge w:val="continue"/>
                  <w:vAlign w:val="center"/>
                </w:tcPr>
                <w:p>
                  <w:pPr>
                    <w:jc w:val="center"/>
                    <w:rPr>
                      <w:color w:val="auto"/>
                    </w:rPr>
                  </w:pPr>
                </w:p>
              </w:tc>
              <w:tc>
                <w:tcPr>
                  <w:tcW w:w="779" w:type="pct"/>
                  <w:vAlign w:val="center"/>
                </w:tcPr>
                <w:p>
                  <w:pPr>
                    <w:jc w:val="center"/>
                    <w:rPr>
                      <w:color w:val="auto"/>
                    </w:rPr>
                  </w:pPr>
                  <w:r>
                    <w:rPr>
                      <w:rFonts w:hint="eastAsia"/>
                      <w:color w:val="auto"/>
                    </w:rPr>
                    <w:t>N</w:t>
                  </w:r>
                </w:p>
              </w:tc>
              <w:tc>
                <w:tcPr>
                  <w:tcW w:w="1005" w:type="pct"/>
                  <w:vAlign w:val="center"/>
                </w:tcPr>
                <w:p>
                  <w:pPr>
                    <w:jc w:val="center"/>
                    <w:rPr>
                      <w:color w:val="auto"/>
                    </w:rPr>
                  </w:pPr>
                  <w:r>
                    <w:rPr>
                      <w:rFonts w:hint="eastAsia"/>
                      <w:color w:val="auto"/>
                    </w:rPr>
                    <w:t>E</w:t>
                  </w:r>
                </w:p>
              </w:tc>
              <w:tc>
                <w:tcPr>
                  <w:tcW w:w="440" w:type="pct"/>
                  <w:vMerge w:val="continue"/>
                  <w:vAlign w:val="center"/>
                </w:tcPr>
                <w:p>
                  <w:pPr>
                    <w:jc w:val="center"/>
                    <w:rPr>
                      <w:color w:val="auto"/>
                    </w:rPr>
                  </w:pPr>
                </w:p>
              </w:tc>
              <w:tc>
                <w:tcPr>
                  <w:tcW w:w="290" w:type="pct"/>
                  <w:vMerge w:val="continue"/>
                  <w:vAlign w:val="center"/>
                </w:tcPr>
                <w:p>
                  <w:pPr>
                    <w:jc w:val="center"/>
                    <w:rPr>
                      <w:color w:val="auto"/>
                    </w:rPr>
                  </w:pPr>
                </w:p>
              </w:tc>
              <w:tc>
                <w:tcPr>
                  <w:tcW w:w="413" w:type="pct"/>
                  <w:vMerge w:val="continue"/>
                  <w:vAlign w:val="center"/>
                </w:tcPr>
                <w:p>
                  <w:pPr>
                    <w:jc w:val="center"/>
                    <w:rPr>
                      <w:color w:val="auto"/>
                    </w:rPr>
                  </w:pPr>
                </w:p>
              </w:tc>
              <w:tc>
                <w:tcPr>
                  <w:tcW w:w="480" w:type="pct"/>
                  <w:vMerge w:val="continue"/>
                  <w:vAlign w:val="center"/>
                </w:tcPr>
                <w:p>
                  <w:pPr>
                    <w:jc w:val="center"/>
                    <w:rPr>
                      <w:color w:val="auto"/>
                    </w:rPr>
                  </w:pPr>
                </w:p>
              </w:tc>
              <w:tc>
                <w:tcPr>
                  <w:tcW w:w="403" w:type="pct"/>
                  <w:vMerge w:val="continue"/>
                  <w:vAlign w:val="center"/>
                </w:tcPr>
                <w:p>
                  <w:pPr>
                    <w:jc w:val="center"/>
                    <w:rPr>
                      <w:color w:val="auto"/>
                    </w:rPr>
                  </w:pPr>
                </w:p>
              </w:tc>
              <w:tc>
                <w:tcPr>
                  <w:tcW w:w="457" w:type="pct"/>
                  <w:vMerge w:val="continue"/>
                  <w:vAlign w:val="center"/>
                </w:tcPr>
                <w:p>
                  <w:pPr>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732" w:type="pct"/>
                  <w:vAlign w:val="center"/>
                </w:tcPr>
                <w:p>
                  <w:pPr>
                    <w:autoSpaceDE w:val="0"/>
                    <w:autoSpaceDN w:val="0"/>
                    <w:adjustRightInd w:val="0"/>
                    <w:jc w:val="center"/>
                    <w:rPr>
                      <w:color w:val="auto"/>
                      <w:szCs w:val="21"/>
                    </w:rPr>
                  </w:pPr>
                  <w:r>
                    <w:rPr>
                      <w:color w:val="auto"/>
                      <w:szCs w:val="21"/>
                    </w:rPr>
                    <w:t>硫铝酸盐水泥筒仓</w:t>
                  </w:r>
                  <w:r>
                    <w:rPr>
                      <w:rFonts w:hint="eastAsia"/>
                      <w:color w:val="auto"/>
                      <w:szCs w:val="21"/>
                    </w:rPr>
                    <w:t>A产线（DA001）</w:t>
                  </w:r>
                </w:p>
              </w:tc>
              <w:tc>
                <w:tcPr>
                  <w:tcW w:w="779" w:type="pct"/>
                  <w:vAlign w:val="center"/>
                </w:tcPr>
                <w:p>
                  <w:pPr>
                    <w:jc w:val="center"/>
                    <w:rPr>
                      <w:color w:val="auto"/>
                    </w:rPr>
                  </w:pPr>
                  <w:r>
                    <w:rPr>
                      <w:color w:val="auto"/>
                    </w:rPr>
                    <w:t>34.491379134</w:t>
                  </w:r>
                </w:p>
              </w:tc>
              <w:tc>
                <w:tcPr>
                  <w:tcW w:w="1005" w:type="pct"/>
                  <w:vAlign w:val="center"/>
                </w:tcPr>
                <w:p>
                  <w:pPr>
                    <w:jc w:val="center"/>
                    <w:rPr>
                      <w:color w:val="auto"/>
                    </w:rPr>
                  </w:pPr>
                  <w:r>
                    <w:rPr>
                      <w:color w:val="auto"/>
                    </w:rPr>
                    <w:t>109.42996028</w:t>
                  </w:r>
                </w:p>
              </w:tc>
              <w:tc>
                <w:tcPr>
                  <w:tcW w:w="440" w:type="pct"/>
                  <w:vAlign w:val="center"/>
                </w:tcPr>
                <w:p>
                  <w:pPr>
                    <w:jc w:val="center"/>
                    <w:rPr>
                      <w:color w:val="auto"/>
                    </w:rPr>
                  </w:pPr>
                  <w:r>
                    <w:rPr>
                      <w:rFonts w:hint="eastAsia"/>
                      <w:color w:val="auto"/>
                    </w:rPr>
                    <w:t>357.24</w:t>
                  </w:r>
                </w:p>
              </w:tc>
              <w:tc>
                <w:tcPr>
                  <w:tcW w:w="290" w:type="pct"/>
                  <w:vAlign w:val="center"/>
                </w:tcPr>
                <w:p>
                  <w:pPr>
                    <w:jc w:val="center"/>
                    <w:rPr>
                      <w:color w:val="auto"/>
                    </w:rPr>
                  </w:pPr>
                  <w:r>
                    <w:rPr>
                      <w:rFonts w:hint="eastAsia"/>
                      <w:color w:val="auto"/>
                    </w:rPr>
                    <w:t>19</w:t>
                  </w:r>
                </w:p>
              </w:tc>
              <w:tc>
                <w:tcPr>
                  <w:tcW w:w="413" w:type="pct"/>
                  <w:vAlign w:val="center"/>
                </w:tcPr>
                <w:p>
                  <w:pPr>
                    <w:jc w:val="center"/>
                    <w:rPr>
                      <w:color w:val="auto"/>
                    </w:rPr>
                  </w:pPr>
                  <w:r>
                    <w:rPr>
                      <w:rFonts w:hint="eastAsia"/>
                      <w:color w:val="auto"/>
                    </w:rPr>
                    <w:t>0.15</w:t>
                  </w:r>
                </w:p>
              </w:tc>
              <w:tc>
                <w:tcPr>
                  <w:tcW w:w="480" w:type="pct"/>
                  <w:vAlign w:val="center"/>
                </w:tcPr>
                <w:p>
                  <w:pPr>
                    <w:jc w:val="center"/>
                    <w:rPr>
                      <w:color w:val="auto"/>
                    </w:rPr>
                  </w:pPr>
                  <w:r>
                    <w:rPr>
                      <w:rFonts w:hint="eastAsia"/>
                      <w:color w:val="auto"/>
                    </w:rPr>
                    <w:t>20.04</w:t>
                  </w:r>
                </w:p>
              </w:tc>
              <w:tc>
                <w:tcPr>
                  <w:tcW w:w="403" w:type="pct"/>
                  <w:vAlign w:val="center"/>
                </w:tcPr>
                <w:p>
                  <w:pPr>
                    <w:jc w:val="center"/>
                    <w:rPr>
                      <w:color w:val="auto"/>
                    </w:rPr>
                  </w:pPr>
                  <w:r>
                    <w:rPr>
                      <w:rFonts w:hint="eastAsia"/>
                      <w:color w:val="auto"/>
                    </w:rPr>
                    <w:t>25</w:t>
                  </w:r>
                </w:p>
              </w:tc>
              <w:tc>
                <w:tcPr>
                  <w:tcW w:w="457" w:type="pct"/>
                  <w:vAlign w:val="center"/>
                </w:tcPr>
                <w:p>
                  <w:pPr>
                    <w:jc w:val="center"/>
                    <w:rPr>
                      <w:color w:val="auto"/>
                    </w:rPr>
                  </w:pPr>
                  <w:r>
                    <w:rPr>
                      <w:rFonts w:hint="eastAsia"/>
                      <w:color w:val="auto"/>
                    </w:rPr>
                    <w:t>256.5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9" w:hRule="atLeast"/>
                <w:jc w:val="center"/>
              </w:trPr>
              <w:tc>
                <w:tcPr>
                  <w:tcW w:w="732" w:type="pct"/>
                  <w:vAlign w:val="center"/>
                </w:tcPr>
                <w:p>
                  <w:pPr>
                    <w:autoSpaceDE w:val="0"/>
                    <w:autoSpaceDN w:val="0"/>
                    <w:adjustRightInd w:val="0"/>
                    <w:jc w:val="center"/>
                    <w:rPr>
                      <w:color w:val="auto"/>
                      <w:szCs w:val="21"/>
                    </w:rPr>
                  </w:pPr>
                  <w:r>
                    <w:rPr>
                      <w:color w:val="auto"/>
                      <w:szCs w:val="21"/>
                    </w:rPr>
                    <w:t>硫铝酸盐水泥筒仓</w:t>
                  </w:r>
                  <w:r>
                    <w:rPr>
                      <w:rFonts w:hint="eastAsia"/>
                      <w:color w:val="auto"/>
                      <w:szCs w:val="21"/>
                    </w:rPr>
                    <w:t>B产线（DA002）</w:t>
                  </w:r>
                </w:p>
              </w:tc>
              <w:tc>
                <w:tcPr>
                  <w:tcW w:w="779" w:type="pct"/>
                  <w:vAlign w:val="center"/>
                </w:tcPr>
                <w:p>
                  <w:pPr>
                    <w:jc w:val="center"/>
                    <w:rPr>
                      <w:color w:val="auto"/>
                    </w:rPr>
                  </w:pPr>
                  <w:r>
                    <w:rPr>
                      <w:color w:val="auto"/>
                    </w:rPr>
                    <w:t>34.491389863</w:t>
                  </w:r>
                </w:p>
              </w:tc>
              <w:tc>
                <w:tcPr>
                  <w:tcW w:w="1005" w:type="pct"/>
                  <w:vAlign w:val="center"/>
                </w:tcPr>
                <w:p>
                  <w:pPr>
                    <w:jc w:val="center"/>
                    <w:rPr>
                      <w:color w:val="auto"/>
                    </w:rPr>
                  </w:pPr>
                  <w:r>
                    <w:rPr>
                      <w:color w:val="auto"/>
                    </w:rPr>
                    <w:t>109.430067570</w:t>
                  </w:r>
                </w:p>
              </w:tc>
              <w:tc>
                <w:tcPr>
                  <w:tcW w:w="440" w:type="pct"/>
                  <w:vAlign w:val="center"/>
                </w:tcPr>
                <w:p>
                  <w:pPr>
                    <w:jc w:val="center"/>
                    <w:rPr>
                      <w:color w:val="auto"/>
                    </w:rPr>
                  </w:pPr>
                  <w:r>
                    <w:rPr>
                      <w:rFonts w:hint="eastAsia"/>
                      <w:color w:val="auto"/>
                    </w:rPr>
                    <w:t>356.94</w:t>
                  </w:r>
                </w:p>
              </w:tc>
              <w:tc>
                <w:tcPr>
                  <w:tcW w:w="290" w:type="pct"/>
                  <w:vAlign w:val="center"/>
                </w:tcPr>
                <w:p>
                  <w:pPr>
                    <w:jc w:val="center"/>
                    <w:rPr>
                      <w:color w:val="auto"/>
                    </w:rPr>
                  </w:pPr>
                  <w:r>
                    <w:rPr>
                      <w:rFonts w:hint="eastAsia"/>
                      <w:color w:val="auto"/>
                    </w:rPr>
                    <w:t>19</w:t>
                  </w:r>
                </w:p>
              </w:tc>
              <w:tc>
                <w:tcPr>
                  <w:tcW w:w="413" w:type="pct"/>
                  <w:vAlign w:val="center"/>
                </w:tcPr>
                <w:p>
                  <w:pPr>
                    <w:jc w:val="center"/>
                    <w:rPr>
                      <w:color w:val="auto"/>
                    </w:rPr>
                  </w:pPr>
                  <w:r>
                    <w:rPr>
                      <w:rFonts w:hint="eastAsia"/>
                      <w:color w:val="auto"/>
                    </w:rPr>
                    <w:t>0.15</w:t>
                  </w:r>
                </w:p>
              </w:tc>
              <w:tc>
                <w:tcPr>
                  <w:tcW w:w="480" w:type="pct"/>
                  <w:vAlign w:val="center"/>
                </w:tcPr>
                <w:p>
                  <w:pPr>
                    <w:jc w:val="center"/>
                    <w:rPr>
                      <w:color w:val="auto"/>
                    </w:rPr>
                  </w:pPr>
                  <w:r>
                    <w:rPr>
                      <w:rFonts w:hint="eastAsia"/>
                      <w:color w:val="auto"/>
                    </w:rPr>
                    <w:t>20.04</w:t>
                  </w:r>
                </w:p>
              </w:tc>
              <w:tc>
                <w:tcPr>
                  <w:tcW w:w="403" w:type="pct"/>
                  <w:vAlign w:val="center"/>
                </w:tcPr>
                <w:p>
                  <w:pPr>
                    <w:jc w:val="center"/>
                    <w:rPr>
                      <w:color w:val="auto"/>
                    </w:rPr>
                  </w:pPr>
                  <w:r>
                    <w:rPr>
                      <w:rFonts w:hint="eastAsia"/>
                      <w:color w:val="auto"/>
                    </w:rPr>
                    <w:t>25</w:t>
                  </w:r>
                </w:p>
              </w:tc>
              <w:tc>
                <w:tcPr>
                  <w:tcW w:w="457" w:type="pct"/>
                  <w:vAlign w:val="center"/>
                </w:tcPr>
                <w:p>
                  <w:pPr>
                    <w:jc w:val="center"/>
                    <w:rPr>
                      <w:color w:val="auto"/>
                    </w:rPr>
                  </w:pPr>
                  <w:r>
                    <w:rPr>
                      <w:rFonts w:hint="eastAsia"/>
                      <w:color w:val="auto"/>
                    </w:rPr>
                    <w:t>85.5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732" w:type="pct"/>
                  <w:vAlign w:val="center"/>
                </w:tcPr>
                <w:p>
                  <w:pPr>
                    <w:autoSpaceDE w:val="0"/>
                    <w:autoSpaceDN w:val="0"/>
                    <w:adjustRightInd w:val="0"/>
                    <w:jc w:val="center"/>
                    <w:rPr>
                      <w:color w:val="auto"/>
                      <w:szCs w:val="21"/>
                      <w:lang w:val="zh-CN"/>
                    </w:rPr>
                  </w:pPr>
                  <w:r>
                    <w:rPr>
                      <w:color w:val="auto"/>
                      <w:szCs w:val="21"/>
                      <w:lang w:val="zh-CN"/>
                    </w:rPr>
                    <w:t>铝酸盐水泥筒仓</w:t>
                  </w:r>
                  <w:r>
                    <w:rPr>
                      <w:rFonts w:hint="eastAsia"/>
                      <w:color w:val="auto"/>
                      <w:szCs w:val="21"/>
                    </w:rPr>
                    <w:t>（DA003）</w:t>
                  </w:r>
                </w:p>
              </w:tc>
              <w:tc>
                <w:tcPr>
                  <w:tcW w:w="779" w:type="pct"/>
                  <w:vAlign w:val="center"/>
                </w:tcPr>
                <w:p>
                  <w:pPr>
                    <w:jc w:val="center"/>
                    <w:rPr>
                      <w:color w:val="auto"/>
                    </w:rPr>
                  </w:pPr>
                  <w:r>
                    <w:rPr>
                      <w:color w:val="auto"/>
                    </w:rPr>
                    <w:t>34.491391204</w:t>
                  </w:r>
                </w:p>
              </w:tc>
              <w:tc>
                <w:tcPr>
                  <w:tcW w:w="1005" w:type="pct"/>
                  <w:vAlign w:val="center"/>
                </w:tcPr>
                <w:p>
                  <w:pPr>
                    <w:jc w:val="center"/>
                    <w:rPr>
                      <w:color w:val="auto"/>
                    </w:rPr>
                  </w:pPr>
                  <w:r>
                    <w:rPr>
                      <w:color w:val="auto"/>
                    </w:rPr>
                    <w:t>109.430134626,34</w:t>
                  </w:r>
                </w:p>
              </w:tc>
              <w:tc>
                <w:tcPr>
                  <w:tcW w:w="440" w:type="pct"/>
                  <w:vAlign w:val="center"/>
                </w:tcPr>
                <w:p>
                  <w:pPr>
                    <w:jc w:val="center"/>
                    <w:rPr>
                      <w:color w:val="auto"/>
                    </w:rPr>
                  </w:pPr>
                  <w:r>
                    <w:rPr>
                      <w:rFonts w:hint="eastAsia"/>
                      <w:color w:val="auto"/>
                    </w:rPr>
                    <w:t>356.72</w:t>
                  </w:r>
                </w:p>
              </w:tc>
              <w:tc>
                <w:tcPr>
                  <w:tcW w:w="290" w:type="pct"/>
                  <w:vAlign w:val="center"/>
                </w:tcPr>
                <w:p>
                  <w:pPr>
                    <w:jc w:val="center"/>
                    <w:rPr>
                      <w:color w:val="auto"/>
                    </w:rPr>
                  </w:pPr>
                  <w:r>
                    <w:rPr>
                      <w:rFonts w:hint="eastAsia"/>
                      <w:color w:val="auto"/>
                    </w:rPr>
                    <w:t>19</w:t>
                  </w:r>
                </w:p>
              </w:tc>
              <w:tc>
                <w:tcPr>
                  <w:tcW w:w="413" w:type="pct"/>
                  <w:vAlign w:val="center"/>
                </w:tcPr>
                <w:p>
                  <w:pPr>
                    <w:jc w:val="center"/>
                    <w:rPr>
                      <w:color w:val="auto"/>
                    </w:rPr>
                  </w:pPr>
                  <w:r>
                    <w:rPr>
                      <w:rFonts w:hint="eastAsia"/>
                      <w:color w:val="auto"/>
                    </w:rPr>
                    <w:t>0.15</w:t>
                  </w:r>
                </w:p>
              </w:tc>
              <w:tc>
                <w:tcPr>
                  <w:tcW w:w="480" w:type="pct"/>
                  <w:vAlign w:val="center"/>
                </w:tcPr>
                <w:p>
                  <w:pPr>
                    <w:jc w:val="center"/>
                    <w:rPr>
                      <w:color w:val="auto"/>
                    </w:rPr>
                  </w:pPr>
                  <w:r>
                    <w:rPr>
                      <w:rFonts w:hint="eastAsia"/>
                      <w:color w:val="auto"/>
                    </w:rPr>
                    <w:t>21.17</w:t>
                  </w:r>
                </w:p>
              </w:tc>
              <w:tc>
                <w:tcPr>
                  <w:tcW w:w="403" w:type="pct"/>
                  <w:vAlign w:val="center"/>
                </w:tcPr>
                <w:p>
                  <w:pPr>
                    <w:jc w:val="center"/>
                    <w:rPr>
                      <w:color w:val="auto"/>
                    </w:rPr>
                  </w:pPr>
                  <w:r>
                    <w:rPr>
                      <w:rFonts w:hint="eastAsia"/>
                      <w:color w:val="auto"/>
                    </w:rPr>
                    <w:t>25</w:t>
                  </w:r>
                </w:p>
              </w:tc>
              <w:tc>
                <w:tcPr>
                  <w:tcW w:w="457" w:type="pct"/>
                  <w:vAlign w:val="center"/>
                </w:tcPr>
                <w:p>
                  <w:pPr>
                    <w:jc w:val="center"/>
                    <w:rPr>
                      <w:color w:val="auto"/>
                    </w:rPr>
                  </w:pPr>
                  <w:r>
                    <w:rPr>
                      <w:rFonts w:hint="eastAsia"/>
                      <w:color w:val="auto"/>
                    </w:rPr>
                    <w:t>32.45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69" w:hRule="atLeast"/>
                <w:jc w:val="center"/>
              </w:trPr>
              <w:tc>
                <w:tcPr>
                  <w:tcW w:w="732" w:type="pct"/>
                  <w:vAlign w:val="center"/>
                </w:tcPr>
                <w:p>
                  <w:pPr>
                    <w:autoSpaceDE w:val="0"/>
                    <w:autoSpaceDN w:val="0"/>
                    <w:adjustRightInd w:val="0"/>
                    <w:jc w:val="center"/>
                    <w:rPr>
                      <w:color w:val="auto"/>
                      <w:szCs w:val="21"/>
                      <w:lang w:val="zh-CN"/>
                    </w:rPr>
                  </w:pPr>
                  <w:r>
                    <w:rPr>
                      <w:color w:val="auto"/>
                      <w:szCs w:val="21"/>
                      <w:lang w:val="zh-CN"/>
                    </w:rPr>
                    <w:t>普通硅酸盐水泥筒仓</w:t>
                  </w:r>
                  <w:r>
                    <w:rPr>
                      <w:rFonts w:hint="eastAsia"/>
                      <w:color w:val="auto"/>
                      <w:szCs w:val="21"/>
                    </w:rPr>
                    <w:t>（DA004）</w:t>
                  </w:r>
                </w:p>
              </w:tc>
              <w:tc>
                <w:tcPr>
                  <w:tcW w:w="779" w:type="pct"/>
                  <w:vAlign w:val="center"/>
                </w:tcPr>
                <w:p>
                  <w:pPr>
                    <w:jc w:val="center"/>
                    <w:rPr>
                      <w:color w:val="auto"/>
                    </w:rPr>
                  </w:pPr>
                  <w:r>
                    <w:rPr>
                      <w:color w:val="auto"/>
                    </w:rPr>
                    <w:t>34.491395228</w:t>
                  </w:r>
                </w:p>
              </w:tc>
              <w:tc>
                <w:tcPr>
                  <w:tcW w:w="1005" w:type="pct"/>
                  <w:vAlign w:val="center"/>
                </w:tcPr>
                <w:p>
                  <w:pPr>
                    <w:jc w:val="center"/>
                    <w:rPr>
                      <w:color w:val="auto"/>
                    </w:rPr>
                  </w:pPr>
                  <w:r>
                    <w:rPr>
                      <w:color w:val="auto"/>
                    </w:rPr>
                    <w:t>109.430185588</w:t>
                  </w:r>
                </w:p>
              </w:tc>
              <w:tc>
                <w:tcPr>
                  <w:tcW w:w="440" w:type="pct"/>
                  <w:vAlign w:val="center"/>
                </w:tcPr>
                <w:p>
                  <w:pPr>
                    <w:jc w:val="center"/>
                    <w:rPr>
                      <w:color w:val="auto"/>
                    </w:rPr>
                  </w:pPr>
                  <w:r>
                    <w:rPr>
                      <w:rFonts w:hint="eastAsia"/>
                      <w:color w:val="auto"/>
                    </w:rPr>
                    <w:t>356.61</w:t>
                  </w:r>
                </w:p>
              </w:tc>
              <w:tc>
                <w:tcPr>
                  <w:tcW w:w="290" w:type="pct"/>
                  <w:vAlign w:val="center"/>
                </w:tcPr>
                <w:p>
                  <w:pPr>
                    <w:jc w:val="center"/>
                    <w:rPr>
                      <w:color w:val="auto"/>
                    </w:rPr>
                  </w:pPr>
                  <w:r>
                    <w:rPr>
                      <w:rFonts w:hint="eastAsia"/>
                      <w:color w:val="auto"/>
                    </w:rPr>
                    <w:t>19</w:t>
                  </w:r>
                </w:p>
              </w:tc>
              <w:tc>
                <w:tcPr>
                  <w:tcW w:w="413" w:type="pct"/>
                  <w:vAlign w:val="center"/>
                </w:tcPr>
                <w:p>
                  <w:pPr>
                    <w:jc w:val="center"/>
                    <w:rPr>
                      <w:color w:val="auto"/>
                    </w:rPr>
                  </w:pPr>
                  <w:r>
                    <w:rPr>
                      <w:rFonts w:hint="eastAsia"/>
                      <w:color w:val="auto"/>
                    </w:rPr>
                    <w:t>0.15</w:t>
                  </w:r>
                </w:p>
              </w:tc>
              <w:tc>
                <w:tcPr>
                  <w:tcW w:w="480" w:type="pct"/>
                  <w:vAlign w:val="center"/>
                </w:tcPr>
                <w:p>
                  <w:pPr>
                    <w:jc w:val="center"/>
                    <w:rPr>
                      <w:color w:val="auto"/>
                    </w:rPr>
                  </w:pPr>
                  <w:r>
                    <w:rPr>
                      <w:rFonts w:hint="eastAsia"/>
                      <w:color w:val="auto"/>
                    </w:rPr>
                    <w:t>19.34</w:t>
                  </w:r>
                </w:p>
              </w:tc>
              <w:tc>
                <w:tcPr>
                  <w:tcW w:w="403" w:type="pct"/>
                  <w:vAlign w:val="center"/>
                </w:tcPr>
                <w:p>
                  <w:pPr>
                    <w:jc w:val="center"/>
                    <w:rPr>
                      <w:color w:val="auto"/>
                    </w:rPr>
                  </w:pPr>
                  <w:r>
                    <w:rPr>
                      <w:rFonts w:hint="eastAsia"/>
                      <w:color w:val="auto"/>
                    </w:rPr>
                    <w:t>25</w:t>
                  </w:r>
                </w:p>
              </w:tc>
              <w:tc>
                <w:tcPr>
                  <w:tcW w:w="457" w:type="pct"/>
                  <w:vAlign w:val="center"/>
                </w:tcPr>
                <w:p>
                  <w:pPr>
                    <w:jc w:val="center"/>
                    <w:rPr>
                      <w:color w:val="auto"/>
                    </w:rPr>
                  </w:pPr>
                  <w:r>
                    <w:rPr>
                      <w:rFonts w:hint="eastAsia"/>
                      <w:color w:val="auto"/>
                    </w:rPr>
                    <w:t>237.5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732" w:type="pct"/>
                  <w:vAlign w:val="center"/>
                </w:tcPr>
                <w:p>
                  <w:pPr>
                    <w:jc w:val="center"/>
                    <w:rPr>
                      <w:color w:val="auto"/>
                      <w:szCs w:val="21"/>
                    </w:rPr>
                  </w:pPr>
                  <w:r>
                    <w:rPr>
                      <w:color w:val="auto"/>
                      <w:szCs w:val="21"/>
                    </w:rPr>
                    <w:t>砂石筒仓</w:t>
                  </w:r>
                  <w:r>
                    <w:rPr>
                      <w:rFonts w:hint="eastAsia"/>
                      <w:color w:val="auto"/>
                      <w:szCs w:val="21"/>
                    </w:rPr>
                    <w:t>（DA005）</w:t>
                  </w:r>
                </w:p>
              </w:tc>
              <w:tc>
                <w:tcPr>
                  <w:tcW w:w="779" w:type="pct"/>
                  <w:vAlign w:val="center"/>
                </w:tcPr>
                <w:p>
                  <w:pPr>
                    <w:jc w:val="center"/>
                    <w:rPr>
                      <w:color w:val="auto"/>
                    </w:rPr>
                  </w:pPr>
                  <w:r>
                    <w:rPr>
                      <w:color w:val="auto"/>
                    </w:rPr>
                    <w:t>34.491399251</w:t>
                  </w:r>
                </w:p>
              </w:tc>
              <w:tc>
                <w:tcPr>
                  <w:tcW w:w="1005" w:type="pct"/>
                  <w:vAlign w:val="center"/>
                </w:tcPr>
                <w:p>
                  <w:pPr>
                    <w:jc w:val="center"/>
                    <w:rPr>
                      <w:color w:val="auto"/>
                    </w:rPr>
                  </w:pPr>
                  <w:r>
                    <w:rPr>
                      <w:color w:val="auto"/>
                    </w:rPr>
                    <w:t>109.430225821</w:t>
                  </w:r>
                </w:p>
              </w:tc>
              <w:tc>
                <w:tcPr>
                  <w:tcW w:w="440" w:type="pct"/>
                  <w:vAlign w:val="center"/>
                </w:tcPr>
                <w:p>
                  <w:pPr>
                    <w:jc w:val="center"/>
                    <w:rPr>
                      <w:color w:val="auto"/>
                    </w:rPr>
                  </w:pPr>
                  <w:r>
                    <w:rPr>
                      <w:rFonts w:hint="eastAsia"/>
                      <w:color w:val="auto"/>
                    </w:rPr>
                    <w:t>356.59</w:t>
                  </w:r>
                </w:p>
              </w:tc>
              <w:tc>
                <w:tcPr>
                  <w:tcW w:w="290" w:type="pct"/>
                  <w:vAlign w:val="center"/>
                </w:tcPr>
                <w:p>
                  <w:pPr>
                    <w:jc w:val="center"/>
                    <w:rPr>
                      <w:color w:val="auto"/>
                    </w:rPr>
                  </w:pPr>
                  <w:r>
                    <w:rPr>
                      <w:rFonts w:hint="eastAsia"/>
                      <w:color w:val="auto"/>
                    </w:rPr>
                    <w:t>19</w:t>
                  </w:r>
                </w:p>
              </w:tc>
              <w:tc>
                <w:tcPr>
                  <w:tcW w:w="413" w:type="pct"/>
                  <w:vAlign w:val="center"/>
                </w:tcPr>
                <w:p>
                  <w:pPr>
                    <w:jc w:val="center"/>
                    <w:rPr>
                      <w:color w:val="auto"/>
                    </w:rPr>
                  </w:pPr>
                  <w:r>
                    <w:rPr>
                      <w:rFonts w:hint="eastAsia"/>
                      <w:color w:val="auto"/>
                    </w:rPr>
                    <w:t>0.15</w:t>
                  </w:r>
                </w:p>
              </w:tc>
              <w:tc>
                <w:tcPr>
                  <w:tcW w:w="480" w:type="pct"/>
                  <w:vAlign w:val="center"/>
                </w:tcPr>
                <w:p>
                  <w:pPr>
                    <w:jc w:val="center"/>
                    <w:rPr>
                      <w:color w:val="auto"/>
                    </w:rPr>
                  </w:pPr>
                  <w:r>
                    <w:rPr>
                      <w:rFonts w:hint="eastAsia"/>
                      <w:color w:val="auto"/>
                    </w:rPr>
                    <w:t>15.72</w:t>
                  </w:r>
                </w:p>
              </w:tc>
              <w:tc>
                <w:tcPr>
                  <w:tcW w:w="403" w:type="pct"/>
                  <w:vAlign w:val="center"/>
                </w:tcPr>
                <w:p>
                  <w:pPr>
                    <w:jc w:val="center"/>
                    <w:rPr>
                      <w:color w:val="auto"/>
                    </w:rPr>
                  </w:pPr>
                  <w:r>
                    <w:rPr>
                      <w:rFonts w:hint="eastAsia"/>
                      <w:color w:val="auto"/>
                    </w:rPr>
                    <w:t>25</w:t>
                  </w:r>
                </w:p>
              </w:tc>
              <w:tc>
                <w:tcPr>
                  <w:tcW w:w="457" w:type="pct"/>
                  <w:vAlign w:val="center"/>
                </w:tcPr>
                <w:p>
                  <w:pPr>
                    <w:jc w:val="center"/>
                    <w:rPr>
                      <w:color w:val="auto"/>
                    </w:rPr>
                  </w:pPr>
                  <w:r>
                    <w:rPr>
                      <w:rFonts w:hint="eastAsia"/>
                      <w:color w:val="auto"/>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732" w:type="pct"/>
                  <w:vAlign w:val="center"/>
                </w:tcPr>
                <w:p>
                  <w:pPr>
                    <w:jc w:val="center"/>
                    <w:rPr>
                      <w:color w:val="auto"/>
                      <w:szCs w:val="21"/>
                    </w:rPr>
                  </w:pPr>
                  <w:r>
                    <w:rPr>
                      <w:rFonts w:hint="eastAsia"/>
                      <w:color w:val="auto"/>
                      <w:szCs w:val="21"/>
                      <w:highlight w:val="none"/>
                    </w:rPr>
                    <w:t>上料、配料、混料、包装工序</w:t>
                  </w:r>
                  <w:r>
                    <w:rPr>
                      <w:color w:val="auto"/>
                      <w:szCs w:val="21"/>
                      <w:highlight w:val="none"/>
                    </w:rPr>
                    <w:t>排气筒</w:t>
                  </w:r>
                  <w:r>
                    <w:rPr>
                      <w:rFonts w:hint="eastAsia"/>
                      <w:color w:val="auto"/>
                      <w:szCs w:val="21"/>
                      <w:highlight w:val="none"/>
                    </w:rPr>
                    <w:t>（DA006）</w:t>
                  </w:r>
                </w:p>
              </w:tc>
              <w:tc>
                <w:tcPr>
                  <w:tcW w:w="779" w:type="pct"/>
                  <w:vAlign w:val="center"/>
                </w:tcPr>
                <w:p>
                  <w:pPr>
                    <w:jc w:val="center"/>
                    <w:rPr>
                      <w:color w:val="auto"/>
                    </w:rPr>
                  </w:pPr>
                  <w:r>
                    <w:rPr>
                      <w:color w:val="auto"/>
                    </w:rPr>
                    <w:t>34.490880244</w:t>
                  </w:r>
                </w:p>
              </w:tc>
              <w:tc>
                <w:tcPr>
                  <w:tcW w:w="1005" w:type="pct"/>
                  <w:vAlign w:val="center"/>
                </w:tcPr>
                <w:p>
                  <w:pPr>
                    <w:jc w:val="center"/>
                    <w:rPr>
                      <w:color w:val="auto"/>
                    </w:rPr>
                  </w:pPr>
                  <w:r>
                    <w:rPr>
                      <w:color w:val="auto"/>
                    </w:rPr>
                    <w:t>109.430012585</w:t>
                  </w:r>
                </w:p>
              </w:tc>
              <w:tc>
                <w:tcPr>
                  <w:tcW w:w="440" w:type="pct"/>
                  <w:vAlign w:val="center"/>
                </w:tcPr>
                <w:p>
                  <w:pPr>
                    <w:jc w:val="center"/>
                    <w:rPr>
                      <w:color w:val="auto"/>
                    </w:rPr>
                  </w:pPr>
                  <w:r>
                    <w:rPr>
                      <w:rFonts w:hint="eastAsia"/>
                      <w:color w:val="auto"/>
                    </w:rPr>
                    <w:t>357.57</w:t>
                  </w:r>
                </w:p>
              </w:tc>
              <w:tc>
                <w:tcPr>
                  <w:tcW w:w="290" w:type="pct"/>
                  <w:vAlign w:val="center"/>
                </w:tcPr>
                <w:p>
                  <w:pPr>
                    <w:jc w:val="center"/>
                    <w:rPr>
                      <w:color w:val="auto"/>
                    </w:rPr>
                  </w:pPr>
                  <w:r>
                    <w:rPr>
                      <w:rFonts w:hint="eastAsia"/>
                      <w:color w:val="auto"/>
                    </w:rPr>
                    <w:t>25</w:t>
                  </w:r>
                </w:p>
              </w:tc>
              <w:tc>
                <w:tcPr>
                  <w:tcW w:w="413" w:type="pct"/>
                  <w:vAlign w:val="center"/>
                </w:tcPr>
                <w:p>
                  <w:pPr>
                    <w:jc w:val="center"/>
                    <w:rPr>
                      <w:color w:val="auto"/>
                    </w:rPr>
                  </w:pPr>
                  <w:r>
                    <w:rPr>
                      <w:rFonts w:hint="eastAsia"/>
                      <w:color w:val="auto"/>
                    </w:rPr>
                    <w:t>0.3</w:t>
                  </w:r>
                </w:p>
              </w:tc>
              <w:tc>
                <w:tcPr>
                  <w:tcW w:w="480" w:type="pct"/>
                  <w:vAlign w:val="center"/>
                </w:tcPr>
                <w:p>
                  <w:pPr>
                    <w:jc w:val="center"/>
                    <w:rPr>
                      <w:color w:val="auto"/>
                    </w:rPr>
                  </w:pPr>
                  <w:r>
                    <w:rPr>
                      <w:rFonts w:hint="eastAsia"/>
                      <w:color w:val="auto"/>
                    </w:rPr>
                    <w:t>19.64</w:t>
                  </w:r>
                </w:p>
              </w:tc>
              <w:tc>
                <w:tcPr>
                  <w:tcW w:w="403" w:type="pct"/>
                  <w:vAlign w:val="center"/>
                </w:tcPr>
                <w:p>
                  <w:pPr>
                    <w:jc w:val="center"/>
                    <w:rPr>
                      <w:color w:val="auto"/>
                    </w:rPr>
                  </w:pPr>
                  <w:r>
                    <w:rPr>
                      <w:rFonts w:hint="eastAsia"/>
                      <w:color w:val="auto"/>
                    </w:rPr>
                    <w:t>25</w:t>
                  </w:r>
                </w:p>
              </w:tc>
              <w:tc>
                <w:tcPr>
                  <w:tcW w:w="457" w:type="pct"/>
                  <w:vAlign w:val="center"/>
                </w:tcPr>
                <w:p>
                  <w:pPr>
                    <w:jc w:val="center"/>
                    <w:rPr>
                      <w:color w:val="auto"/>
                    </w:rPr>
                  </w:pPr>
                  <w:r>
                    <w:rPr>
                      <w:rFonts w:hint="eastAsia"/>
                      <w:color w:val="auto"/>
                    </w:rPr>
                    <w:t>7200</w:t>
                  </w:r>
                </w:p>
              </w:tc>
            </w:tr>
          </w:tbl>
          <w:p>
            <w:pPr>
              <w:adjustRightInd w:val="0"/>
              <w:spacing w:before="120" w:beforeLines="50" w:line="360" w:lineRule="auto"/>
              <w:ind w:firstLine="480" w:firstLineChars="200"/>
              <w:rPr>
                <w:color w:val="auto"/>
                <w:sz w:val="24"/>
              </w:rPr>
            </w:pPr>
            <w:r>
              <w:rPr>
                <w:rFonts w:hint="eastAsia"/>
                <w:color w:val="auto"/>
                <w:sz w:val="24"/>
              </w:rPr>
              <w:t>（5）</w:t>
            </w:r>
            <w:r>
              <w:rPr>
                <w:color w:val="auto"/>
                <w:sz w:val="24"/>
              </w:rPr>
              <w:t>大气污染物排放量核算</w:t>
            </w:r>
          </w:p>
          <w:p>
            <w:pPr>
              <w:adjustRightInd w:val="0"/>
              <w:spacing w:line="360" w:lineRule="auto"/>
              <w:ind w:firstLine="480" w:firstLineChars="200"/>
              <w:rPr>
                <w:color w:val="auto"/>
                <w:sz w:val="24"/>
              </w:rPr>
            </w:pPr>
            <w:r>
              <w:rPr>
                <w:color w:val="auto"/>
                <w:sz w:val="24"/>
              </w:rPr>
              <w:t>本项目大气污染物排放量核算结果如下：</w:t>
            </w:r>
          </w:p>
          <w:p>
            <w:pPr>
              <w:autoSpaceDE w:val="0"/>
              <w:autoSpaceDN w:val="0"/>
              <w:adjustRightInd w:val="0"/>
              <w:spacing w:before="48" w:beforeLines="20"/>
              <w:ind w:firstLine="482" w:firstLineChars="200"/>
              <w:jc w:val="center"/>
              <w:rPr>
                <w:b/>
                <w:snapToGrid w:val="0"/>
                <w:color w:val="auto"/>
                <w:sz w:val="24"/>
                <w:lang w:val="zh-CN"/>
              </w:rPr>
            </w:pPr>
            <w:r>
              <w:rPr>
                <w:b/>
                <w:snapToGrid w:val="0"/>
                <w:color w:val="auto"/>
                <w:sz w:val="24"/>
                <w:lang w:val="zh-CN"/>
              </w:rPr>
              <w:t>表4-</w:t>
            </w:r>
            <w:r>
              <w:rPr>
                <w:rFonts w:hint="eastAsia"/>
                <w:b/>
                <w:snapToGrid w:val="0"/>
                <w:color w:val="auto"/>
                <w:sz w:val="24"/>
                <w:lang w:val="zh-CN"/>
              </w:rPr>
              <w:t>8</w:t>
            </w:r>
            <w:r>
              <w:rPr>
                <w:b/>
                <w:snapToGrid w:val="0"/>
                <w:color w:val="auto"/>
                <w:sz w:val="24"/>
                <w:lang w:val="zh-CN"/>
              </w:rPr>
              <w:t xml:space="preserve">   大气污染物有组织排放量核算表</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92"/>
              <w:gridCol w:w="2176"/>
              <w:gridCol w:w="803"/>
              <w:gridCol w:w="1647"/>
              <w:gridCol w:w="1634"/>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13" w:type="dxa"/>
                  <w:vAlign w:val="center"/>
                </w:tcPr>
                <w:p>
                  <w:pPr>
                    <w:jc w:val="center"/>
                    <w:rPr>
                      <w:color w:val="auto"/>
                    </w:rPr>
                  </w:pPr>
                  <w:r>
                    <w:rPr>
                      <w:color w:val="auto"/>
                    </w:rPr>
                    <w:t>序号</w:t>
                  </w:r>
                </w:p>
              </w:tc>
              <w:tc>
                <w:tcPr>
                  <w:tcW w:w="2268" w:type="dxa"/>
                  <w:vAlign w:val="center"/>
                </w:tcPr>
                <w:p>
                  <w:pPr>
                    <w:jc w:val="center"/>
                    <w:rPr>
                      <w:color w:val="auto"/>
                    </w:rPr>
                  </w:pPr>
                  <w:r>
                    <w:rPr>
                      <w:color w:val="auto"/>
                    </w:rPr>
                    <w:t>排放口名称</w:t>
                  </w:r>
                </w:p>
              </w:tc>
              <w:tc>
                <w:tcPr>
                  <w:tcW w:w="850" w:type="dxa"/>
                  <w:vAlign w:val="center"/>
                </w:tcPr>
                <w:p>
                  <w:pPr>
                    <w:jc w:val="center"/>
                    <w:rPr>
                      <w:color w:val="auto"/>
                    </w:rPr>
                  </w:pPr>
                  <w:r>
                    <w:rPr>
                      <w:color w:val="auto"/>
                    </w:rPr>
                    <w:t>污染物</w:t>
                  </w:r>
                </w:p>
              </w:tc>
              <w:tc>
                <w:tcPr>
                  <w:tcW w:w="1701" w:type="dxa"/>
                  <w:vAlign w:val="center"/>
                </w:tcPr>
                <w:p>
                  <w:pPr>
                    <w:jc w:val="center"/>
                    <w:rPr>
                      <w:color w:val="auto"/>
                    </w:rPr>
                  </w:pPr>
                  <w:r>
                    <w:rPr>
                      <w:color w:val="auto"/>
                    </w:rPr>
                    <w:t>核算排放浓度/（mg/m</w:t>
                  </w:r>
                  <w:r>
                    <w:rPr>
                      <w:color w:val="auto"/>
                      <w:vertAlign w:val="superscript"/>
                    </w:rPr>
                    <w:t>3</w:t>
                  </w:r>
                  <w:r>
                    <w:rPr>
                      <w:color w:val="auto"/>
                    </w:rPr>
                    <w:t>）</w:t>
                  </w:r>
                </w:p>
              </w:tc>
              <w:tc>
                <w:tcPr>
                  <w:tcW w:w="1701" w:type="dxa"/>
                  <w:vAlign w:val="center"/>
                </w:tcPr>
                <w:p>
                  <w:pPr>
                    <w:jc w:val="center"/>
                    <w:rPr>
                      <w:color w:val="auto"/>
                    </w:rPr>
                  </w:pPr>
                  <w:r>
                    <w:rPr>
                      <w:color w:val="auto"/>
                    </w:rPr>
                    <w:t>核算排放速率/（kg/h）</w:t>
                  </w:r>
                </w:p>
              </w:tc>
              <w:tc>
                <w:tcPr>
                  <w:tcW w:w="1419" w:type="dxa"/>
                  <w:vAlign w:val="center"/>
                </w:tcPr>
                <w:p>
                  <w:pPr>
                    <w:jc w:val="center"/>
                    <w:rPr>
                      <w:color w:val="auto"/>
                    </w:rPr>
                  </w:pPr>
                  <w:r>
                    <w:rPr>
                      <w:color w:val="auto"/>
                    </w:rPr>
                    <w:t>核算年排放量/（t/a）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13" w:type="dxa"/>
                  <w:vAlign w:val="center"/>
                </w:tcPr>
                <w:p>
                  <w:pPr>
                    <w:jc w:val="center"/>
                    <w:rPr>
                      <w:color w:val="auto"/>
                    </w:rPr>
                  </w:pPr>
                  <w:r>
                    <w:rPr>
                      <w:color w:val="auto"/>
                    </w:rPr>
                    <w:t>1</w:t>
                  </w:r>
                </w:p>
              </w:tc>
              <w:tc>
                <w:tcPr>
                  <w:tcW w:w="2268" w:type="dxa"/>
                  <w:vAlign w:val="center"/>
                </w:tcPr>
                <w:p>
                  <w:pPr>
                    <w:autoSpaceDE w:val="0"/>
                    <w:autoSpaceDN w:val="0"/>
                    <w:adjustRightInd w:val="0"/>
                    <w:jc w:val="center"/>
                    <w:rPr>
                      <w:color w:val="auto"/>
                      <w:szCs w:val="21"/>
                    </w:rPr>
                  </w:pPr>
                  <w:r>
                    <w:rPr>
                      <w:color w:val="auto"/>
                      <w:szCs w:val="21"/>
                    </w:rPr>
                    <w:t>硫铝酸盐水泥筒仓</w:t>
                  </w:r>
                  <w:r>
                    <w:rPr>
                      <w:rFonts w:hint="eastAsia"/>
                      <w:color w:val="auto"/>
                      <w:szCs w:val="21"/>
                    </w:rPr>
                    <w:t>A产线（DA001）</w:t>
                  </w:r>
                </w:p>
              </w:tc>
              <w:tc>
                <w:tcPr>
                  <w:tcW w:w="850" w:type="dxa"/>
                  <w:vAlign w:val="center"/>
                </w:tcPr>
                <w:p>
                  <w:pPr>
                    <w:jc w:val="center"/>
                    <w:rPr>
                      <w:color w:val="auto"/>
                    </w:rPr>
                  </w:pPr>
                  <w:r>
                    <w:rPr>
                      <w:color w:val="auto"/>
                    </w:rPr>
                    <w:t>颗粒物</w:t>
                  </w:r>
                </w:p>
              </w:tc>
              <w:tc>
                <w:tcPr>
                  <w:tcW w:w="1701" w:type="dxa"/>
                  <w:vAlign w:val="center"/>
                </w:tcPr>
                <w:p>
                  <w:pPr>
                    <w:jc w:val="center"/>
                    <w:rPr>
                      <w:color w:val="auto"/>
                      <w:szCs w:val="21"/>
                    </w:rPr>
                  </w:pPr>
                  <w:r>
                    <w:rPr>
                      <w:rFonts w:hint="eastAsia"/>
                      <w:color w:val="auto"/>
                      <w:szCs w:val="21"/>
                    </w:rPr>
                    <w:t>4.55</w:t>
                  </w:r>
                </w:p>
              </w:tc>
              <w:tc>
                <w:tcPr>
                  <w:tcW w:w="1701" w:type="dxa"/>
                  <w:vAlign w:val="center"/>
                </w:tcPr>
                <w:p>
                  <w:pPr>
                    <w:jc w:val="center"/>
                    <w:rPr>
                      <w:color w:val="auto"/>
                      <w:szCs w:val="21"/>
                    </w:rPr>
                  </w:pPr>
                  <w:r>
                    <w:rPr>
                      <w:rFonts w:hint="eastAsia"/>
                      <w:color w:val="auto"/>
                      <w:szCs w:val="21"/>
                    </w:rPr>
                    <w:t>0.0045</w:t>
                  </w:r>
                </w:p>
              </w:tc>
              <w:tc>
                <w:tcPr>
                  <w:tcW w:w="1419" w:type="dxa"/>
                  <w:vAlign w:val="center"/>
                </w:tcPr>
                <w:p>
                  <w:pPr>
                    <w:jc w:val="center"/>
                    <w:rPr>
                      <w:color w:val="auto"/>
                      <w:szCs w:val="21"/>
                    </w:rPr>
                  </w:pPr>
                  <w:r>
                    <w:rPr>
                      <w:rFonts w:hint="eastAsia"/>
                      <w:color w:val="auto"/>
                      <w:szCs w:val="21"/>
                    </w:rPr>
                    <w:t>0.0015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13" w:type="dxa"/>
                  <w:vAlign w:val="center"/>
                </w:tcPr>
                <w:p>
                  <w:pPr>
                    <w:jc w:val="center"/>
                    <w:rPr>
                      <w:color w:val="auto"/>
                    </w:rPr>
                  </w:pPr>
                  <w:r>
                    <w:rPr>
                      <w:rFonts w:hint="eastAsia"/>
                      <w:color w:val="auto"/>
                    </w:rPr>
                    <w:t>2</w:t>
                  </w:r>
                </w:p>
              </w:tc>
              <w:tc>
                <w:tcPr>
                  <w:tcW w:w="2268" w:type="dxa"/>
                  <w:vAlign w:val="center"/>
                </w:tcPr>
                <w:p>
                  <w:pPr>
                    <w:autoSpaceDE w:val="0"/>
                    <w:autoSpaceDN w:val="0"/>
                    <w:adjustRightInd w:val="0"/>
                    <w:jc w:val="center"/>
                    <w:rPr>
                      <w:color w:val="auto"/>
                      <w:szCs w:val="21"/>
                    </w:rPr>
                  </w:pPr>
                  <w:r>
                    <w:rPr>
                      <w:color w:val="auto"/>
                      <w:szCs w:val="21"/>
                    </w:rPr>
                    <w:t>硫铝酸盐水泥筒仓</w:t>
                  </w:r>
                  <w:r>
                    <w:rPr>
                      <w:rFonts w:hint="eastAsia"/>
                      <w:color w:val="auto"/>
                      <w:szCs w:val="21"/>
                    </w:rPr>
                    <w:t>B产线（DA002）</w:t>
                  </w:r>
                </w:p>
              </w:tc>
              <w:tc>
                <w:tcPr>
                  <w:tcW w:w="850" w:type="dxa"/>
                  <w:vAlign w:val="center"/>
                </w:tcPr>
                <w:p>
                  <w:pPr>
                    <w:jc w:val="center"/>
                    <w:rPr>
                      <w:color w:val="auto"/>
                    </w:rPr>
                  </w:pPr>
                  <w:r>
                    <w:rPr>
                      <w:color w:val="auto"/>
                    </w:rPr>
                    <w:t>颗粒物</w:t>
                  </w:r>
                </w:p>
              </w:tc>
              <w:tc>
                <w:tcPr>
                  <w:tcW w:w="1701" w:type="dxa"/>
                  <w:vAlign w:val="center"/>
                </w:tcPr>
                <w:p>
                  <w:pPr>
                    <w:jc w:val="center"/>
                    <w:rPr>
                      <w:color w:val="auto"/>
                      <w:szCs w:val="21"/>
                    </w:rPr>
                  </w:pPr>
                  <w:r>
                    <w:rPr>
                      <w:rFonts w:hint="eastAsia"/>
                      <w:color w:val="auto"/>
                      <w:szCs w:val="21"/>
                    </w:rPr>
                    <w:t>4.55</w:t>
                  </w:r>
                </w:p>
              </w:tc>
              <w:tc>
                <w:tcPr>
                  <w:tcW w:w="1701" w:type="dxa"/>
                  <w:vAlign w:val="center"/>
                </w:tcPr>
                <w:p>
                  <w:pPr>
                    <w:jc w:val="center"/>
                    <w:rPr>
                      <w:color w:val="auto"/>
                      <w:szCs w:val="21"/>
                    </w:rPr>
                  </w:pPr>
                  <w:r>
                    <w:rPr>
                      <w:rFonts w:hint="eastAsia"/>
                      <w:color w:val="auto"/>
                      <w:szCs w:val="21"/>
                    </w:rPr>
                    <w:t>0.0015</w:t>
                  </w:r>
                </w:p>
              </w:tc>
              <w:tc>
                <w:tcPr>
                  <w:tcW w:w="1419" w:type="dxa"/>
                  <w:vAlign w:val="center"/>
                </w:tcPr>
                <w:p>
                  <w:pPr>
                    <w:jc w:val="center"/>
                    <w:rPr>
                      <w:color w:val="auto"/>
                      <w:szCs w:val="21"/>
                    </w:rPr>
                  </w:pPr>
                  <w:r>
                    <w:rPr>
                      <w:rFonts w:hint="eastAsia"/>
                      <w:color w:val="auto"/>
                      <w:szCs w:val="21"/>
                    </w:rPr>
                    <w:t>0.0005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13" w:type="dxa"/>
                  <w:vAlign w:val="center"/>
                </w:tcPr>
                <w:p>
                  <w:pPr>
                    <w:jc w:val="center"/>
                    <w:rPr>
                      <w:color w:val="auto"/>
                    </w:rPr>
                  </w:pPr>
                  <w:r>
                    <w:rPr>
                      <w:rFonts w:hint="eastAsia"/>
                      <w:color w:val="auto"/>
                    </w:rPr>
                    <w:t>3</w:t>
                  </w:r>
                </w:p>
              </w:tc>
              <w:tc>
                <w:tcPr>
                  <w:tcW w:w="2268" w:type="dxa"/>
                  <w:vAlign w:val="center"/>
                </w:tcPr>
                <w:p>
                  <w:pPr>
                    <w:autoSpaceDE w:val="0"/>
                    <w:autoSpaceDN w:val="0"/>
                    <w:adjustRightInd w:val="0"/>
                    <w:jc w:val="center"/>
                    <w:rPr>
                      <w:color w:val="auto"/>
                      <w:szCs w:val="21"/>
                      <w:lang w:val="zh-CN"/>
                    </w:rPr>
                  </w:pPr>
                  <w:r>
                    <w:rPr>
                      <w:color w:val="auto"/>
                      <w:szCs w:val="21"/>
                      <w:lang w:val="zh-CN"/>
                    </w:rPr>
                    <w:t>铝酸盐水泥筒仓</w:t>
                  </w:r>
                  <w:r>
                    <w:rPr>
                      <w:rFonts w:hint="eastAsia"/>
                      <w:color w:val="auto"/>
                      <w:szCs w:val="21"/>
                    </w:rPr>
                    <w:t>（DA003）</w:t>
                  </w:r>
                </w:p>
              </w:tc>
              <w:tc>
                <w:tcPr>
                  <w:tcW w:w="850" w:type="dxa"/>
                  <w:vAlign w:val="center"/>
                </w:tcPr>
                <w:p>
                  <w:pPr>
                    <w:jc w:val="center"/>
                    <w:rPr>
                      <w:color w:val="auto"/>
                    </w:rPr>
                  </w:pPr>
                  <w:r>
                    <w:rPr>
                      <w:color w:val="auto"/>
                    </w:rPr>
                    <w:t>颗粒物</w:t>
                  </w:r>
                </w:p>
              </w:tc>
              <w:tc>
                <w:tcPr>
                  <w:tcW w:w="1701" w:type="dxa"/>
                  <w:vAlign w:val="center"/>
                </w:tcPr>
                <w:p>
                  <w:pPr>
                    <w:jc w:val="center"/>
                    <w:rPr>
                      <w:color w:val="auto"/>
                      <w:szCs w:val="21"/>
                    </w:rPr>
                  </w:pPr>
                  <w:r>
                    <w:rPr>
                      <w:rFonts w:hint="eastAsia"/>
                      <w:color w:val="auto"/>
                      <w:szCs w:val="21"/>
                    </w:rPr>
                    <w:t>4.55</w:t>
                  </w:r>
                </w:p>
              </w:tc>
              <w:tc>
                <w:tcPr>
                  <w:tcW w:w="1701" w:type="dxa"/>
                  <w:vAlign w:val="center"/>
                </w:tcPr>
                <w:p>
                  <w:pPr>
                    <w:jc w:val="center"/>
                    <w:rPr>
                      <w:color w:val="auto"/>
                      <w:szCs w:val="21"/>
                    </w:rPr>
                  </w:pPr>
                  <w:r>
                    <w:rPr>
                      <w:rFonts w:hint="eastAsia"/>
                      <w:color w:val="auto"/>
                      <w:szCs w:val="21"/>
                    </w:rPr>
                    <w:t>0.006</w:t>
                  </w:r>
                </w:p>
              </w:tc>
              <w:tc>
                <w:tcPr>
                  <w:tcW w:w="1419" w:type="dxa"/>
                  <w:vAlign w:val="center"/>
                </w:tcPr>
                <w:p>
                  <w:pPr>
                    <w:jc w:val="center"/>
                    <w:rPr>
                      <w:color w:val="auto"/>
                      <w:szCs w:val="21"/>
                    </w:rPr>
                  </w:pPr>
                  <w:r>
                    <w:rPr>
                      <w:rFonts w:hint="eastAsia"/>
                      <w:color w:val="auto"/>
                      <w:szCs w:val="21"/>
                    </w:rPr>
                    <w:t>0.0002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13" w:type="dxa"/>
                  <w:vAlign w:val="center"/>
                </w:tcPr>
                <w:p>
                  <w:pPr>
                    <w:jc w:val="center"/>
                    <w:rPr>
                      <w:color w:val="auto"/>
                    </w:rPr>
                  </w:pPr>
                  <w:r>
                    <w:rPr>
                      <w:rFonts w:hint="eastAsia"/>
                      <w:color w:val="auto"/>
                    </w:rPr>
                    <w:t>4</w:t>
                  </w:r>
                </w:p>
              </w:tc>
              <w:tc>
                <w:tcPr>
                  <w:tcW w:w="2268" w:type="dxa"/>
                  <w:vAlign w:val="center"/>
                </w:tcPr>
                <w:p>
                  <w:pPr>
                    <w:autoSpaceDE w:val="0"/>
                    <w:autoSpaceDN w:val="0"/>
                    <w:adjustRightInd w:val="0"/>
                    <w:jc w:val="center"/>
                    <w:rPr>
                      <w:color w:val="auto"/>
                      <w:szCs w:val="21"/>
                      <w:lang w:val="zh-CN"/>
                    </w:rPr>
                  </w:pPr>
                  <w:r>
                    <w:rPr>
                      <w:color w:val="auto"/>
                      <w:szCs w:val="21"/>
                      <w:lang w:val="zh-CN"/>
                    </w:rPr>
                    <w:t>普通硅酸盐水泥筒仓</w:t>
                  </w:r>
                  <w:r>
                    <w:rPr>
                      <w:rFonts w:hint="eastAsia"/>
                      <w:color w:val="auto"/>
                      <w:szCs w:val="21"/>
                    </w:rPr>
                    <w:t>（DA004）</w:t>
                  </w:r>
                </w:p>
              </w:tc>
              <w:tc>
                <w:tcPr>
                  <w:tcW w:w="850" w:type="dxa"/>
                  <w:vAlign w:val="center"/>
                </w:tcPr>
                <w:p>
                  <w:pPr>
                    <w:jc w:val="center"/>
                    <w:rPr>
                      <w:color w:val="auto"/>
                    </w:rPr>
                  </w:pPr>
                  <w:r>
                    <w:rPr>
                      <w:color w:val="auto"/>
                    </w:rPr>
                    <w:t>颗粒物</w:t>
                  </w:r>
                </w:p>
              </w:tc>
              <w:tc>
                <w:tcPr>
                  <w:tcW w:w="1701" w:type="dxa"/>
                  <w:vAlign w:val="center"/>
                </w:tcPr>
                <w:p>
                  <w:pPr>
                    <w:jc w:val="center"/>
                    <w:rPr>
                      <w:color w:val="auto"/>
                      <w:szCs w:val="21"/>
                    </w:rPr>
                  </w:pPr>
                  <w:r>
                    <w:rPr>
                      <w:rFonts w:hint="eastAsia"/>
                      <w:color w:val="auto"/>
                      <w:szCs w:val="21"/>
                    </w:rPr>
                    <w:t>4.55</w:t>
                  </w:r>
                </w:p>
              </w:tc>
              <w:tc>
                <w:tcPr>
                  <w:tcW w:w="1701" w:type="dxa"/>
                  <w:vAlign w:val="center"/>
                </w:tcPr>
                <w:p>
                  <w:pPr>
                    <w:jc w:val="center"/>
                    <w:rPr>
                      <w:color w:val="auto"/>
                      <w:szCs w:val="21"/>
                    </w:rPr>
                  </w:pPr>
                  <w:r>
                    <w:rPr>
                      <w:rFonts w:hint="eastAsia"/>
                      <w:color w:val="auto"/>
                      <w:szCs w:val="21"/>
                    </w:rPr>
                    <w:t>0.006</w:t>
                  </w:r>
                </w:p>
              </w:tc>
              <w:tc>
                <w:tcPr>
                  <w:tcW w:w="1419" w:type="dxa"/>
                  <w:vAlign w:val="center"/>
                </w:tcPr>
                <w:p>
                  <w:pPr>
                    <w:jc w:val="center"/>
                    <w:rPr>
                      <w:color w:val="auto"/>
                      <w:szCs w:val="21"/>
                    </w:rPr>
                  </w:pPr>
                  <w:r>
                    <w:rPr>
                      <w:rFonts w:hint="eastAsia"/>
                      <w:color w:val="auto"/>
                      <w:szCs w:val="21"/>
                    </w:rPr>
                    <w:t>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13" w:type="dxa"/>
                  <w:vAlign w:val="center"/>
                </w:tcPr>
                <w:p>
                  <w:pPr>
                    <w:jc w:val="center"/>
                    <w:rPr>
                      <w:color w:val="auto"/>
                    </w:rPr>
                  </w:pPr>
                  <w:r>
                    <w:rPr>
                      <w:rFonts w:hint="eastAsia"/>
                      <w:color w:val="auto"/>
                    </w:rPr>
                    <w:t>5</w:t>
                  </w:r>
                </w:p>
              </w:tc>
              <w:tc>
                <w:tcPr>
                  <w:tcW w:w="2268" w:type="dxa"/>
                  <w:vAlign w:val="center"/>
                </w:tcPr>
                <w:p>
                  <w:pPr>
                    <w:jc w:val="center"/>
                    <w:rPr>
                      <w:color w:val="auto"/>
                      <w:szCs w:val="21"/>
                    </w:rPr>
                  </w:pPr>
                  <w:r>
                    <w:rPr>
                      <w:color w:val="auto"/>
                      <w:szCs w:val="21"/>
                    </w:rPr>
                    <w:t>砂石筒仓</w:t>
                  </w:r>
                  <w:r>
                    <w:rPr>
                      <w:rFonts w:hint="eastAsia"/>
                      <w:color w:val="auto"/>
                      <w:szCs w:val="21"/>
                    </w:rPr>
                    <w:t>（DA005）</w:t>
                  </w:r>
                </w:p>
              </w:tc>
              <w:tc>
                <w:tcPr>
                  <w:tcW w:w="850" w:type="dxa"/>
                  <w:vAlign w:val="center"/>
                </w:tcPr>
                <w:p>
                  <w:pPr>
                    <w:jc w:val="center"/>
                    <w:rPr>
                      <w:color w:val="auto"/>
                    </w:rPr>
                  </w:pPr>
                  <w:r>
                    <w:rPr>
                      <w:color w:val="auto"/>
                    </w:rPr>
                    <w:t>颗粒物</w:t>
                  </w:r>
                </w:p>
              </w:tc>
              <w:tc>
                <w:tcPr>
                  <w:tcW w:w="1701" w:type="dxa"/>
                  <w:vAlign w:val="center"/>
                </w:tcPr>
                <w:p>
                  <w:pPr>
                    <w:jc w:val="center"/>
                    <w:rPr>
                      <w:color w:val="auto"/>
                      <w:szCs w:val="21"/>
                    </w:rPr>
                  </w:pPr>
                  <w:r>
                    <w:rPr>
                      <w:rFonts w:hint="eastAsia"/>
                      <w:color w:val="auto"/>
                      <w:szCs w:val="21"/>
                    </w:rPr>
                    <w:t>3.5</w:t>
                  </w:r>
                </w:p>
              </w:tc>
              <w:tc>
                <w:tcPr>
                  <w:tcW w:w="1701" w:type="dxa"/>
                  <w:vAlign w:val="center"/>
                </w:tcPr>
                <w:p>
                  <w:pPr>
                    <w:jc w:val="center"/>
                    <w:rPr>
                      <w:color w:val="auto"/>
                      <w:szCs w:val="21"/>
                    </w:rPr>
                  </w:pPr>
                  <w:r>
                    <w:rPr>
                      <w:rFonts w:hint="eastAsia"/>
                      <w:color w:val="auto"/>
                      <w:szCs w:val="21"/>
                    </w:rPr>
                    <w:t>0.004</w:t>
                  </w:r>
                </w:p>
              </w:tc>
              <w:tc>
                <w:tcPr>
                  <w:tcW w:w="1419" w:type="dxa"/>
                  <w:vAlign w:val="center"/>
                </w:tcPr>
                <w:p>
                  <w:pPr>
                    <w:jc w:val="center"/>
                    <w:rPr>
                      <w:color w:val="auto"/>
                      <w:szCs w:val="21"/>
                    </w:rPr>
                  </w:pPr>
                  <w:r>
                    <w:rPr>
                      <w:rFonts w:hint="eastAsia"/>
                      <w:color w:val="auto"/>
                      <w:szCs w:val="21"/>
                    </w:rPr>
                    <w:t>0.00007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13" w:type="dxa"/>
                  <w:vAlign w:val="center"/>
                </w:tcPr>
                <w:p>
                  <w:pPr>
                    <w:jc w:val="center"/>
                    <w:rPr>
                      <w:color w:val="auto"/>
                    </w:rPr>
                  </w:pPr>
                  <w:r>
                    <w:rPr>
                      <w:rFonts w:hint="eastAsia"/>
                      <w:color w:val="auto"/>
                    </w:rPr>
                    <w:t>6</w:t>
                  </w:r>
                </w:p>
              </w:tc>
              <w:tc>
                <w:tcPr>
                  <w:tcW w:w="2268" w:type="dxa"/>
                  <w:vAlign w:val="center"/>
                </w:tcPr>
                <w:p>
                  <w:pPr>
                    <w:jc w:val="center"/>
                    <w:rPr>
                      <w:color w:val="auto"/>
                      <w:szCs w:val="21"/>
                    </w:rPr>
                  </w:pPr>
                  <w:r>
                    <w:rPr>
                      <w:rFonts w:hint="eastAsia"/>
                      <w:color w:val="auto"/>
                      <w:szCs w:val="21"/>
                      <w:highlight w:val="none"/>
                    </w:rPr>
                    <w:t>上料、配料、混料、包装工序</w:t>
                  </w:r>
                  <w:r>
                    <w:rPr>
                      <w:color w:val="auto"/>
                      <w:szCs w:val="21"/>
                      <w:highlight w:val="none"/>
                    </w:rPr>
                    <w:t>排气筒</w:t>
                  </w:r>
                  <w:r>
                    <w:rPr>
                      <w:rFonts w:hint="eastAsia"/>
                      <w:color w:val="auto"/>
                      <w:szCs w:val="21"/>
                      <w:highlight w:val="none"/>
                    </w:rPr>
                    <w:t>（DA006）</w:t>
                  </w:r>
                </w:p>
              </w:tc>
              <w:tc>
                <w:tcPr>
                  <w:tcW w:w="850" w:type="dxa"/>
                  <w:vAlign w:val="center"/>
                </w:tcPr>
                <w:p>
                  <w:pPr>
                    <w:jc w:val="center"/>
                    <w:rPr>
                      <w:color w:val="auto"/>
                    </w:rPr>
                  </w:pPr>
                  <w:r>
                    <w:rPr>
                      <w:color w:val="auto"/>
                    </w:rPr>
                    <w:t>颗粒物</w:t>
                  </w:r>
                </w:p>
              </w:tc>
              <w:tc>
                <w:tcPr>
                  <w:tcW w:w="1701" w:type="dxa"/>
                  <w:vAlign w:val="center"/>
                </w:tcPr>
                <w:p>
                  <w:pPr>
                    <w:jc w:val="center"/>
                    <w:rPr>
                      <w:color w:val="auto"/>
                      <w:szCs w:val="21"/>
                    </w:rPr>
                  </w:pPr>
                  <w:r>
                    <w:rPr>
                      <w:rFonts w:hint="eastAsia"/>
                      <w:color w:val="auto"/>
                      <w:szCs w:val="21"/>
                    </w:rPr>
                    <w:t>0.854</w:t>
                  </w:r>
                </w:p>
              </w:tc>
              <w:tc>
                <w:tcPr>
                  <w:tcW w:w="1701" w:type="dxa"/>
                  <w:vAlign w:val="center"/>
                </w:tcPr>
                <w:p>
                  <w:pPr>
                    <w:jc w:val="center"/>
                    <w:rPr>
                      <w:color w:val="auto"/>
                      <w:szCs w:val="21"/>
                    </w:rPr>
                  </w:pPr>
                  <w:r>
                    <w:rPr>
                      <w:rFonts w:hint="eastAsia"/>
                      <w:color w:val="auto"/>
                      <w:szCs w:val="21"/>
                    </w:rPr>
                    <w:t>0.004</w:t>
                  </w:r>
                </w:p>
              </w:tc>
              <w:tc>
                <w:tcPr>
                  <w:tcW w:w="1419" w:type="dxa"/>
                  <w:vAlign w:val="center"/>
                </w:tcPr>
                <w:p>
                  <w:pPr>
                    <w:jc w:val="center"/>
                    <w:rPr>
                      <w:color w:val="auto"/>
                      <w:szCs w:val="21"/>
                    </w:rPr>
                  </w:pPr>
                  <w:r>
                    <w:rPr>
                      <w:rFonts w:hint="eastAsia"/>
                      <w:color w:val="auto"/>
                      <w:szCs w:val="21"/>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033" w:type="dxa"/>
                  <w:gridSpan w:val="5"/>
                  <w:vAlign w:val="center"/>
                </w:tcPr>
                <w:p>
                  <w:pPr>
                    <w:jc w:val="center"/>
                    <w:rPr>
                      <w:color w:val="auto"/>
                      <w:szCs w:val="21"/>
                    </w:rPr>
                  </w:pPr>
                  <w:r>
                    <w:rPr>
                      <w:rFonts w:hint="eastAsia"/>
                      <w:color w:val="auto"/>
                    </w:rPr>
                    <w:t>合计</w:t>
                  </w:r>
                </w:p>
              </w:tc>
              <w:tc>
                <w:tcPr>
                  <w:tcW w:w="1419" w:type="dxa"/>
                  <w:vAlign w:val="center"/>
                </w:tcPr>
                <w:p>
                  <w:pPr>
                    <w:jc w:val="center"/>
                    <w:rPr>
                      <w:color w:val="auto"/>
                      <w:szCs w:val="21"/>
                    </w:rPr>
                  </w:pPr>
                  <w:r>
                    <w:rPr>
                      <w:rFonts w:hint="eastAsia"/>
                      <w:color w:val="auto"/>
                      <w:szCs w:val="21"/>
                    </w:rPr>
                    <w:t>0.03327</w:t>
                  </w:r>
                </w:p>
              </w:tc>
            </w:tr>
          </w:tbl>
          <w:p>
            <w:pPr>
              <w:autoSpaceDE w:val="0"/>
              <w:autoSpaceDN w:val="0"/>
              <w:adjustRightInd w:val="0"/>
              <w:spacing w:before="120" w:beforeLines="50"/>
              <w:ind w:firstLine="482" w:firstLineChars="200"/>
              <w:jc w:val="center"/>
              <w:rPr>
                <w:b/>
                <w:snapToGrid w:val="0"/>
                <w:color w:val="auto"/>
                <w:sz w:val="24"/>
                <w:lang w:val="zh-CN"/>
              </w:rPr>
            </w:pPr>
            <w:r>
              <w:rPr>
                <w:b/>
                <w:snapToGrid w:val="0"/>
                <w:color w:val="auto"/>
                <w:sz w:val="24"/>
                <w:lang w:val="zh-CN"/>
              </w:rPr>
              <w:t>表4-</w:t>
            </w:r>
            <w:r>
              <w:rPr>
                <w:rFonts w:hint="eastAsia"/>
                <w:b/>
                <w:snapToGrid w:val="0"/>
                <w:color w:val="auto"/>
                <w:sz w:val="24"/>
                <w:lang w:val="zh-CN"/>
              </w:rPr>
              <w:t>9</w:t>
            </w:r>
            <w:r>
              <w:rPr>
                <w:b/>
                <w:snapToGrid w:val="0"/>
                <w:color w:val="auto"/>
                <w:sz w:val="24"/>
                <w:lang w:val="zh-CN"/>
              </w:rPr>
              <w:t xml:space="preserve">   大气污染物无组织排放量核算表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73"/>
              <w:gridCol w:w="1382"/>
              <w:gridCol w:w="834"/>
              <w:gridCol w:w="2765"/>
              <w:gridCol w:w="25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53" w:type="pct"/>
                  <w:vAlign w:val="center"/>
                </w:tcPr>
                <w:p>
                  <w:pPr>
                    <w:jc w:val="center"/>
                    <w:rPr>
                      <w:color w:val="auto"/>
                    </w:rPr>
                  </w:pPr>
                  <w:r>
                    <w:rPr>
                      <w:color w:val="auto"/>
                    </w:rPr>
                    <w:t>序号</w:t>
                  </w:r>
                </w:p>
              </w:tc>
              <w:tc>
                <w:tcPr>
                  <w:tcW w:w="851" w:type="pct"/>
                  <w:vAlign w:val="center"/>
                </w:tcPr>
                <w:p>
                  <w:pPr>
                    <w:jc w:val="center"/>
                    <w:rPr>
                      <w:color w:val="auto"/>
                    </w:rPr>
                  </w:pPr>
                  <w:r>
                    <w:rPr>
                      <w:color w:val="auto"/>
                    </w:rPr>
                    <w:t>排放源名称</w:t>
                  </w:r>
                </w:p>
              </w:tc>
              <w:tc>
                <w:tcPr>
                  <w:tcW w:w="514" w:type="pct"/>
                  <w:vAlign w:val="center"/>
                </w:tcPr>
                <w:p>
                  <w:pPr>
                    <w:jc w:val="center"/>
                    <w:rPr>
                      <w:color w:val="auto"/>
                    </w:rPr>
                  </w:pPr>
                  <w:r>
                    <w:rPr>
                      <w:color w:val="auto"/>
                    </w:rPr>
                    <w:t>污染物</w:t>
                  </w:r>
                </w:p>
              </w:tc>
              <w:tc>
                <w:tcPr>
                  <w:tcW w:w="1703" w:type="pct"/>
                  <w:vAlign w:val="center"/>
                </w:tcPr>
                <w:p>
                  <w:pPr>
                    <w:jc w:val="center"/>
                    <w:rPr>
                      <w:color w:val="auto"/>
                    </w:rPr>
                  </w:pPr>
                  <w:r>
                    <w:rPr>
                      <w:color w:val="auto"/>
                    </w:rPr>
                    <w:t>核算排放速率/（kg/h）</w:t>
                  </w:r>
                </w:p>
              </w:tc>
              <w:tc>
                <w:tcPr>
                  <w:tcW w:w="1580" w:type="pct"/>
                  <w:vAlign w:val="center"/>
                </w:tcPr>
                <w:p>
                  <w:pPr>
                    <w:jc w:val="center"/>
                    <w:rPr>
                      <w:color w:val="auto"/>
                    </w:rPr>
                  </w:pPr>
                  <w:r>
                    <w:rPr>
                      <w:color w:val="auto"/>
                    </w:rPr>
                    <w:t>核算年排放量/（t/a）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353" w:type="pct"/>
                  <w:vAlign w:val="center"/>
                </w:tcPr>
                <w:p>
                  <w:pPr>
                    <w:jc w:val="center"/>
                    <w:rPr>
                      <w:color w:val="auto"/>
                    </w:rPr>
                  </w:pPr>
                  <w:r>
                    <w:rPr>
                      <w:color w:val="auto"/>
                    </w:rPr>
                    <w:t>1</w:t>
                  </w:r>
                </w:p>
              </w:tc>
              <w:tc>
                <w:tcPr>
                  <w:tcW w:w="851" w:type="pct"/>
                  <w:vAlign w:val="center"/>
                </w:tcPr>
                <w:p>
                  <w:pPr>
                    <w:jc w:val="center"/>
                    <w:rPr>
                      <w:color w:val="auto"/>
                    </w:rPr>
                  </w:pPr>
                  <w:r>
                    <w:rPr>
                      <w:color w:val="auto"/>
                    </w:rPr>
                    <w:t>厂房</w:t>
                  </w:r>
                </w:p>
              </w:tc>
              <w:tc>
                <w:tcPr>
                  <w:tcW w:w="514" w:type="pct"/>
                  <w:vAlign w:val="center"/>
                </w:tcPr>
                <w:p>
                  <w:pPr>
                    <w:adjustRightInd w:val="0"/>
                    <w:jc w:val="center"/>
                    <w:rPr>
                      <w:color w:val="auto"/>
                      <w:szCs w:val="21"/>
                      <w:lang w:val="en-GB"/>
                    </w:rPr>
                  </w:pPr>
                  <w:r>
                    <w:rPr>
                      <w:color w:val="auto"/>
                      <w:szCs w:val="21"/>
                      <w:lang w:val="en-GB"/>
                    </w:rPr>
                    <w:t>颗粒物</w:t>
                  </w:r>
                </w:p>
              </w:tc>
              <w:tc>
                <w:tcPr>
                  <w:tcW w:w="1703" w:type="pct"/>
                  <w:vAlign w:val="center"/>
                </w:tcPr>
                <w:p>
                  <w:pPr>
                    <w:adjustRightInd w:val="0"/>
                    <w:jc w:val="center"/>
                    <w:rPr>
                      <w:bCs/>
                      <w:color w:val="auto"/>
                      <w:szCs w:val="21"/>
                    </w:rPr>
                  </w:pPr>
                  <w:r>
                    <w:rPr>
                      <w:rFonts w:hint="eastAsia"/>
                      <w:bCs/>
                      <w:color w:val="auto"/>
                      <w:szCs w:val="21"/>
                    </w:rPr>
                    <w:t>0.47</w:t>
                  </w:r>
                </w:p>
              </w:tc>
              <w:tc>
                <w:tcPr>
                  <w:tcW w:w="1580" w:type="pct"/>
                  <w:vAlign w:val="center"/>
                </w:tcPr>
                <w:p>
                  <w:pPr>
                    <w:jc w:val="center"/>
                    <w:rPr>
                      <w:color w:val="auto"/>
                    </w:rPr>
                  </w:pPr>
                  <w:r>
                    <w:rPr>
                      <w:rFonts w:hint="eastAsia"/>
                      <w:color w:val="auto"/>
                    </w:rPr>
                    <w:t>0.0036</w:t>
                  </w:r>
                </w:p>
              </w:tc>
            </w:tr>
          </w:tbl>
          <w:p>
            <w:pPr>
              <w:adjustRightInd w:val="0"/>
              <w:snapToGrid w:val="0"/>
              <w:spacing w:before="120" w:beforeLines="50" w:line="360" w:lineRule="auto"/>
              <w:ind w:firstLine="480" w:firstLineChars="200"/>
              <w:jc w:val="left"/>
              <w:rPr>
                <w:color w:val="auto"/>
                <w:sz w:val="24"/>
              </w:rPr>
            </w:pPr>
            <w:r>
              <w:rPr>
                <w:rFonts w:hint="eastAsia"/>
                <w:color w:val="auto"/>
                <w:sz w:val="24"/>
              </w:rPr>
              <w:t>（6）监测计划</w:t>
            </w:r>
          </w:p>
          <w:p>
            <w:pPr>
              <w:spacing w:line="360" w:lineRule="auto"/>
              <w:ind w:firstLine="480" w:firstLineChars="200"/>
              <w:rPr>
                <w:b/>
                <w:bCs/>
                <w:color w:val="auto"/>
                <w:kern w:val="0"/>
              </w:rPr>
            </w:pPr>
            <w:r>
              <w:rPr>
                <w:color w:val="auto"/>
                <w:sz w:val="24"/>
              </w:rPr>
              <w:t>运营期污染源与环境监测计划见表4-</w:t>
            </w:r>
            <w:r>
              <w:rPr>
                <w:rFonts w:hint="eastAsia"/>
                <w:color w:val="auto"/>
                <w:sz w:val="24"/>
              </w:rPr>
              <w:t>10</w:t>
            </w:r>
            <w:r>
              <w:rPr>
                <w:color w:val="auto"/>
                <w:sz w:val="24"/>
              </w:rPr>
              <w:t>，参照《排污单位自行监测技术指南  总则》（HJ 819-2017）执行。</w:t>
            </w:r>
          </w:p>
          <w:p>
            <w:pPr>
              <w:autoSpaceDE w:val="0"/>
              <w:autoSpaceDN w:val="0"/>
              <w:adjustRightInd w:val="0"/>
              <w:spacing w:before="48" w:beforeLines="20"/>
              <w:ind w:firstLine="482" w:firstLineChars="200"/>
              <w:jc w:val="center"/>
              <w:rPr>
                <w:b/>
                <w:snapToGrid w:val="0"/>
                <w:color w:val="auto"/>
                <w:sz w:val="24"/>
                <w:lang w:val="zh-CN"/>
              </w:rPr>
            </w:pPr>
            <w:r>
              <w:rPr>
                <w:b/>
                <w:snapToGrid w:val="0"/>
                <w:color w:val="auto"/>
                <w:sz w:val="24"/>
                <w:lang w:val="zh-CN"/>
              </w:rPr>
              <w:t>表4-</w:t>
            </w:r>
            <w:r>
              <w:rPr>
                <w:rFonts w:hint="eastAsia"/>
                <w:b/>
                <w:snapToGrid w:val="0"/>
                <w:color w:val="auto"/>
                <w:sz w:val="24"/>
                <w:lang w:val="zh-CN"/>
              </w:rPr>
              <w:t>10</w:t>
            </w:r>
            <w:r>
              <w:rPr>
                <w:b/>
                <w:snapToGrid w:val="0"/>
                <w:color w:val="auto"/>
                <w:sz w:val="24"/>
                <w:lang w:val="zh-CN"/>
              </w:rPr>
              <w:t xml:space="preserve">   污染源监测计划表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96"/>
              <w:gridCol w:w="1198"/>
              <w:gridCol w:w="1192"/>
              <w:gridCol w:w="663"/>
              <w:gridCol w:w="1455"/>
              <w:gridCol w:w="31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06" w:type="pct"/>
                  <w:vAlign w:val="center"/>
                </w:tcPr>
                <w:p>
                  <w:pPr>
                    <w:jc w:val="center"/>
                    <w:rPr>
                      <w:color w:val="auto"/>
                      <w:szCs w:val="21"/>
                    </w:rPr>
                  </w:pPr>
                  <w:r>
                    <w:rPr>
                      <w:color w:val="auto"/>
                      <w:szCs w:val="21"/>
                    </w:rPr>
                    <w:t>项目</w:t>
                  </w:r>
                </w:p>
              </w:tc>
              <w:tc>
                <w:tcPr>
                  <w:tcW w:w="738" w:type="pct"/>
                  <w:vAlign w:val="center"/>
                </w:tcPr>
                <w:p>
                  <w:pPr>
                    <w:jc w:val="center"/>
                    <w:rPr>
                      <w:color w:val="auto"/>
                      <w:szCs w:val="21"/>
                    </w:rPr>
                  </w:pPr>
                  <w:r>
                    <w:rPr>
                      <w:color w:val="auto"/>
                      <w:szCs w:val="21"/>
                    </w:rPr>
                    <w:t>监测项目</w:t>
                  </w:r>
                </w:p>
              </w:tc>
              <w:tc>
                <w:tcPr>
                  <w:tcW w:w="734" w:type="pct"/>
                  <w:vAlign w:val="center"/>
                </w:tcPr>
                <w:p>
                  <w:pPr>
                    <w:jc w:val="center"/>
                    <w:rPr>
                      <w:color w:val="auto"/>
                      <w:szCs w:val="21"/>
                    </w:rPr>
                  </w:pPr>
                  <w:r>
                    <w:rPr>
                      <w:color w:val="auto"/>
                      <w:szCs w:val="21"/>
                    </w:rPr>
                    <w:t>监测点位置</w:t>
                  </w:r>
                </w:p>
              </w:tc>
              <w:tc>
                <w:tcPr>
                  <w:tcW w:w="408" w:type="pct"/>
                  <w:vAlign w:val="center"/>
                </w:tcPr>
                <w:p>
                  <w:pPr>
                    <w:jc w:val="center"/>
                    <w:rPr>
                      <w:color w:val="auto"/>
                      <w:szCs w:val="21"/>
                    </w:rPr>
                  </w:pPr>
                  <w:r>
                    <w:rPr>
                      <w:color w:val="auto"/>
                      <w:szCs w:val="21"/>
                    </w:rPr>
                    <w:t>监测点数</w:t>
                  </w:r>
                </w:p>
              </w:tc>
              <w:tc>
                <w:tcPr>
                  <w:tcW w:w="896" w:type="pct"/>
                  <w:vAlign w:val="center"/>
                </w:tcPr>
                <w:p>
                  <w:pPr>
                    <w:jc w:val="center"/>
                    <w:rPr>
                      <w:color w:val="auto"/>
                      <w:szCs w:val="21"/>
                    </w:rPr>
                  </w:pPr>
                  <w:r>
                    <w:rPr>
                      <w:color w:val="auto"/>
                      <w:szCs w:val="21"/>
                    </w:rPr>
                    <w:t>监测频率</w:t>
                  </w:r>
                </w:p>
              </w:tc>
              <w:tc>
                <w:tcPr>
                  <w:tcW w:w="1917" w:type="pct"/>
                  <w:vAlign w:val="center"/>
                </w:tcPr>
                <w:p>
                  <w:pPr>
                    <w:jc w:val="center"/>
                    <w:rPr>
                      <w:color w:val="auto"/>
                      <w:szCs w:val="21"/>
                    </w:rPr>
                  </w:pPr>
                  <w:r>
                    <w:rPr>
                      <w:color w:val="auto"/>
                      <w:szCs w:val="21"/>
                    </w:rPr>
                    <w:t>控制指标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1" w:hRule="atLeast"/>
              </w:trPr>
              <w:tc>
                <w:tcPr>
                  <w:tcW w:w="306" w:type="pct"/>
                  <w:vMerge w:val="restart"/>
                  <w:vAlign w:val="center"/>
                </w:tcPr>
                <w:p>
                  <w:pPr>
                    <w:snapToGrid w:val="0"/>
                    <w:jc w:val="center"/>
                    <w:rPr>
                      <w:color w:val="auto"/>
                      <w:szCs w:val="21"/>
                    </w:rPr>
                  </w:pPr>
                  <w:r>
                    <w:rPr>
                      <w:color w:val="auto"/>
                      <w:szCs w:val="21"/>
                    </w:rPr>
                    <w:t>废气</w:t>
                  </w:r>
                </w:p>
              </w:tc>
              <w:tc>
                <w:tcPr>
                  <w:tcW w:w="738" w:type="pct"/>
                  <w:vMerge w:val="restart"/>
                  <w:vAlign w:val="center"/>
                </w:tcPr>
                <w:p>
                  <w:pPr>
                    <w:jc w:val="center"/>
                    <w:rPr>
                      <w:color w:val="auto"/>
                      <w:szCs w:val="21"/>
                    </w:rPr>
                  </w:pPr>
                  <w:r>
                    <w:rPr>
                      <w:color w:val="auto"/>
                      <w:szCs w:val="21"/>
                    </w:rPr>
                    <w:t>颗粒物</w:t>
                  </w:r>
                </w:p>
              </w:tc>
              <w:tc>
                <w:tcPr>
                  <w:tcW w:w="734" w:type="pct"/>
                  <w:vAlign w:val="center"/>
                </w:tcPr>
                <w:p>
                  <w:pPr>
                    <w:jc w:val="center"/>
                    <w:rPr>
                      <w:color w:val="auto"/>
                      <w:szCs w:val="21"/>
                    </w:rPr>
                  </w:pPr>
                  <w:r>
                    <w:rPr>
                      <w:color w:val="auto"/>
                      <w:szCs w:val="21"/>
                    </w:rPr>
                    <w:t>排气筒</w:t>
                  </w:r>
                </w:p>
              </w:tc>
              <w:tc>
                <w:tcPr>
                  <w:tcW w:w="408" w:type="pct"/>
                  <w:vAlign w:val="center"/>
                </w:tcPr>
                <w:p>
                  <w:pPr>
                    <w:jc w:val="center"/>
                    <w:rPr>
                      <w:color w:val="auto"/>
                      <w:szCs w:val="21"/>
                    </w:rPr>
                  </w:pPr>
                  <w:r>
                    <w:rPr>
                      <w:rFonts w:hint="eastAsia"/>
                      <w:color w:val="auto"/>
                      <w:szCs w:val="21"/>
                    </w:rPr>
                    <w:t>6</w:t>
                  </w:r>
                  <w:r>
                    <w:rPr>
                      <w:color w:val="auto"/>
                      <w:szCs w:val="21"/>
                    </w:rPr>
                    <w:t>个</w:t>
                  </w:r>
                </w:p>
              </w:tc>
              <w:tc>
                <w:tcPr>
                  <w:tcW w:w="896" w:type="pct"/>
                  <w:vAlign w:val="center"/>
                </w:tcPr>
                <w:p>
                  <w:pPr>
                    <w:jc w:val="center"/>
                    <w:rPr>
                      <w:color w:val="auto"/>
                      <w:szCs w:val="21"/>
                    </w:rPr>
                  </w:pPr>
                  <w:r>
                    <w:rPr>
                      <w:color w:val="auto"/>
                      <w:szCs w:val="21"/>
                    </w:rPr>
                    <w:t>1次/年</w:t>
                  </w:r>
                </w:p>
              </w:tc>
              <w:tc>
                <w:tcPr>
                  <w:tcW w:w="1917" w:type="pct"/>
                  <w:vMerge w:val="restart"/>
                  <w:vAlign w:val="center"/>
                </w:tcPr>
                <w:p>
                  <w:pPr>
                    <w:jc w:val="center"/>
                    <w:rPr>
                      <w:color w:val="auto"/>
                      <w:szCs w:val="21"/>
                    </w:rPr>
                  </w:pPr>
                  <w:r>
                    <w:rPr>
                      <w:rFonts w:hint="eastAsia"/>
                      <w:color w:val="auto"/>
                      <w:szCs w:val="21"/>
                    </w:rPr>
                    <w:t>颗粒物排放执行《大气污染物综合排放标准》（GB16297-1996）表2中二级及无组织排放标准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06" w:type="pct"/>
                  <w:vMerge w:val="continue"/>
                  <w:vAlign w:val="center"/>
                </w:tcPr>
                <w:p>
                  <w:pPr>
                    <w:snapToGrid w:val="0"/>
                    <w:jc w:val="center"/>
                    <w:rPr>
                      <w:color w:val="auto"/>
                      <w:szCs w:val="21"/>
                    </w:rPr>
                  </w:pPr>
                </w:p>
              </w:tc>
              <w:tc>
                <w:tcPr>
                  <w:tcW w:w="738" w:type="pct"/>
                  <w:vMerge w:val="continue"/>
                  <w:vAlign w:val="center"/>
                </w:tcPr>
                <w:p>
                  <w:pPr>
                    <w:jc w:val="center"/>
                    <w:rPr>
                      <w:color w:val="auto"/>
                      <w:szCs w:val="21"/>
                    </w:rPr>
                  </w:pPr>
                </w:p>
              </w:tc>
              <w:tc>
                <w:tcPr>
                  <w:tcW w:w="734" w:type="pct"/>
                  <w:vAlign w:val="center"/>
                </w:tcPr>
                <w:p>
                  <w:pPr>
                    <w:snapToGrid w:val="0"/>
                    <w:jc w:val="center"/>
                    <w:rPr>
                      <w:color w:val="auto"/>
                      <w:szCs w:val="21"/>
                    </w:rPr>
                  </w:pPr>
                  <w:r>
                    <w:rPr>
                      <w:color w:val="auto"/>
                      <w:szCs w:val="21"/>
                    </w:rPr>
                    <w:t>厂界</w:t>
                  </w:r>
                </w:p>
              </w:tc>
              <w:tc>
                <w:tcPr>
                  <w:tcW w:w="408" w:type="pct"/>
                  <w:vAlign w:val="center"/>
                </w:tcPr>
                <w:p>
                  <w:pPr>
                    <w:snapToGrid w:val="0"/>
                    <w:jc w:val="center"/>
                    <w:rPr>
                      <w:color w:val="auto"/>
                      <w:szCs w:val="21"/>
                    </w:rPr>
                  </w:pPr>
                  <w:r>
                    <w:rPr>
                      <w:color w:val="auto"/>
                      <w:szCs w:val="21"/>
                    </w:rPr>
                    <w:t>4个</w:t>
                  </w:r>
                </w:p>
              </w:tc>
              <w:tc>
                <w:tcPr>
                  <w:tcW w:w="896" w:type="pct"/>
                  <w:vAlign w:val="center"/>
                </w:tcPr>
                <w:p>
                  <w:pPr>
                    <w:snapToGrid w:val="0"/>
                    <w:jc w:val="center"/>
                    <w:rPr>
                      <w:color w:val="auto"/>
                      <w:szCs w:val="21"/>
                    </w:rPr>
                  </w:pPr>
                  <w:r>
                    <w:rPr>
                      <w:color w:val="auto"/>
                      <w:szCs w:val="21"/>
                    </w:rPr>
                    <w:t>1次/年</w:t>
                  </w:r>
                </w:p>
              </w:tc>
              <w:tc>
                <w:tcPr>
                  <w:tcW w:w="1917" w:type="pct"/>
                  <w:vMerge w:val="continue"/>
                  <w:vAlign w:val="center"/>
                </w:tcPr>
                <w:p>
                  <w:pPr>
                    <w:jc w:val="center"/>
                    <w:rPr>
                      <w:color w:val="auto"/>
                      <w:szCs w:val="21"/>
                    </w:rPr>
                  </w:pPr>
                </w:p>
              </w:tc>
            </w:tr>
          </w:tbl>
          <w:p>
            <w:pPr>
              <w:spacing w:before="120" w:beforeLines="50" w:line="360" w:lineRule="auto"/>
              <w:ind w:firstLine="482" w:firstLineChars="200"/>
              <w:jc w:val="left"/>
              <w:rPr>
                <w:b/>
                <w:color w:val="auto"/>
                <w:sz w:val="24"/>
                <w:szCs w:val="20"/>
              </w:rPr>
            </w:pPr>
            <w:r>
              <w:rPr>
                <w:rFonts w:hint="eastAsia"/>
                <w:b/>
                <w:color w:val="auto"/>
                <w:sz w:val="24"/>
                <w:szCs w:val="20"/>
              </w:rPr>
              <w:t>2、废水</w:t>
            </w:r>
          </w:p>
          <w:p>
            <w:pPr>
              <w:adjustRightInd w:val="0"/>
              <w:snapToGrid w:val="0"/>
              <w:spacing w:line="360" w:lineRule="auto"/>
              <w:ind w:firstLine="480" w:firstLineChars="200"/>
              <w:jc w:val="left"/>
              <w:rPr>
                <w:rFonts w:hAnsi="宋体"/>
                <w:color w:val="auto"/>
                <w:sz w:val="24"/>
                <w:szCs w:val="20"/>
              </w:rPr>
            </w:pPr>
            <w:r>
              <w:rPr>
                <w:rFonts w:hint="eastAsia" w:hAnsi="宋体"/>
                <w:color w:val="auto"/>
                <w:sz w:val="24"/>
                <w:szCs w:val="20"/>
              </w:rPr>
              <w:t>（1）废水产排情况</w:t>
            </w:r>
          </w:p>
          <w:p>
            <w:pPr>
              <w:spacing w:line="360" w:lineRule="auto"/>
              <w:ind w:firstLine="480" w:firstLineChars="200"/>
              <w:rPr>
                <w:rFonts w:hint="eastAsia" w:hAnsi="宋体"/>
                <w:color w:val="auto"/>
                <w:sz w:val="24"/>
                <w:szCs w:val="20"/>
                <w:lang w:eastAsia="zh-CN"/>
              </w:rPr>
            </w:pPr>
            <w:r>
              <w:rPr>
                <w:rFonts w:hint="eastAsia" w:hAnsi="宋体"/>
                <w:color w:val="auto"/>
                <w:sz w:val="24"/>
                <w:szCs w:val="20"/>
              </w:rPr>
              <w:t>项目产生的废水主要是生活污水</w:t>
            </w:r>
            <w:r>
              <w:rPr>
                <w:rFonts w:hint="eastAsia" w:hAnsi="宋体"/>
                <w:color w:val="auto"/>
                <w:sz w:val="24"/>
                <w:szCs w:val="20"/>
                <w:lang w:eastAsia="zh-CN"/>
              </w:rPr>
              <w:t>、初期雨水。</w:t>
            </w:r>
          </w:p>
          <w:p>
            <w:pPr>
              <w:spacing w:line="360" w:lineRule="auto"/>
              <w:ind w:firstLine="480" w:firstLineChars="200"/>
              <w:rPr>
                <w:rFonts w:hint="eastAsia" w:hAnsi="宋体"/>
                <w:color w:val="auto"/>
                <w:sz w:val="24"/>
                <w:szCs w:val="20"/>
                <w:lang w:eastAsia="zh-CN"/>
              </w:rPr>
            </w:pPr>
            <w:r>
              <w:rPr>
                <w:rFonts w:hint="eastAsia" w:hAnsi="宋体"/>
                <w:color w:val="auto"/>
                <w:sz w:val="24"/>
                <w:szCs w:val="20"/>
                <w:lang w:eastAsia="zh-CN"/>
              </w:rPr>
              <w:t>①生活污水</w:t>
            </w:r>
          </w:p>
          <w:p>
            <w:pPr>
              <w:spacing w:line="360" w:lineRule="auto"/>
              <w:ind w:firstLine="480" w:firstLineChars="200"/>
              <w:rPr>
                <w:color w:val="auto"/>
                <w:sz w:val="24"/>
              </w:rPr>
            </w:pPr>
            <w:r>
              <w:rPr>
                <w:rFonts w:hint="eastAsia" w:hAnsi="宋体"/>
                <w:color w:val="auto"/>
                <w:sz w:val="24"/>
                <w:szCs w:val="20"/>
                <w:lang w:eastAsia="zh-CN"/>
              </w:rPr>
              <w:t>生活污水</w:t>
            </w:r>
            <w:r>
              <w:rPr>
                <w:rFonts w:hint="eastAsia" w:hAnsi="宋体"/>
                <w:color w:val="auto"/>
                <w:sz w:val="24"/>
                <w:szCs w:val="20"/>
              </w:rPr>
              <w:t>产生总量为</w:t>
            </w:r>
            <w:r>
              <w:rPr>
                <w:rFonts w:hint="eastAsia"/>
                <w:color w:val="auto"/>
                <w:sz w:val="24"/>
              </w:rPr>
              <w:t>7.2</w:t>
            </w:r>
            <w:r>
              <w:rPr>
                <w:color w:val="auto"/>
                <w:sz w:val="24"/>
              </w:rPr>
              <w:t>m</w:t>
            </w:r>
            <w:r>
              <w:rPr>
                <w:color w:val="auto"/>
                <w:sz w:val="24"/>
                <w:vertAlign w:val="superscript"/>
              </w:rPr>
              <w:t>3</w:t>
            </w:r>
            <w:r>
              <w:rPr>
                <w:color w:val="auto"/>
                <w:sz w:val="24"/>
              </w:rPr>
              <w:t>/d、</w:t>
            </w:r>
            <w:r>
              <w:rPr>
                <w:rFonts w:hint="eastAsia"/>
                <w:color w:val="auto"/>
                <w:sz w:val="24"/>
              </w:rPr>
              <w:t>2160</w:t>
            </w:r>
            <w:r>
              <w:rPr>
                <w:color w:val="auto"/>
                <w:sz w:val="24"/>
              </w:rPr>
              <w:t>m</w:t>
            </w:r>
            <w:r>
              <w:rPr>
                <w:color w:val="auto"/>
                <w:sz w:val="24"/>
                <w:vertAlign w:val="superscript"/>
              </w:rPr>
              <w:t>3</w:t>
            </w:r>
            <w:r>
              <w:rPr>
                <w:color w:val="auto"/>
                <w:sz w:val="24"/>
              </w:rPr>
              <w:t>/a，通过厂区污水管网排至厂区现有化粪池内，之后进入高新区市政污水管网，最终由高新区污水处理厂处理。</w:t>
            </w:r>
          </w:p>
          <w:p>
            <w:pPr>
              <w:spacing w:line="360" w:lineRule="auto"/>
              <w:ind w:firstLine="480" w:firstLineChars="200"/>
              <w:rPr>
                <w:rFonts w:hint="eastAsia"/>
                <w:color w:val="auto"/>
                <w:sz w:val="24"/>
                <w:lang w:eastAsia="zh-CN"/>
              </w:rPr>
            </w:pPr>
            <w:r>
              <w:rPr>
                <w:rFonts w:hint="eastAsia"/>
                <w:color w:val="auto"/>
                <w:sz w:val="24"/>
                <w:lang w:eastAsia="zh-CN"/>
              </w:rPr>
              <w:t>②初期雨水</w:t>
            </w:r>
          </w:p>
          <w:p>
            <w:pPr>
              <w:spacing w:line="360" w:lineRule="auto"/>
              <w:ind w:firstLine="480" w:firstLineChars="200"/>
              <w:rPr>
                <w:rFonts w:hint="eastAsia"/>
                <w:color w:val="auto"/>
                <w:sz w:val="24"/>
                <w:lang w:eastAsia="zh-CN"/>
              </w:rPr>
            </w:pPr>
            <w:r>
              <w:rPr>
                <w:rFonts w:hint="eastAsia"/>
                <w:color w:val="auto"/>
                <w:sz w:val="24"/>
                <w:lang w:eastAsia="zh-CN"/>
              </w:rPr>
              <w:t>项目初期雨水由初期雨水池收集后，回用于厂区道路洒水或绿化。</w:t>
            </w:r>
          </w:p>
          <w:p>
            <w:pPr>
              <w:spacing w:line="360" w:lineRule="auto"/>
              <w:ind w:firstLine="424" w:firstLineChars="177"/>
              <w:rPr>
                <w:color w:val="auto"/>
                <w:sz w:val="24"/>
                <w:szCs w:val="28"/>
              </w:rPr>
            </w:pPr>
            <w:r>
              <w:rPr>
                <w:color w:val="auto"/>
                <w:sz w:val="24"/>
                <w:szCs w:val="28"/>
              </w:rPr>
              <w:t>本项目占地面积约为</w:t>
            </w:r>
            <w:r>
              <w:rPr>
                <w:rFonts w:hint="eastAsia"/>
                <w:color w:val="auto"/>
                <w:sz w:val="24"/>
                <w:szCs w:val="28"/>
              </w:rPr>
              <w:t>5085.91</w:t>
            </w:r>
            <w:r>
              <w:rPr>
                <w:color w:val="auto"/>
                <w:sz w:val="24"/>
                <w:szCs w:val="28"/>
              </w:rPr>
              <w:t>平方米，在雨天时会形成一定量的含尘雨水，污染物主要为SS，废水一旦渗入地下或流入河流，会造成土壤、地下水及地表水的污染。</w:t>
            </w:r>
          </w:p>
          <w:p>
            <w:pPr>
              <w:spacing w:line="360" w:lineRule="auto"/>
              <w:ind w:firstLine="424" w:firstLineChars="177"/>
              <w:rPr>
                <w:color w:val="auto"/>
                <w:sz w:val="24"/>
                <w:szCs w:val="28"/>
              </w:rPr>
            </w:pPr>
            <w:r>
              <w:rPr>
                <w:color w:val="auto"/>
                <w:sz w:val="24"/>
                <w:szCs w:val="28"/>
              </w:rPr>
              <w:t>初期雨水产生量由下列公式计算：</w:t>
            </w:r>
          </w:p>
          <w:p>
            <w:pPr>
              <w:spacing w:line="360" w:lineRule="auto"/>
              <w:jc w:val="center"/>
              <w:rPr>
                <w:color w:val="auto"/>
                <w:sz w:val="24"/>
                <w:szCs w:val="28"/>
              </w:rPr>
            </w:pPr>
            <w:r>
              <w:rPr>
                <w:color w:val="auto"/>
                <w:sz w:val="24"/>
                <w:szCs w:val="28"/>
              </w:rPr>
              <w:t>Q=Φ×q×F×T</w:t>
            </w:r>
          </w:p>
          <w:p>
            <w:pPr>
              <w:spacing w:line="360" w:lineRule="auto"/>
              <w:ind w:firstLine="424" w:firstLineChars="177"/>
              <w:rPr>
                <w:color w:val="auto"/>
                <w:sz w:val="24"/>
                <w:szCs w:val="28"/>
              </w:rPr>
            </w:pPr>
            <w:r>
              <w:rPr>
                <w:color w:val="auto"/>
                <w:sz w:val="24"/>
                <w:szCs w:val="28"/>
              </w:rPr>
              <w:t>式中：Q为初期雨水量，m</w:t>
            </w:r>
            <w:r>
              <w:rPr>
                <w:color w:val="auto"/>
                <w:sz w:val="24"/>
                <w:szCs w:val="28"/>
                <w:vertAlign w:val="superscript"/>
              </w:rPr>
              <w:t>3</w:t>
            </w:r>
            <w:r>
              <w:rPr>
                <w:color w:val="auto"/>
                <w:sz w:val="24"/>
                <w:szCs w:val="28"/>
              </w:rPr>
              <w:t>；</w:t>
            </w:r>
          </w:p>
          <w:p>
            <w:pPr>
              <w:spacing w:line="360" w:lineRule="auto"/>
              <w:ind w:firstLine="1144" w:firstLineChars="477"/>
              <w:rPr>
                <w:color w:val="auto"/>
                <w:sz w:val="24"/>
                <w:szCs w:val="28"/>
              </w:rPr>
            </w:pPr>
            <w:r>
              <w:rPr>
                <w:color w:val="auto"/>
                <w:sz w:val="24"/>
                <w:szCs w:val="28"/>
              </w:rPr>
              <w:t>Φ为径流系数，根据《室外排水设计规范》GB50014-2006中表3.2.2-1规定，各种屋面、混凝土或沥青路面径流系数为0.85～0.95，项目径流系数取0.9；</w:t>
            </w:r>
          </w:p>
          <w:p>
            <w:pPr>
              <w:spacing w:line="360" w:lineRule="auto"/>
              <w:ind w:firstLine="1144" w:firstLineChars="477"/>
              <w:rPr>
                <w:color w:val="auto"/>
                <w:sz w:val="24"/>
                <w:szCs w:val="28"/>
              </w:rPr>
            </w:pPr>
            <w:r>
              <w:rPr>
                <w:color w:val="auto"/>
                <w:sz w:val="24"/>
                <w:szCs w:val="28"/>
              </w:rPr>
              <w:t>依据渭南市暴雨强度公式可得：q=2602（1+1.07lgP）/(t+18.0</w:t>
            </w:r>
            <w:r>
              <w:rPr>
                <w:color w:val="auto"/>
                <w:sz w:val="24"/>
                <w:szCs w:val="28"/>
                <w:vertAlign w:val="superscript"/>
              </w:rPr>
              <w:t>0.91</w:t>
            </w:r>
            <w:r>
              <w:rPr>
                <w:color w:val="auto"/>
                <w:sz w:val="24"/>
                <w:szCs w:val="28"/>
              </w:rPr>
              <w:t>)=3.76L/s</w:t>
            </w:r>
            <w:r>
              <w:rPr>
                <w:color w:val="auto"/>
                <w:spacing w:val="-4"/>
              </w:rPr>
              <w:t>·</w:t>
            </w:r>
            <w:r>
              <w:rPr>
                <w:color w:val="auto"/>
                <w:sz w:val="24"/>
                <w:szCs w:val="28"/>
              </w:rPr>
              <w:t>ha，其中P为设计重现期限，取2年，t为降雨历时（取15min</w:t>
            </w:r>
            <w:r>
              <w:rPr>
                <w:rFonts w:hint="eastAsia"/>
                <w:color w:val="auto"/>
                <w:sz w:val="24"/>
                <w:szCs w:val="28"/>
              </w:rPr>
              <w:t>，</w:t>
            </w:r>
            <w:r>
              <w:rPr>
                <w:color w:val="auto"/>
                <w:sz w:val="24"/>
                <w:szCs w:val="28"/>
              </w:rPr>
              <w:t>900s）；</w:t>
            </w:r>
          </w:p>
          <w:p>
            <w:pPr>
              <w:spacing w:line="360" w:lineRule="auto"/>
              <w:ind w:firstLine="1144" w:firstLineChars="477"/>
              <w:rPr>
                <w:color w:val="auto"/>
                <w:sz w:val="24"/>
                <w:szCs w:val="28"/>
              </w:rPr>
            </w:pPr>
            <w:r>
              <w:rPr>
                <w:color w:val="auto"/>
                <w:sz w:val="24"/>
                <w:szCs w:val="28"/>
              </w:rPr>
              <w:t>F为汇水面积，单位：公顷，本项目汇水面积取</w:t>
            </w:r>
            <w:r>
              <w:rPr>
                <w:rFonts w:hint="eastAsia"/>
                <w:color w:val="auto"/>
                <w:sz w:val="24"/>
                <w:szCs w:val="28"/>
                <w:lang w:val="en-US" w:eastAsia="zh-CN"/>
              </w:rPr>
              <w:t>0.51</w:t>
            </w:r>
            <w:r>
              <w:rPr>
                <w:color w:val="auto"/>
                <w:sz w:val="24"/>
                <w:szCs w:val="28"/>
              </w:rPr>
              <w:t xml:space="preserve"> ha；</w:t>
            </w:r>
          </w:p>
          <w:p>
            <w:pPr>
              <w:spacing w:line="360" w:lineRule="auto"/>
              <w:ind w:firstLine="1144" w:firstLineChars="477"/>
              <w:rPr>
                <w:color w:val="auto"/>
                <w:sz w:val="24"/>
                <w:szCs w:val="28"/>
              </w:rPr>
            </w:pPr>
            <w:r>
              <w:rPr>
                <w:color w:val="auto"/>
                <w:sz w:val="24"/>
                <w:szCs w:val="28"/>
              </w:rPr>
              <w:t>T为时间，单位s，取降水历时15min，900s。</w:t>
            </w:r>
          </w:p>
          <w:p>
            <w:pPr>
              <w:spacing w:line="360" w:lineRule="auto"/>
              <w:ind w:firstLine="424" w:firstLineChars="177"/>
              <w:rPr>
                <w:color w:val="auto"/>
                <w:sz w:val="24"/>
                <w:szCs w:val="28"/>
              </w:rPr>
            </w:pPr>
            <w:r>
              <w:rPr>
                <w:color w:val="auto"/>
                <w:sz w:val="24"/>
                <w:szCs w:val="28"/>
              </w:rPr>
              <w:t>经计算，当地暴雨强度为3.76L/s</w:t>
            </w:r>
            <w:r>
              <w:rPr>
                <w:color w:val="auto"/>
                <w:spacing w:val="-4"/>
              </w:rPr>
              <w:t>·</w:t>
            </w:r>
            <w:r>
              <w:rPr>
                <w:color w:val="auto"/>
                <w:sz w:val="24"/>
                <w:szCs w:val="28"/>
              </w:rPr>
              <w:t>ha，初期雨水量约为</w:t>
            </w:r>
            <w:r>
              <w:rPr>
                <w:rFonts w:hint="eastAsia"/>
                <w:color w:val="auto"/>
                <w:sz w:val="24"/>
                <w:szCs w:val="28"/>
                <w:lang w:val="en-US" w:eastAsia="zh-CN"/>
              </w:rPr>
              <w:t>1.55</w:t>
            </w:r>
            <w:r>
              <w:rPr>
                <w:color w:val="auto"/>
                <w:sz w:val="24"/>
                <w:szCs w:val="28"/>
              </w:rPr>
              <w:t xml:space="preserve"> m</w:t>
            </w:r>
            <w:r>
              <w:rPr>
                <w:color w:val="auto"/>
                <w:sz w:val="24"/>
                <w:szCs w:val="28"/>
                <w:vertAlign w:val="superscript"/>
              </w:rPr>
              <w:t>3</w:t>
            </w:r>
            <w:r>
              <w:rPr>
                <w:color w:val="auto"/>
                <w:sz w:val="24"/>
                <w:szCs w:val="28"/>
              </w:rPr>
              <w:t>/次。</w:t>
            </w:r>
          </w:p>
          <w:p>
            <w:pPr>
              <w:spacing w:line="360" w:lineRule="auto"/>
              <w:ind w:firstLine="480" w:firstLineChars="200"/>
              <w:rPr>
                <w:color w:val="auto"/>
                <w:sz w:val="24"/>
              </w:rPr>
            </w:pPr>
            <w:r>
              <w:rPr>
                <w:rFonts w:hint="eastAsia"/>
                <w:color w:val="auto"/>
                <w:sz w:val="24"/>
              </w:rPr>
              <w:t>项目</w:t>
            </w:r>
            <w:r>
              <w:rPr>
                <w:rFonts w:hint="eastAsia"/>
                <w:color w:val="auto"/>
                <w:sz w:val="24"/>
                <w:lang w:eastAsia="zh-CN"/>
              </w:rPr>
              <w:t>废水</w:t>
            </w:r>
            <w:r>
              <w:rPr>
                <w:rFonts w:hint="eastAsia"/>
                <w:color w:val="auto"/>
                <w:sz w:val="24"/>
              </w:rPr>
              <w:t>污染物产排情况如下表：</w:t>
            </w:r>
          </w:p>
          <w:p>
            <w:pPr>
              <w:autoSpaceDE w:val="0"/>
              <w:autoSpaceDN w:val="0"/>
              <w:adjustRightInd w:val="0"/>
              <w:spacing w:before="48" w:beforeLines="20"/>
              <w:ind w:firstLine="482" w:firstLineChars="200"/>
              <w:jc w:val="center"/>
              <w:rPr>
                <w:b/>
                <w:snapToGrid w:val="0"/>
                <w:color w:val="auto"/>
                <w:sz w:val="24"/>
                <w:lang w:val="zh-CN"/>
              </w:rPr>
            </w:pPr>
            <w:r>
              <w:rPr>
                <w:rFonts w:hint="eastAsia"/>
                <w:b/>
                <w:snapToGrid w:val="0"/>
                <w:color w:val="auto"/>
                <w:sz w:val="24"/>
                <w:lang w:val="zh-CN"/>
              </w:rPr>
              <w:t>表4-11   废水污染物产排情况</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1"/>
              <w:gridCol w:w="1218"/>
              <w:gridCol w:w="1283"/>
              <w:gridCol w:w="1135"/>
              <w:gridCol w:w="3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7" w:type="pct"/>
                  <w:vAlign w:val="center"/>
                </w:tcPr>
                <w:p>
                  <w:pPr>
                    <w:spacing w:line="320" w:lineRule="exact"/>
                    <w:contextualSpacing/>
                    <w:jc w:val="center"/>
                    <w:rPr>
                      <w:rFonts w:hAnsi="宋体"/>
                      <w:color w:val="auto"/>
                      <w:sz w:val="21"/>
                      <w:szCs w:val="21"/>
                    </w:rPr>
                  </w:pPr>
                  <w:r>
                    <w:rPr>
                      <w:rFonts w:hAnsi="宋体"/>
                      <w:color w:val="auto"/>
                      <w:sz w:val="21"/>
                      <w:szCs w:val="21"/>
                    </w:rPr>
                    <w:t>污染源</w:t>
                  </w:r>
                </w:p>
              </w:tc>
              <w:tc>
                <w:tcPr>
                  <w:tcW w:w="750" w:type="pct"/>
                  <w:tcMar>
                    <w:left w:w="28" w:type="dxa"/>
                    <w:right w:w="28" w:type="dxa"/>
                  </w:tcMar>
                  <w:vAlign w:val="center"/>
                </w:tcPr>
                <w:p>
                  <w:pPr>
                    <w:spacing w:line="320" w:lineRule="exact"/>
                    <w:contextualSpacing/>
                    <w:jc w:val="center"/>
                    <w:rPr>
                      <w:color w:val="auto"/>
                      <w:sz w:val="21"/>
                      <w:szCs w:val="21"/>
                    </w:rPr>
                  </w:pPr>
                  <w:r>
                    <w:rPr>
                      <w:rFonts w:hAnsi="宋体"/>
                      <w:color w:val="auto"/>
                      <w:sz w:val="21"/>
                      <w:szCs w:val="21"/>
                    </w:rPr>
                    <w:t>污染物名称</w:t>
                  </w:r>
                </w:p>
              </w:tc>
              <w:tc>
                <w:tcPr>
                  <w:tcW w:w="790" w:type="pct"/>
                  <w:tcMar>
                    <w:left w:w="28" w:type="dxa"/>
                    <w:right w:w="28" w:type="dxa"/>
                  </w:tcMar>
                  <w:vAlign w:val="center"/>
                </w:tcPr>
                <w:p>
                  <w:pPr>
                    <w:spacing w:line="320" w:lineRule="exact"/>
                    <w:contextualSpacing/>
                    <w:jc w:val="center"/>
                    <w:rPr>
                      <w:color w:val="auto"/>
                      <w:sz w:val="21"/>
                      <w:szCs w:val="21"/>
                    </w:rPr>
                  </w:pPr>
                  <w:r>
                    <w:rPr>
                      <w:rFonts w:hint="eastAsia"/>
                      <w:color w:val="auto"/>
                      <w:sz w:val="21"/>
                      <w:szCs w:val="21"/>
                    </w:rPr>
                    <w:t>产生量</w:t>
                  </w:r>
                </w:p>
              </w:tc>
              <w:tc>
                <w:tcPr>
                  <w:tcW w:w="699" w:type="pct"/>
                  <w:tcMar>
                    <w:left w:w="28" w:type="dxa"/>
                    <w:right w:w="28" w:type="dxa"/>
                  </w:tcMar>
                  <w:vAlign w:val="center"/>
                </w:tcPr>
                <w:p>
                  <w:pPr>
                    <w:spacing w:line="320" w:lineRule="exact"/>
                    <w:contextualSpacing/>
                    <w:jc w:val="center"/>
                    <w:rPr>
                      <w:color w:val="auto"/>
                      <w:sz w:val="21"/>
                      <w:szCs w:val="21"/>
                    </w:rPr>
                  </w:pPr>
                  <w:r>
                    <w:rPr>
                      <w:rFonts w:hAnsi="宋体"/>
                      <w:color w:val="auto"/>
                      <w:sz w:val="21"/>
                      <w:szCs w:val="21"/>
                    </w:rPr>
                    <w:t>排放量</w:t>
                  </w:r>
                </w:p>
              </w:tc>
              <w:tc>
                <w:tcPr>
                  <w:tcW w:w="2192" w:type="pct"/>
                  <w:tcMar>
                    <w:left w:w="28" w:type="dxa"/>
                    <w:right w:w="28" w:type="dxa"/>
                  </w:tcMar>
                  <w:vAlign w:val="center"/>
                </w:tcPr>
                <w:p>
                  <w:pPr>
                    <w:spacing w:line="320" w:lineRule="exact"/>
                    <w:contextualSpacing/>
                    <w:jc w:val="center"/>
                    <w:rPr>
                      <w:color w:val="auto"/>
                      <w:sz w:val="21"/>
                      <w:szCs w:val="21"/>
                    </w:rPr>
                  </w:pPr>
                  <w:r>
                    <w:rPr>
                      <w:rFonts w:hAnsi="宋体"/>
                      <w:color w:val="auto"/>
                      <w:sz w:val="21"/>
                      <w:szCs w:val="21"/>
                    </w:rPr>
                    <w:t>治理措施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567" w:type="pct"/>
                  <w:vMerge w:val="restart"/>
                  <w:vAlign w:val="center"/>
                </w:tcPr>
                <w:p>
                  <w:pPr>
                    <w:spacing w:line="320" w:lineRule="exact"/>
                    <w:contextualSpacing/>
                    <w:jc w:val="center"/>
                    <w:rPr>
                      <w:rFonts w:hAnsi="宋体"/>
                      <w:color w:val="auto"/>
                      <w:sz w:val="21"/>
                      <w:szCs w:val="21"/>
                    </w:rPr>
                  </w:pPr>
                  <w:r>
                    <w:rPr>
                      <w:rFonts w:hint="eastAsia" w:hAnsi="宋体"/>
                      <w:color w:val="auto"/>
                      <w:sz w:val="21"/>
                      <w:szCs w:val="21"/>
                    </w:rPr>
                    <w:t>办公生活区</w:t>
                  </w:r>
                </w:p>
              </w:tc>
              <w:tc>
                <w:tcPr>
                  <w:tcW w:w="750" w:type="pct"/>
                  <w:vAlign w:val="center"/>
                </w:tcPr>
                <w:p>
                  <w:pPr>
                    <w:spacing w:line="320" w:lineRule="exact"/>
                    <w:contextualSpacing/>
                    <w:jc w:val="center"/>
                    <w:rPr>
                      <w:color w:val="auto"/>
                      <w:sz w:val="21"/>
                      <w:szCs w:val="21"/>
                    </w:rPr>
                  </w:pPr>
                  <w:r>
                    <w:rPr>
                      <w:rFonts w:hint="eastAsia" w:hAnsi="宋体"/>
                      <w:color w:val="auto"/>
                      <w:sz w:val="21"/>
                      <w:szCs w:val="21"/>
                    </w:rPr>
                    <w:t>废水量</w:t>
                  </w:r>
                </w:p>
              </w:tc>
              <w:tc>
                <w:tcPr>
                  <w:tcW w:w="790" w:type="pct"/>
                  <w:tcMar>
                    <w:left w:w="28" w:type="dxa"/>
                    <w:right w:w="28" w:type="dxa"/>
                  </w:tcMar>
                  <w:vAlign w:val="center"/>
                </w:tcPr>
                <w:p>
                  <w:pPr>
                    <w:spacing w:line="320" w:lineRule="exact"/>
                    <w:contextualSpacing/>
                    <w:jc w:val="center"/>
                    <w:rPr>
                      <w:color w:val="auto"/>
                      <w:sz w:val="21"/>
                      <w:szCs w:val="21"/>
                    </w:rPr>
                  </w:pPr>
                  <w:r>
                    <w:rPr>
                      <w:rFonts w:hint="eastAsia"/>
                      <w:color w:val="auto"/>
                      <w:sz w:val="21"/>
                      <w:szCs w:val="21"/>
                    </w:rPr>
                    <w:t>2160m</w:t>
                  </w:r>
                  <w:r>
                    <w:rPr>
                      <w:rFonts w:hint="eastAsia"/>
                      <w:color w:val="auto"/>
                      <w:sz w:val="21"/>
                      <w:szCs w:val="21"/>
                      <w:vertAlign w:val="superscript"/>
                    </w:rPr>
                    <w:t>3</w:t>
                  </w:r>
                  <w:r>
                    <w:rPr>
                      <w:rFonts w:hint="eastAsia"/>
                      <w:color w:val="auto"/>
                      <w:sz w:val="21"/>
                      <w:szCs w:val="21"/>
                    </w:rPr>
                    <w:t>/a</w:t>
                  </w:r>
                </w:p>
              </w:tc>
              <w:tc>
                <w:tcPr>
                  <w:tcW w:w="699" w:type="pct"/>
                  <w:tcMar>
                    <w:left w:w="28" w:type="dxa"/>
                    <w:right w:w="28" w:type="dxa"/>
                  </w:tcMar>
                  <w:vAlign w:val="center"/>
                </w:tcPr>
                <w:p>
                  <w:pPr>
                    <w:spacing w:line="320" w:lineRule="exact"/>
                    <w:contextualSpacing/>
                    <w:jc w:val="center"/>
                    <w:rPr>
                      <w:color w:val="auto"/>
                      <w:sz w:val="21"/>
                      <w:szCs w:val="21"/>
                    </w:rPr>
                  </w:pPr>
                  <w:r>
                    <w:rPr>
                      <w:rFonts w:hint="eastAsia"/>
                      <w:color w:val="auto"/>
                      <w:sz w:val="21"/>
                      <w:szCs w:val="21"/>
                    </w:rPr>
                    <w:t>2160m</w:t>
                  </w:r>
                  <w:r>
                    <w:rPr>
                      <w:rFonts w:hint="eastAsia"/>
                      <w:color w:val="auto"/>
                      <w:sz w:val="21"/>
                      <w:szCs w:val="21"/>
                      <w:vertAlign w:val="superscript"/>
                    </w:rPr>
                    <w:t>3</w:t>
                  </w:r>
                  <w:r>
                    <w:rPr>
                      <w:rFonts w:hint="eastAsia"/>
                      <w:color w:val="auto"/>
                      <w:sz w:val="21"/>
                      <w:szCs w:val="21"/>
                    </w:rPr>
                    <w:t>/a</w:t>
                  </w:r>
                </w:p>
              </w:tc>
              <w:tc>
                <w:tcPr>
                  <w:tcW w:w="2192" w:type="pct"/>
                  <w:vMerge w:val="restart"/>
                  <w:tcMar>
                    <w:left w:w="28" w:type="dxa"/>
                    <w:right w:w="28" w:type="dxa"/>
                  </w:tcMar>
                  <w:vAlign w:val="center"/>
                </w:tcPr>
                <w:p>
                  <w:pPr>
                    <w:spacing w:line="320" w:lineRule="exact"/>
                    <w:contextualSpacing/>
                    <w:jc w:val="center"/>
                    <w:rPr>
                      <w:color w:val="auto"/>
                      <w:sz w:val="21"/>
                      <w:szCs w:val="21"/>
                      <w:lang w:val="de-DE"/>
                    </w:rPr>
                  </w:pPr>
                  <w:r>
                    <w:rPr>
                      <w:color w:val="auto"/>
                      <w:sz w:val="21"/>
                      <w:szCs w:val="21"/>
                      <w:lang w:val="de-DE"/>
                    </w:rPr>
                    <w:t>生活污水排入化粪池，后经市政污水管网进入高新区污水处理厂。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567" w:type="pct"/>
                  <w:vMerge w:val="continue"/>
                  <w:vAlign w:val="center"/>
                </w:tcPr>
                <w:p>
                  <w:pPr>
                    <w:spacing w:line="320" w:lineRule="exact"/>
                    <w:contextualSpacing/>
                    <w:jc w:val="center"/>
                    <w:rPr>
                      <w:rFonts w:hAnsi="宋体"/>
                      <w:color w:val="auto"/>
                      <w:sz w:val="21"/>
                      <w:szCs w:val="21"/>
                    </w:rPr>
                  </w:pPr>
                </w:p>
              </w:tc>
              <w:tc>
                <w:tcPr>
                  <w:tcW w:w="750" w:type="pct"/>
                  <w:vAlign w:val="center"/>
                </w:tcPr>
                <w:p>
                  <w:pPr>
                    <w:spacing w:line="320" w:lineRule="exact"/>
                    <w:contextualSpacing/>
                    <w:jc w:val="center"/>
                    <w:rPr>
                      <w:rFonts w:hAnsi="宋体"/>
                      <w:color w:val="auto"/>
                      <w:sz w:val="21"/>
                      <w:szCs w:val="21"/>
                    </w:rPr>
                  </w:pPr>
                  <w:r>
                    <w:rPr>
                      <w:rFonts w:hint="eastAsia" w:hAnsi="宋体"/>
                      <w:color w:val="auto"/>
                      <w:sz w:val="21"/>
                      <w:szCs w:val="21"/>
                    </w:rPr>
                    <w:t>COD</w:t>
                  </w:r>
                </w:p>
              </w:tc>
              <w:tc>
                <w:tcPr>
                  <w:tcW w:w="790" w:type="pct"/>
                  <w:tcMar>
                    <w:left w:w="28" w:type="dxa"/>
                    <w:right w:w="28" w:type="dxa"/>
                  </w:tcMar>
                  <w:vAlign w:val="center"/>
                </w:tcPr>
                <w:p>
                  <w:pPr>
                    <w:spacing w:line="320" w:lineRule="exact"/>
                    <w:contextualSpacing/>
                    <w:jc w:val="center"/>
                    <w:rPr>
                      <w:color w:val="auto"/>
                      <w:sz w:val="21"/>
                      <w:szCs w:val="21"/>
                    </w:rPr>
                  </w:pPr>
                  <w:r>
                    <w:rPr>
                      <w:rFonts w:hint="eastAsia"/>
                      <w:color w:val="auto"/>
                      <w:sz w:val="21"/>
                      <w:szCs w:val="21"/>
                    </w:rPr>
                    <w:t>0.76 t/a</w:t>
                  </w:r>
                </w:p>
              </w:tc>
              <w:tc>
                <w:tcPr>
                  <w:tcW w:w="699" w:type="pct"/>
                  <w:tcMar>
                    <w:left w:w="28" w:type="dxa"/>
                    <w:right w:w="28" w:type="dxa"/>
                  </w:tcMar>
                  <w:vAlign w:val="center"/>
                </w:tcPr>
                <w:p>
                  <w:pPr>
                    <w:spacing w:line="320" w:lineRule="exact"/>
                    <w:contextualSpacing/>
                    <w:jc w:val="center"/>
                    <w:rPr>
                      <w:color w:val="auto"/>
                      <w:sz w:val="21"/>
                      <w:szCs w:val="21"/>
                    </w:rPr>
                  </w:pPr>
                  <w:r>
                    <w:rPr>
                      <w:rFonts w:hint="eastAsia"/>
                      <w:color w:val="auto"/>
                      <w:sz w:val="21"/>
                      <w:szCs w:val="21"/>
                    </w:rPr>
                    <w:t>0.76 t/a</w:t>
                  </w:r>
                </w:p>
              </w:tc>
              <w:tc>
                <w:tcPr>
                  <w:tcW w:w="2192" w:type="pct"/>
                  <w:vMerge w:val="continue"/>
                  <w:tcMar>
                    <w:left w:w="28" w:type="dxa"/>
                    <w:right w:w="28" w:type="dxa"/>
                  </w:tcMar>
                  <w:vAlign w:val="center"/>
                </w:tcPr>
                <w:p>
                  <w:pPr>
                    <w:spacing w:line="320" w:lineRule="exact"/>
                    <w:contextualSpacing/>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567" w:type="pct"/>
                  <w:vMerge w:val="continue"/>
                  <w:vAlign w:val="center"/>
                </w:tcPr>
                <w:p>
                  <w:pPr>
                    <w:spacing w:line="320" w:lineRule="exact"/>
                    <w:contextualSpacing/>
                    <w:jc w:val="center"/>
                    <w:rPr>
                      <w:rFonts w:hAnsi="宋体"/>
                      <w:color w:val="auto"/>
                      <w:sz w:val="21"/>
                      <w:szCs w:val="21"/>
                    </w:rPr>
                  </w:pPr>
                </w:p>
              </w:tc>
              <w:tc>
                <w:tcPr>
                  <w:tcW w:w="750" w:type="pct"/>
                  <w:vAlign w:val="center"/>
                </w:tcPr>
                <w:p>
                  <w:pPr>
                    <w:spacing w:line="320" w:lineRule="exact"/>
                    <w:contextualSpacing/>
                    <w:jc w:val="center"/>
                    <w:rPr>
                      <w:rFonts w:hAnsi="宋体"/>
                      <w:color w:val="auto"/>
                      <w:sz w:val="21"/>
                      <w:szCs w:val="21"/>
                    </w:rPr>
                  </w:pPr>
                  <w:r>
                    <w:rPr>
                      <w:rFonts w:hint="eastAsia" w:hAnsi="宋体"/>
                      <w:color w:val="auto"/>
                      <w:sz w:val="21"/>
                      <w:szCs w:val="21"/>
                    </w:rPr>
                    <w:t>BOD</w:t>
                  </w:r>
                  <w:r>
                    <w:rPr>
                      <w:rFonts w:hint="eastAsia" w:hAnsi="宋体"/>
                      <w:color w:val="auto"/>
                      <w:sz w:val="21"/>
                      <w:szCs w:val="21"/>
                      <w:vertAlign w:val="subscript"/>
                    </w:rPr>
                    <w:t>5</w:t>
                  </w:r>
                </w:p>
              </w:tc>
              <w:tc>
                <w:tcPr>
                  <w:tcW w:w="790" w:type="pct"/>
                  <w:tcMar>
                    <w:left w:w="28" w:type="dxa"/>
                    <w:right w:w="28" w:type="dxa"/>
                  </w:tcMar>
                  <w:vAlign w:val="center"/>
                </w:tcPr>
                <w:p>
                  <w:pPr>
                    <w:spacing w:line="320" w:lineRule="exact"/>
                    <w:contextualSpacing/>
                    <w:jc w:val="center"/>
                    <w:rPr>
                      <w:color w:val="auto"/>
                      <w:sz w:val="21"/>
                      <w:szCs w:val="21"/>
                    </w:rPr>
                  </w:pPr>
                  <w:r>
                    <w:rPr>
                      <w:rFonts w:hint="eastAsia"/>
                      <w:color w:val="auto"/>
                      <w:sz w:val="21"/>
                      <w:szCs w:val="21"/>
                    </w:rPr>
                    <w:t>0.39 t/a</w:t>
                  </w:r>
                </w:p>
              </w:tc>
              <w:tc>
                <w:tcPr>
                  <w:tcW w:w="699" w:type="pct"/>
                  <w:tcMar>
                    <w:left w:w="28" w:type="dxa"/>
                    <w:right w:w="28" w:type="dxa"/>
                  </w:tcMar>
                  <w:vAlign w:val="center"/>
                </w:tcPr>
                <w:p>
                  <w:pPr>
                    <w:spacing w:line="320" w:lineRule="exact"/>
                    <w:contextualSpacing/>
                    <w:jc w:val="center"/>
                    <w:rPr>
                      <w:color w:val="auto"/>
                      <w:sz w:val="21"/>
                      <w:szCs w:val="21"/>
                    </w:rPr>
                  </w:pPr>
                  <w:r>
                    <w:rPr>
                      <w:rFonts w:hint="eastAsia"/>
                      <w:color w:val="auto"/>
                      <w:sz w:val="21"/>
                      <w:szCs w:val="21"/>
                    </w:rPr>
                    <w:t>0.39 t/a</w:t>
                  </w:r>
                </w:p>
              </w:tc>
              <w:tc>
                <w:tcPr>
                  <w:tcW w:w="2192" w:type="pct"/>
                  <w:vMerge w:val="continue"/>
                  <w:tcMar>
                    <w:left w:w="28" w:type="dxa"/>
                    <w:right w:w="28" w:type="dxa"/>
                  </w:tcMar>
                  <w:vAlign w:val="center"/>
                </w:tcPr>
                <w:p>
                  <w:pPr>
                    <w:spacing w:line="320" w:lineRule="exact"/>
                    <w:contextualSpacing/>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567" w:type="pct"/>
                  <w:vMerge w:val="continue"/>
                  <w:vAlign w:val="center"/>
                </w:tcPr>
                <w:p>
                  <w:pPr>
                    <w:spacing w:line="320" w:lineRule="exact"/>
                    <w:contextualSpacing/>
                    <w:jc w:val="center"/>
                    <w:rPr>
                      <w:rFonts w:hAnsi="宋体"/>
                      <w:color w:val="auto"/>
                      <w:sz w:val="21"/>
                      <w:szCs w:val="21"/>
                    </w:rPr>
                  </w:pPr>
                </w:p>
              </w:tc>
              <w:tc>
                <w:tcPr>
                  <w:tcW w:w="750" w:type="pct"/>
                  <w:vAlign w:val="center"/>
                </w:tcPr>
                <w:p>
                  <w:pPr>
                    <w:spacing w:line="320" w:lineRule="exact"/>
                    <w:contextualSpacing/>
                    <w:jc w:val="center"/>
                    <w:rPr>
                      <w:rFonts w:hAnsi="宋体"/>
                      <w:color w:val="auto"/>
                      <w:sz w:val="21"/>
                      <w:szCs w:val="21"/>
                    </w:rPr>
                  </w:pPr>
                  <w:r>
                    <w:rPr>
                      <w:rFonts w:hint="eastAsia" w:hAnsi="宋体"/>
                      <w:color w:val="auto"/>
                      <w:sz w:val="21"/>
                      <w:szCs w:val="21"/>
                    </w:rPr>
                    <w:t>SS</w:t>
                  </w:r>
                </w:p>
              </w:tc>
              <w:tc>
                <w:tcPr>
                  <w:tcW w:w="790" w:type="pct"/>
                  <w:tcMar>
                    <w:left w:w="28" w:type="dxa"/>
                    <w:right w:w="28" w:type="dxa"/>
                  </w:tcMar>
                  <w:vAlign w:val="center"/>
                </w:tcPr>
                <w:p>
                  <w:pPr>
                    <w:spacing w:line="320" w:lineRule="exact"/>
                    <w:contextualSpacing/>
                    <w:jc w:val="center"/>
                    <w:rPr>
                      <w:color w:val="auto"/>
                      <w:sz w:val="21"/>
                      <w:szCs w:val="21"/>
                    </w:rPr>
                  </w:pPr>
                  <w:r>
                    <w:rPr>
                      <w:rFonts w:hint="eastAsia"/>
                      <w:color w:val="auto"/>
                      <w:sz w:val="21"/>
                      <w:szCs w:val="21"/>
                    </w:rPr>
                    <w:t>0.47 t/a</w:t>
                  </w:r>
                </w:p>
              </w:tc>
              <w:tc>
                <w:tcPr>
                  <w:tcW w:w="699" w:type="pct"/>
                  <w:tcMar>
                    <w:left w:w="28" w:type="dxa"/>
                    <w:right w:w="28" w:type="dxa"/>
                  </w:tcMar>
                  <w:vAlign w:val="center"/>
                </w:tcPr>
                <w:p>
                  <w:pPr>
                    <w:spacing w:line="320" w:lineRule="exact"/>
                    <w:contextualSpacing/>
                    <w:jc w:val="center"/>
                    <w:rPr>
                      <w:color w:val="auto"/>
                      <w:sz w:val="21"/>
                      <w:szCs w:val="21"/>
                    </w:rPr>
                  </w:pPr>
                  <w:r>
                    <w:rPr>
                      <w:rFonts w:hint="eastAsia"/>
                      <w:color w:val="auto"/>
                      <w:sz w:val="21"/>
                      <w:szCs w:val="21"/>
                    </w:rPr>
                    <w:t>0.47 t/a</w:t>
                  </w:r>
                </w:p>
              </w:tc>
              <w:tc>
                <w:tcPr>
                  <w:tcW w:w="2192" w:type="pct"/>
                  <w:vMerge w:val="continue"/>
                  <w:tcMar>
                    <w:left w:w="28" w:type="dxa"/>
                    <w:right w:w="28" w:type="dxa"/>
                  </w:tcMar>
                  <w:vAlign w:val="center"/>
                </w:tcPr>
                <w:p>
                  <w:pPr>
                    <w:spacing w:line="320" w:lineRule="exact"/>
                    <w:contextualSpacing/>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567" w:type="pct"/>
                  <w:vMerge w:val="continue"/>
                  <w:vAlign w:val="center"/>
                </w:tcPr>
                <w:p>
                  <w:pPr>
                    <w:spacing w:line="320" w:lineRule="exact"/>
                    <w:contextualSpacing/>
                    <w:jc w:val="center"/>
                    <w:rPr>
                      <w:rFonts w:hAnsi="宋体"/>
                      <w:color w:val="auto"/>
                      <w:sz w:val="21"/>
                      <w:szCs w:val="21"/>
                    </w:rPr>
                  </w:pPr>
                </w:p>
              </w:tc>
              <w:tc>
                <w:tcPr>
                  <w:tcW w:w="750" w:type="pct"/>
                  <w:vAlign w:val="center"/>
                </w:tcPr>
                <w:p>
                  <w:pPr>
                    <w:spacing w:line="320" w:lineRule="exact"/>
                    <w:contextualSpacing/>
                    <w:jc w:val="center"/>
                    <w:rPr>
                      <w:rFonts w:hAnsi="宋体"/>
                      <w:color w:val="auto"/>
                      <w:sz w:val="21"/>
                      <w:szCs w:val="21"/>
                    </w:rPr>
                  </w:pPr>
                  <w:r>
                    <w:rPr>
                      <w:rFonts w:hint="eastAsia" w:hAnsi="宋体"/>
                      <w:color w:val="auto"/>
                      <w:sz w:val="21"/>
                      <w:szCs w:val="21"/>
                    </w:rPr>
                    <w:t>NH</w:t>
                  </w:r>
                  <w:r>
                    <w:rPr>
                      <w:rFonts w:hint="eastAsia" w:hAnsi="宋体"/>
                      <w:color w:val="auto"/>
                      <w:sz w:val="21"/>
                      <w:szCs w:val="21"/>
                      <w:vertAlign w:val="subscript"/>
                    </w:rPr>
                    <w:t>3</w:t>
                  </w:r>
                  <w:r>
                    <w:rPr>
                      <w:rFonts w:hint="eastAsia" w:hAnsi="宋体"/>
                      <w:color w:val="auto"/>
                      <w:sz w:val="21"/>
                      <w:szCs w:val="21"/>
                    </w:rPr>
                    <w:t>-N</w:t>
                  </w:r>
                </w:p>
              </w:tc>
              <w:tc>
                <w:tcPr>
                  <w:tcW w:w="790" w:type="pct"/>
                  <w:tcMar>
                    <w:left w:w="28" w:type="dxa"/>
                    <w:right w:w="28" w:type="dxa"/>
                  </w:tcMar>
                  <w:vAlign w:val="center"/>
                </w:tcPr>
                <w:p>
                  <w:pPr>
                    <w:spacing w:line="320" w:lineRule="exact"/>
                    <w:contextualSpacing/>
                    <w:jc w:val="center"/>
                    <w:rPr>
                      <w:color w:val="auto"/>
                      <w:sz w:val="21"/>
                      <w:szCs w:val="21"/>
                    </w:rPr>
                  </w:pPr>
                  <w:r>
                    <w:rPr>
                      <w:rFonts w:hint="eastAsia"/>
                      <w:color w:val="auto"/>
                      <w:sz w:val="21"/>
                      <w:szCs w:val="21"/>
                    </w:rPr>
                    <w:t>0.08 t/a</w:t>
                  </w:r>
                </w:p>
              </w:tc>
              <w:tc>
                <w:tcPr>
                  <w:tcW w:w="699" w:type="pct"/>
                  <w:tcMar>
                    <w:left w:w="28" w:type="dxa"/>
                    <w:right w:w="28" w:type="dxa"/>
                  </w:tcMar>
                  <w:vAlign w:val="center"/>
                </w:tcPr>
                <w:p>
                  <w:pPr>
                    <w:spacing w:line="320" w:lineRule="exact"/>
                    <w:contextualSpacing/>
                    <w:jc w:val="center"/>
                    <w:rPr>
                      <w:color w:val="auto"/>
                      <w:sz w:val="21"/>
                      <w:szCs w:val="21"/>
                    </w:rPr>
                  </w:pPr>
                  <w:r>
                    <w:rPr>
                      <w:rFonts w:hint="eastAsia"/>
                      <w:color w:val="auto"/>
                      <w:sz w:val="21"/>
                      <w:szCs w:val="21"/>
                    </w:rPr>
                    <w:t>0.08 t/a</w:t>
                  </w:r>
                </w:p>
              </w:tc>
              <w:tc>
                <w:tcPr>
                  <w:tcW w:w="2192" w:type="pct"/>
                  <w:vMerge w:val="continue"/>
                  <w:tcMar>
                    <w:left w:w="28" w:type="dxa"/>
                    <w:right w:w="28" w:type="dxa"/>
                  </w:tcMar>
                  <w:vAlign w:val="center"/>
                </w:tcPr>
                <w:p>
                  <w:pPr>
                    <w:spacing w:line="320" w:lineRule="exact"/>
                    <w:contextualSpacing/>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567" w:type="pct"/>
                  <w:vMerge w:val="continue"/>
                  <w:vAlign w:val="center"/>
                </w:tcPr>
                <w:p>
                  <w:pPr>
                    <w:spacing w:line="320" w:lineRule="exact"/>
                    <w:contextualSpacing/>
                    <w:jc w:val="center"/>
                    <w:rPr>
                      <w:rFonts w:hAnsi="宋体"/>
                      <w:color w:val="auto"/>
                      <w:sz w:val="21"/>
                      <w:szCs w:val="21"/>
                    </w:rPr>
                  </w:pPr>
                </w:p>
              </w:tc>
              <w:tc>
                <w:tcPr>
                  <w:tcW w:w="750" w:type="pct"/>
                  <w:vAlign w:val="center"/>
                </w:tcPr>
                <w:p>
                  <w:pPr>
                    <w:spacing w:line="320" w:lineRule="exact"/>
                    <w:contextualSpacing/>
                    <w:jc w:val="center"/>
                    <w:rPr>
                      <w:rFonts w:hAnsi="宋体"/>
                      <w:color w:val="auto"/>
                      <w:sz w:val="21"/>
                      <w:szCs w:val="21"/>
                    </w:rPr>
                  </w:pPr>
                  <w:r>
                    <w:rPr>
                      <w:rFonts w:hint="eastAsia" w:hAnsi="宋体"/>
                      <w:color w:val="auto"/>
                      <w:sz w:val="21"/>
                      <w:szCs w:val="21"/>
                    </w:rPr>
                    <w:t>动植物油</w:t>
                  </w:r>
                </w:p>
              </w:tc>
              <w:tc>
                <w:tcPr>
                  <w:tcW w:w="790" w:type="pct"/>
                  <w:tcMar>
                    <w:left w:w="28" w:type="dxa"/>
                    <w:right w:w="28" w:type="dxa"/>
                  </w:tcMar>
                  <w:vAlign w:val="center"/>
                </w:tcPr>
                <w:p>
                  <w:pPr>
                    <w:spacing w:line="320" w:lineRule="exact"/>
                    <w:contextualSpacing/>
                    <w:jc w:val="center"/>
                    <w:rPr>
                      <w:color w:val="auto"/>
                      <w:sz w:val="21"/>
                      <w:szCs w:val="21"/>
                    </w:rPr>
                  </w:pPr>
                  <w:r>
                    <w:rPr>
                      <w:rFonts w:hint="eastAsia"/>
                      <w:color w:val="auto"/>
                      <w:sz w:val="21"/>
                      <w:szCs w:val="21"/>
                    </w:rPr>
                    <w:t>0.39t/a</w:t>
                  </w:r>
                </w:p>
              </w:tc>
              <w:tc>
                <w:tcPr>
                  <w:tcW w:w="699" w:type="pct"/>
                  <w:tcMar>
                    <w:left w:w="28" w:type="dxa"/>
                    <w:right w:w="28" w:type="dxa"/>
                  </w:tcMar>
                  <w:vAlign w:val="center"/>
                </w:tcPr>
                <w:p>
                  <w:pPr>
                    <w:spacing w:line="320" w:lineRule="exact"/>
                    <w:contextualSpacing/>
                    <w:jc w:val="center"/>
                    <w:rPr>
                      <w:color w:val="auto"/>
                      <w:sz w:val="21"/>
                      <w:szCs w:val="21"/>
                    </w:rPr>
                  </w:pPr>
                  <w:r>
                    <w:rPr>
                      <w:rFonts w:hint="eastAsia"/>
                      <w:color w:val="auto"/>
                      <w:sz w:val="21"/>
                      <w:szCs w:val="21"/>
                    </w:rPr>
                    <w:t>0.39t/a</w:t>
                  </w:r>
                </w:p>
              </w:tc>
              <w:tc>
                <w:tcPr>
                  <w:tcW w:w="2192" w:type="pct"/>
                  <w:vMerge w:val="continue"/>
                  <w:tcMar>
                    <w:left w:w="28" w:type="dxa"/>
                    <w:right w:w="28" w:type="dxa"/>
                  </w:tcMar>
                  <w:vAlign w:val="center"/>
                </w:tcPr>
                <w:p>
                  <w:pPr>
                    <w:spacing w:line="320" w:lineRule="exact"/>
                    <w:contextualSpacing/>
                    <w:jc w:val="center"/>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567" w:type="pct"/>
                  <w:vAlign w:val="center"/>
                </w:tcPr>
                <w:p>
                  <w:pPr>
                    <w:spacing w:line="320" w:lineRule="exact"/>
                    <w:contextualSpacing/>
                    <w:jc w:val="center"/>
                    <w:rPr>
                      <w:rFonts w:hint="eastAsia" w:hAnsi="宋体" w:eastAsia="宋体"/>
                      <w:color w:val="auto"/>
                      <w:sz w:val="21"/>
                      <w:szCs w:val="21"/>
                      <w:lang w:eastAsia="zh-CN"/>
                    </w:rPr>
                  </w:pPr>
                  <w:r>
                    <w:rPr>
                      <w:rFonts w:hint="eastAsia" w:hAnsi="宋体"/>
                      <w:color w:val="auto"/>
                      <w:sz w:val="21"/>
                      <w:szCs w:val="21"/>
                      <w:lang w:eastAsia="zh-CN"/>
                    </w:rPr>
                    <w:t>初期雨水</w:t>
                  </w:r>
                </w:p>
              </w:tc>
              <w:tc>
                <w:tcPr>
                  <w:tcW w:w="750" w:type="pct"/>
                  <w:vAlign w:val="center"/>
                </w:tcPr>
                <w:p>
                  <w:pPr>
                    <w:spacing w:line="320" w:lineRule="exact"/>
                    <w:contextualSpacing/>
                    <w:jc w:val="center"/>
                    <w:rPr>
                      <w:rFonts w:hint="eastAsia" w:hAnsi="宋体" w:eastAsia="宋体"/>
                      <w:color w:val="auto"/>
                      <w:sz w:val="21"/>
                      <w:szCs w:val="21"/>
                      <w:lang w:eastAsia="zh-CN"/>
                    </w:rPr>
                  </w:pPr>
                  <w:r>
                    <w:rPr>
                      <w:rFonts w:hint="eastAsia" w:hAnsi="宋体"/>
                      <w:color w:val="auto"/>
                      <w:sz w:val="21"/>
                      <w:szCs w:val="21"/>
                      <w:lang w:eastAsia="zh-CN"/>
                    </w:rPr>
                    <w:t>废水量</w:t>
                  </w:r>
                </w:p>
              </w:tc>
              <w:tc>
                <w:tcPr>
                  <w:tcW w:w="790" w:type="pct"/>
                  <w:tcMar>
                    <w:left w:w="28" w:type="dxa"/>
                    <w:right w:w="28" w:type="dxa"/>
                  </w:tcMar>
                  <w:vAlign w:val="center"/>
                </w:tcPr>
                <w:p>
                  <w:pPr>
                    <w:spacing w:line="320" w:lineRule="exact"/>
                    <w:contextualSpacing/>
                    <w:jc w:val="center"/>
                    <w:rPr>
                      <w:rFonts w:hint="eastAsia"/>
                      <w:color w:val="auto"/>
                      <w:sz w:val="21"/>
                      <w:szCs w:val="21"/>
                    </w:rPr>
                  </w:pPr>
                  <w:r>
                    <w:rPr>
                      <w:rFonts w:hint="eastAsia"/>
                      <w:color w:val="auto"/>
                      <w:sz w:val="21"/>
                      <w:szCs w:val="21"/>
                      <w:lang w:val="en-US" w:eastAsia="zh-CN"/>
                    </w:rPr>
                    <w:t>1.55</w:t>
                  </w:r>
                  <w:r>
                    <w:rPr>
                      <w:color w:val="auto"/>
                      <w:sz w:val="21"/>
                      <w:szCs w:val="21"/>
                    </w:rPr>
                    <w:t xml:space="preserve"> m</w:t>
                  </w:r>
                  <w:r>
                    <w:rPr>
                      <w:color w:val="auto"/>
                      <w:sz w:val="21"/>
                      <w:szCs w:val="21"/>
                      <w:vertAlign w:val="superscript"/>
                    </w:rPr>
                    <w:t>3</w:t>
                  </w:r>
                  <w:r>
                    <w:rPr>
                      <w:color w:val="auto"/>
                      <w:sz w:val="21"/>
                      <w:szCs w:val="21"/>
                    </w:rPr>
                    <w:t>/次</w:t>
                  </w:r>
                </w:p>
              </w:tc>
              <w:tc>
                <w:tcPr>
                  <w:tcW w:w="699" w:type="pct"/>
                  <w:tcMar>
                    <w:left w:w="28" w:type="dxa"/>
                    <w:right w:w="28" w:type="dxa"/>
                  </w:tcMar>
                  <w:vAlign w:val="center"/>
                </w:tcPr>
                <w:p>
                  <w:pPr>
                    <w:spacing w:line="320" w:lineRule="exact"/>
                    <w:contextualSpacing/>
                    <w:jc w:val="center"/>
                    <w:rPr>
                      <w:rFonts w:hint="eastAsia" w:eastAsia="宋体"/>
                      <w:color w:val="auto"/>
                      <w:sz w:val="21"/>
                      <w:szCs w:val="21"/>
                      <w:lang w:val="en-US" w:eastAsia="zh-CN"/>
                    </w:rPr>
                  </w:pPr>
                  <w:r>
                    <w:rPr>
                      <w:rFonts w:hint="eastAsia"/>
                      <w:color w:val="auto"/>
                      <w:sz w:val="21"/>
                      <w:szCs w:val="21"/>
                      <w:lang w:val="en-US" w:eastAsia="zh-CN"/>
                    </w:rPr>
                    <w:t>0</w:t>
                  </w:r>
                  <w:r>
                    <w:rPr>
                      <w:color w:val="auto"/>
                      <w:sz w:val="21"/>
                      <w:szCs w:val="21"/>
                    </w:rPr>
                    <w:t>m</w:t>
                  </w:r>
                  <w:r>
                    <w:rPr>
                      <w:color w:val="auto"/>
                      <w:sz w:val="21"/>
                      <w:szCs w:val="21"/>
                      <w:vertAlign w:val="superscript"/>
                    </w:rPr>
                    <w:t>3</w:t>
                  </w:r>
                  <w:r>
                    <w:rPr>
                      <w:color w:val="auto"/>
                      <w:sz w:val="21"/>
                      <w:szCs w:val="21"/>
                    </w:rPr>
                    <w:t>/次</w:t>
                  </w:r>
                </w:p>
              </w:tc>
              <w:tc>
                <w:tcPr>
                  <w:tcW w:w="2192" w:type="pct"/>
                  <w:tcMar>
                    <w:left w:w="28" w:type="dxa"/>
                    <w:right w:w="28" w:type="dxa"/>
                  </w:tcMar>
                  <w:vAlign w:val="center"/>
                </w:tcPr>
                <w:p>
                  <w:pPr>
                    <w:spacing w:line="320" w:lineRule="exact"/>
                    <w:contextualSpacing/>
                    <w:jc w:val="center"/>
                    <w:rPr>
                      <w:color w:val="auto"/>
                      <w:sz w:val="21"/>
                      <w:szCs w:val="21"/>
                    </w:rPr>
                  </w:pPr>
                  <w:r>
                    <w:rPr>
                      <w:rFonts w:hint="eastAsia"/>
                      <w:color w:val="auto"/>
                      <w:sz w:val="21"/>
                      <w:szCs w:val="21"/>
                    </w:rPr>
                    <w:t>初期雨水依托</w:t>
                  </w:r>
                  <w:r>
                    <w:rPr>
                      <w:rFonts w:hint="eastAsia"/>
                      <w:color w:val="auto"/>
                      <w:sz w:val="21"/>
                      <w:szCs w:val="21"/>
                      <w:lang w:eastAsia="zh-CN"/>
                    </w:rPr>
                    <w:t>现有</w:t>
                  </w:r>
                  <w:r>
                    <w:rPr>
                      <w:rFonts w:hint="eastAsia"/>
                      <w:color w:val="auto"/>
                      <w:sz w:val="21"/>
                      <w:szCs w:val="21"/>
                    </w:rPr>
                    <w:t>的1座雨水收集池收集</w:t>
                  </w:r>
                  <w:r>
                    <w:rPr>
                      <w:rFonts w:hint="eastAsia"/>
                      <w:color w:val="auto"/>
                      <w:sz w:val="21"/>
                      <w:szCs w:val="21"/>
                      <w:lang w:eastAsia="zh-CN"/>
                    </w:rPr>
                    <w:t>（</w:t>
                  </w:r>
                  <w:r>
                    <w:rPr>
                      <w:rFonts w:hint="eastAsia"/>
                      <w:color w:val="auto"/>
                      <w:sz w:val="21"/>
                      <w:szCs w:val="21"/>
                      <w:lang w:val="en-US" w:eastAsia="zh-CN"/>
                    </w:rPr>
                    <w:t>1500</w:t>
                  </w:r>
                  <w:r>
                    <w:rPr>
                      <w:color w:val="auto"/>
                      <w:sz w:val="21"/>
                      <w:szCs w:val="21"/>
                    </w:rPr>
                    <w:t>m</w:t>
                  </w:r>
                  <w:r>
                    <w:rPr>
                      <w:color w:val="auto"/>
                      <w:sz w:val="21"/>
                      <w:szCs w:val="21"/>
                      <w:vertAlign w:val="superscript"/>
                    </w:rPr>
                    <w:t>3</w:t>
                  </w:r>
                  <w:r>
                    <w:rPr>
                      <w:rFonts w:hint="eastAsia"/>
                      <w:color w:val="auto"/>
                      <w:sz w:val="21"/>
                      <w:szCs w:val="21"/>
                      <w:lang w:eastAsia="zh-CN"/>
                    </w:rPr>
                    <w:t>）</w:t>
                  </w:r>
                  <w:r>
                    <w:rPr>
                      <w:rFonts w:hint="eastAsia"/>
                      <w:color w:val="auto"/>
                      <w:sz w:val="21"/>
                      <w:szCs w:val="21"/>
                    </w:rPr>
                    <w:t>；经沉淀后全部回用于道路、场地洒水，不外排。</w:t>
                  </w:r>
                </w:p>
              </w:tc>
            </w:tr>
          </w:tbl>
          <w:p>
            <w:pPr>
              <w:spacing w:line="360" w:lineRule="auto"/>
              <w:ind w:firstLine="480" w:firstLineChars="200"/>
              <w:rPr>
                <w:rFonts w:hAnsi="宋体"/>
                <w:color w:val="auto"/>
                <w:sz w:val="24"/>
                <w:szCs w:val="20"/>
              </w:rPr>
            </w:pPr>
            <w:r>
              <w:rPr>
                <w:rFonts w:hint="eastAsia" w:hAnsi="宋体"/>
                <w:color w:val="auto"/>
                <w:sz w:val="24"/>
                <w:szCs w:val="20"/>
              </w:rPr>
              <w:t>（2）废水达标分析</w:t>
            </w:r>
          </w:p>
          <w:p>
            <w:pPr>
              <w:adjustRightInd w:val="0"/>
              <w:snapToGrid w:val="0"/>
              <w:spacing w:line="360" w:lineRule="auto"/>
              <w:ind w:firstLine="480" w:firstLineChars="200"/>
              <w:jc w:val="left"/>
              <w:rPr>
                <w:bCs/>
                <w:color w:val="auto"/>
                <w:sz w:val="24"/>
              </w:rPr>
            </w:pPr>
            <w:r>
              <w:rPr>
                <w:bCs/>
                <w:color w:val="auto"/>
                <w:sz w:val="24"/>
              </w:rPr>
              <w:t>生活污水中</w:t>
            </w:r>
            <w:r>
              <w:rPr>
                <w:rFonts w:hint="eastAsia"/>
                <w:bCs/>
                <w:color w:val="auto"/>
                <w:sz w:val="24"/>
              </w:rPr>
              <w:t>COD、BOD</w:t>
            </w:r>
            <w:r>
              <w:rPr>
                <w:rFonts w:hint="eastAsia"/>
                <w:bCs/>
                <w:color w:val="auto"/>
                <w:sz w:val="24"/>
                <w:vertAlign w:val="subscript"/>
              </w:rPr>
              <w:t>5</w:t>
            </w:r>
            <w:r>
              <w:rPr>
                <w:rFonts w:hint="eastAsia"/>
                <w:bCs/>
                <w:color w:val="auto"/>
                <w:sz w:val="24"/>
              </w:rPr>
              <w:t>、NH</w:t>
            </w:r>
            <w:r>
              <w:rPr>
                <w:rFonts w:hint="eastAsia"/>
                <w:bCs/>
                <w:color w:val="auto"/>
                <w:sz w:val="24"/>
                <w:vertAlign w:val="subscript"/>
              </w:rPr>
              <w:t>3</w:t>
            </w:r>
            <w:r>
              <w:rPr>
                <w:rFonts w:hint="eastAsia"/>
                <w:bCs/>
                <w:color w:val="auto"/>
                <w:sz w:val="24"/>
              </w:rPr>
              <w:t>-N、SS排放浓度分别为350mg/L、180 mg/L、35 mg/L、220 mg/L，符合渭南市高新区污水处理厂入厂水质要求；动植物油排放浓度为180 mg/L，符合《污水综合排放标准》（GB8978-1996）限值要求。</w:t>
            </w:r>
          </w:p>
          <w:p>
            <w:pPr>
              <w:adjustRightInd w:val="0"/>
              <w:snapToGrid w:val="0"/>
              <w:spacing w:line="360" w:lineRule="auto"/>
              <w:ind w:firstLine="480" w:firstLineChars="200"/>
              <w:jc w:val="left"/>
              <w:rPr>
                <w:rFonts w:hAnsi="宋体"/>
                <w:color w:val="auto"/>
                <w:sz w:val="24"/>
                <w:szCs w:val="20"/>
              </w:rPr>
            </w:pPr>
            <w:r>
              <w:rPr>
                <w:rFonts w:hint="eastAsia" w:hAnsi="宋体"/>
                <w:color w:val="auto"/>
                <w:sz w:val="24"/>
                <w:szCs w:val="20"/>
              </w:rPr>
              <w:t>（3）污水处理依托可行性</w:t>
            </w:r>
          </w:p>
          <w:p>
            <w:pPr>
              <w:adjustRightInd w:val="0"/>
              <w:snapToGrid w:val="0"/>
              <w:spacing w:line="360" w:lineRule="auto"/>
              <w:ind w:firstLine="480" w:firstLineChars="200"/>
              <w:rPr>
                <w:bCs/>
                <w:color w:val="auto"/>
                <w:sz w:val="24"/>
              </w:rPr>
            </w:pPr>
            <w:r>
              <w:rPr>
                <w:rFonts w:hint="eastAsia"/>
                <w:bCs/>
                <w:color w:val="auto"/>
                <w:sz w:val="24"/>
              </w:rPr>
              <w:t>渭南西区污水处理厂位于渭南国家高新技术产业开发区新盛路西段，占地约28亩，服务面积47.29平方公里。一期设计处理能力为3.0万m</w:t>
            </w:r>
            <w:r>
              <w:rPr>
                <w:rFonts w:hint="eastAsia"/>
                <w:bCs/>
                <w:color w:val="auto"/>
                <w:sz w:val="24"/>
                <w:vertAlign w:val="superscript"/>
              </w:rPr>
              <w:t>3</w:t>
            </w:r>
            <w:r>
              <w:rPr>
                <w:rFonts w:hint="eastAsia"/>
                <w:bCs/>
                <w:color w:val="auto"/>
                <w:sz w:val="24"/>
              </w:rPr>
              <w:t>/d，工艺采用CASS水处理工艺，2009年12月建设二期处理能力为3.0万m</w:t>
            </w:r>
            <w:r>
              <w:rPr>
                <w:rFonts w:hint="eastAsia"/>
                <w:bCs/>
                <w:color w:val="auto"/>
                <w:sz w:val="24"/>
                <w:vertAlign w:val="superscript"/>
              </w:rPr>
              <w:t>3</w:t>
            </w:r>
            <w:r>
              <w:rPr>
                <w:rFonts w:hint="eastAsia"/>
                <w:bCs/>
                <w:color w:val="auto"/>
                <w:sz w:val="24"/>
              </w:rPr>
              <w:t>/d，工艺采用A</w:t>
            </w:r>
            <w:r>
              <w:rPr>
                <w:rFonts w:hint="eastAsia"/>
                <w:bCs/>
                <w:color w:val="auto"/>
                <w:sz w:val="24"/>
                <w:vertAlign w:val="superscript"/>
              </w:rPr>
              <w:t>2</w:t>
            </w:r>
            <w:r>
              <w:rPr>
                <w:rFonts w:hint="eastAsia"/>
                <w:bCs/>
                <w:color w:val="auto"/>
                <w:sz w:val="24"/>
              </w:rPr>
              <w:t>/O工艺处理，2015年12月开始运营，2019年10月，进行了提标改造，出水标准执行《陕西省黄河流域污水综合排放标准》（DB61/224-2018）表1中A标准要求。目前渭南西区污水处理厂日处理能力为6万m</w:t>
            </w:r>
            <w:r>
              <w:rPr>
                <w:rFonts w:hint="eastAsia"/>
                <w:bCs/>
                <w:color w:val="auto"/>
                <w:sz w:val="24"/>
                <w:vertAlign w:val="superscript"/>
              </w:rPr>
              <w:t>3</w:t>
            </w:r>
            <w:r>
              <w:rPr>
                <w:rFonts w:hint="eastAsia"/>
                <w:bCs/>
                <w:color w:val="auto"/>
                <w:sz w:val="24"/>
              </w:rPr>
              <w:t>/d，剩余处理能力为1.06万m</w:t>
            </w:r>
            <w:r>
              <w:rPr>
                <w:rFonts w:hint="eastAsia"/>
                <w:bCs/>
                <w:color w:val="auto"/>
                <w:sz w:val="24"/>
                <w:vertAlign w:val="superscript"/>
              </w:rPr>
              <w:t>3</w:t>
            </w:r>
            <w:r>
              <w:rPr>
                <w:rFonts w:hint="eastAsia"/>
                <w:bCs/>
                <w:color w:val="auto"/>
                <w:sz w:val="24"/>
              </w:rPr>
              <w:t>/d，项目废水量较小（约</w:t>
            </w:r>
            <w:r>
              <w:rPr>
                <w:rFonts w:hint="eastAsia"/>
                <w:color w:val="auto"/>
                <w:sz w:val="24"/>
              </w:rPr>
              <w:t>7.2</w:t>
            </w:r>
            <w:r>
              <w:rPr>
                <w:color w:val="auto"/>
                <w:sz w:val="24"/>
              </w:rPr>
              <w:t>m</w:t>
            </w:r>
            <w:r>
              <w:rPr>
                <w:color w:val="auto"/>
                <w:sz w:val="24"/>
                <w:vertAlign w:val="superscript"/>
              </w:rPr>
              <w:t>3</w:t>
            </w:r>
            <w:r>
              <w:rPr>
                <w:color w:val="auto"/>
                <w:sz w:val="24"/>
              </w:rPr>
              <w:t>/d</w:t>
            </w:r>
            <w:r>
              <w:rPr>
                <w:rFonts w:hint="eastAsia"/>
                <w:bCs/>
                <w:color w:val="auto"/>
                <w:sz w:val="24"/>
              </w:rPr>
              <w:t>），水质简单，项目排水量不会对渭南西区污水处理厂产生水量及水质冲击。根据项目现场踏勘，项目所在区属于污水处理厂收水范围，且污水管网已经铺设到位，因此，废水排入</w:t>
            </w:r>
            <w:r>
              <w:rPr>
                <w:rFonts w:hint="eastAsia"/>
                <w:bCs/>
                <w:color w:val="auto"/>
                <w:sz w:val="24"/>
                <w:lang w:val="zh-CN"/>
              </w:rPr>
              <w:t>渭南西区污水处理厂</w:t>
            </w:r>
            <w:r>
              <w:rPr>
                <w:rFonts w:hint="eastAsia"/>
                <w:bCs/>
                <w:color w:val="auto"/>
                <w:sz w:val="24"/>
              </w:rPr>
              <w:t>措施可行。</w:t>
            </w:r>
          </w:p>
          <w:p>
            <w:pPr>
              <w:adjustRightInd w:val="0"/>
              <w:snapToGrid w:val="0"/>
              <w:spacing w:line="360" w:lineRule="auto"/>
              <w:ind w:firstLine="480" w:firstLineChars="200"/>
              <w:jc w:val="left"/>
              <w:rPr>
                <w:rFonts w:hAnsi="宋体"/>
                <w:color w:val="auto"/>
                <w:sz w:val="24"/>
                <w:szCs w:val="20"/>
              </w:rPr>
            </w:pPr>
            <w:r>
              <w:rPr>
                <w:rFonts w:hint="eastAsia" w:hAnsi="宋体"/>
                <w:color w:val="auto"/>
                <w:sz w:val="24"/>
                <w:szCs w:val="20"/>
              </w:rPr>
              <w:t>（4）废水污染物排放信息</w:t>
            </w:r>
          </w:p>
          <w:p>
            <w:pPr>
              <w:spacing w:line="360" w:lineRule="auto"/>
              <w:ind w:firstLine="480" w:firstLineChars="200"/>
              <w:rPr>
                <w:color w:val="auto"/>
                <w:sz w:val="24"/>
              </w:rPr>
            </w:pPr>
            <w:r>
              <w:rPr>
                <w:color w:val="auto"/>
                <w:sz w:val="24"/>
              </w:rPr>
              <w:t>本项目废水类别、污染物及污染治理设施信息详见下表。</w:t>
            </w:r>
          </w:p>
          <w:p>
            <w:pPr>
              <w:autoSpaceDE w:val="0"/>
              <w:autoSpaceDN w:val="0"/>
              <w:adjustRightInd w:val="0"/>
              <w:spacing w:before="48" w:beforeLines="20"/>
              <w:ind w:firstLine="482" w:firstLineChars="200"/>
              <w:jc w:val="center"/>
              <w:rPr>
                <w:b/>
                <w:snapToGrid w:val="0"/>
                <w:color w:val="auto"/>
                <w:sz w:val="24"/>
                <w:lang w:val="zh-CN"/>
              </w:rPr>
            </w:pPr>
            <w:r>
              <w:rPr>
                <w:rFonts w:hint="eastAsia"/>
                <w:b/>
                <w:snapToGrid w:val="0"/>
                <w:color w:val="auto"/>
                <w:sz w:val="24"/>
                <w:lang w:val="zh-CN"/>
              </w:rPr>
              <w:t>表4-12   废水类别、污染物及污染治理设施信息表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27"/>
              <w:gridCol w:w="1274"/>
              <w:gridCol w:w="994"/>
              <w:gridCol w:w="994"/>
              <w:gridCol w:w="1275"/>
              <w:gridCol w:w="1135"/>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633" w:type="pct"/>
                  <w:vAlign w:val="center"/>
                </w:tcPr>
                <w:p>
                  <w:pPr>
                    <w:jc w:val="center"/>
                    <w:rPr>
                      <w:color w:val="auto"/>
                      <w:szCs w:val="21"/>
                    </w:rPr>
                  </w:pPr>
                  <w:r>
                    <w:rPr>
                      <w:color w:val="auto"/>
                      <w:szCs w:val="21"/>
                    </w:rPr>
                    <w:t>废水类别</w:t>
                  </w:r>
                </w:p>
              </w:tc>
              <w:tc>
                <w:tcPr>
                  <w:tcW w:w="785" w:type="pct"/>
                  <w:vAlign w:val="center"/>
                </w:tcPr>
                <w:p>
                  <w:pPr>
                    <w:jc w:val="center"/>
                    <w:rPr>
                      <w:color w:val="auto"/>
                      <w:szCs w:val="21"/>
                    </w:rPr>
                  </w:pPr>
                  <w:r>
                    <w:rPr>
                      <w:color w:val="auto"/>
                      <w:szCs w:val="21"/>
                    </w:rPr>
                    <w:t>污染物种类</w:t>
                  </w:r>
                </w:p>
              </w:tc>
              <w:tc>
                <w:tcPr>
                  <w:tcW w:w="612" w:type="pct"/>
                  <w:vAlign w:val="center"/>
                </w:tcPr>
                <w:p>
                  <w:pPr>
                    <w:jc w:val="center"/>
                    <w:rPr>
                      <w:color w:val="auto"/>
                      <w:szCs w:val="21"/>
                    </w:rPr>
                  </w:pPr>
                  <w:r>
                    <w:rPr>
                      <w:rFonts w:hint="eastAsia"/>
                      <w:color w:val="auto"/>
                      <w:szCs w:val="21"/>
                    </w:rPr>
                    <w:t>污染治理设施</w:t>
                  </w:r>
                </w:p>
              </w:tc>
              <w:tc>
                <w:tcPr>
                  <w:tcW w:w="612" w:type="pct"/>
                  <w:vAlign w:val="center"/>
                </w:tcPr>
                <w:p>
                  <w:pPr>
                    <w:jc w:val="center"/>
                    <w:rPr>
                      <w:color w:val="auto"/>
                      <w:szCs w:val="21"/>
                    </w:rPr>
                  </w:pPr>
                  <w:r>
                    <w:rPr>
                      <w:color w:val="auto"/>
                      <w:szCs w:val="21"/>
                    </w:rPr>
                    <w:t>排放去向</w:t>
                  </w:r>
                </w:p>
              </w:tc>
              <w:tc>
                <w:tcPr>
                  <w:tcW w:w="785" w:type="pct"/>
                  <w:vAlign w:val="center"/>
                </w:tcPr>
                <w:p>
                  <w:pPr>
                    <w:jc w:val="center"/>
                    <w:rPr>
                      <w:color w:val="auto"/>
                      <w:szCs w:val="21"/>
                    </w:rPr>
                  </w:pPr>
                  <w:r>
                    <w:rPr>
                      <w:color w:val="auto"/>
                      <w:szCs w:val="21"/>
                    </w:rPr>
                    <w:t>排放方式</w:t>
                  </w:r>
                </w:p>
              </w:tc>
              <w:tc>
                <w:tcPr>
                  <w:tcW w:w="699" w:type="pct"/>
                  <w:vAlign w:val="center"/>
                </w:tcPr>
                <w:p>
                  <w:pPr>
                    <w:jc w:val="center"/>
                    <w:rPr>
                      <w:color w:val="auto"/>
                      <w:szCs w:val="21"/>
                    </w:rPr>
                  </w:pPr>
                  <w:r>
                    <w:rPr>
                      <w:color w:val="auto"/>
                      <w:szCs w:val="21"/>
                    </w:rPr>
                    <w:t>排放规律</w:t>
                  </w:r>
                </w:p>
              </w:tc>
              <w:tc>
                <w:tcPr>
                  <w:tcW w:w="873" w:type="pct"/>
                  <w:vAlign w:val="center"/>
                </w:tcPr>
                <w:p>
                  <w:pPr>
                    <w:jc w:val="center"/>
                    <w:rPr>
                      <w:color w:val="auto"/>
                      <w:szCs w:val="21"/>
                    </w:rPr>
                  </w:pPr>
                  <w:r>
                    <w:rPr>
                      <w:color w:val="auto"/>
                      <w:szCs w:val="21"/>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633" w:type="pct"/>
                  <w:vAlign w:val="center"/>
                </w:tcPr>
                <w:p>
                  <w:pPr>
                    <w:snapToGrid w:val="0"/>
                    <w:jc w:val="center"/>
                    <w:rPr>
                      <w:color w:val="auto"/>
                      <w:szCs w:val="21"/>
                    </w:rPr>
                  </w:pPr>
                  <w:r>
                    <w:rPr>
                      <w:color w:val="auto"/>
                      <w:szCs w:val="21"/>
                    </w:rPr>
                    <w:t>生活污水</w:t>
                  </w:r>
                </w:p>
              </w:tc>
              <w:tc>
                <w:tcPr>
                  <w:tcW w:w="785" w:type="pct"/>
                  <w:vAlign w:val="center"/>
                </w:tcPr>
                <w:p>
                  <w:pPr>
                    <w:jc w:val="center"/>
                    <w:rPr>
                      <w:color w:val="auto"/>
                      <w:szCs w:val="21"/>
                    </w:rPr>
                  </w:pPr>
                  <w:r>
                    <w:rPr>
                      <w:rFonts w:hint="eastAsia"/>
                      <w:bCs/>
                      <w:color w:val="auto"/>
                      <w:szCs w:val="21"/>
                    </w:rPr>
                    <w:t>COD、BOD</w:t>
                  </w:r>
                  <w:r>
                    <w:rPr>
                      <w:rFonts w:hint="eastAsia"/>
                      <w:bCs/>
                      <w:color w:val="auto"/>
                      <w:szCs w:val="21"/>
                      <w:vertAlign w:val="subscript"/>
                    </w:rPr>
                    <w:t>5</w:t>
                  </w:r>
                  <w:r>
                    <w:rPr>
                      <w:rFonts w:hint="eastAsia"/>
                      <w:bCs/>
                      <w:color w:val="auto"/>
                      <w:szCs w:val="21"/>
                    </w:rPr>
                    <w:t>、NH</w:t>
                  </w:r>
                  <w:r>
                    <w:rPr>
                      <w:rFonts w:hint="eastAsia"/>
                      <w:bCs/>
                      <w:color w:val="auto"/>
                      <w:szCs w:val="21"/>
                      <w:vertAlign w:val="subscript"/>
                    </w:rPr>
                    <w:t>3</w:t>
                  </w:r>
                  <w:r>
                    <w:rPr>
                      <w:rFonts w:hint="eastAsia"/>
                      <w:bCs/>
                      <w:color w:val="auto"/>
                      <w:szCs w:val="21"/>
                    </w:rPr>
                    <w:t>-N、SS、动植物油</w:t>
                  </w:r>
                </w:p>
              </w:tc>
              <w:tc>
                <w:tcPr>
                  <w:tcW w:w="612" w:type="pct"/>
                  <w:vAlign w:val="center"/>
                </w:tcPr>
                <w:p>
                  <w:pPr>
                    <w:jc w:val="center"/>
                    <w:rPr>
                      <w:color w:val="auto"/>
                      <w:szCs w:val="21"/>
                    </w:rPr>
                  </w:pPr>
                  <w:r>
                    <w:rPr>
                      <w:color w:val="auto"/>
                      <w:szCs w:val="21"/>
                    </w:rPr>
                    <w:t>化粪池</w:t>
                  </w:r>
                </w:p>
              </w:tc>
              <w:tc>
                <w:tcPr>
                  <w:tcW w:w="612" w:type="pct"/>
                  <w:vAlign w:val="center"/>
                </w:tcPr>
                <w:p>
                  <w:pPr>
                    <w:jc w:val="center"/>
                    <w:rPr>
                      <w:color w:val="auto"/>
                      <w:szCs w:val="21"/>
                    </w:rPr>
                  </w:pPr>
                  <w:r>
                    <w:rPr>
                      <w:rFonts w:hint="eastAsia"/>
                      <w:color w:val="auto"/>
                      <w:szCs w:val="21"/>
                    </w:rPr>
                    <w:t>进入城市污水处理厂</w:t>
                  </w:r>
                </w:p>
              </w:tc>
              <w:tc>
                <w:tcPr>
                  <w:tcW w:w="785" w:type="pct"/>
                  <w:vAlign w:val="center"/>
                </w:tcPr>
                <w:p>
                  <w:pPr>
                    <w:jc w:val="center"/>
                    <w:rPr>
                      <w:color w:val="auto"/>
                      <w:szCs w:val="21"/>
                    </w:rPr>
                  </w:pPr>
                  <w:r>
                    <w:rPr>
                      <w:rFonts w:hint="eastAsia"/>
                      <w:color w:val="auto"/>
                      <w:szCs w:val="21"/>
                    </w:rPr>
                    <w:t>间断</w:t>
                  </w:r>
                </w:p>
              </w:tc>
              <w:tc>
                <w:tcPr>
                  <w:tcW w:w="699" w:type="pct"/>
                  <w:vAlign w:val="center"/>
                </w:tcPr>
                <w:p>
                  <w:pPr>
                    <w:jc w:val="center"/>
                    <w:rPr>
                      <w:color w:val="auto"/>
                      <w:szCs w:val="21"/>
                    </w:rPr>
                  </w:pPr>
                  <w:r>
                    <w:rPr>
                      <w:rFonts w:hint="eastAsia"/>
                      <w:color w:val="auto"/>
                      <w:szCs w:val="21"/>
                    </w:rPr>
                    <w:t>间断排放，排放期间流量不稳定，但有周期性规律</w:t>
                  </w:r>
                </w:p>
              </w:tc>
              <w:tc>
                <w:tcPr>
                  <w:tcW w:w="873" w:type="pct"/>
                  <w:vAlign w:val="center"/>
                </w:tcPr>
                <w:p>
                  <w:pPr>
                    <w:jc w:val="center"/>
                    <w:rPr>
                      <w:color w:val="auto"/>
                      <w:szCs w:val="21"/>
                    </w:rPr>
                  </w:pPr>
                  <w:r>
                    <w:rPr>
                      <w:rFonts w:hint="eastAsia"/>
                      <w:color w:val="auto"/>
                      <w:szCs w:val="21"/>
                    </w:rPr>
                    <w:t>一般排放口-总排口</w:t>
                  </w:r>
                </w:p>
              </w:tc>
            </w:tr>
          </w:tbl>
          <w:p>
            <w:pPr>
              <w:adjustRightInd w:val="0"/>
              <w:snapToGrid w:val="0"/>
              <w:spacing w:line="360" w:lineRule="auto"/>
              <w:ind w:firstLine="480" w:firstLineChars="200"/>
              <w:jc w:val="left"/>
              <w:rPr>
                <w:rFonts w:hAnsi="宋体"/>
                <w:color w:val="auto"/>
                <w:sz w:val="24"/>
                <w:szCs w:val="20"/>
              </w:rPr>
            </w:pPr>
            <w:r>
              <w:rPr>
                <w:rFonts w:hint="eastAsia" w:hAnsi="宋体"/>
                <w:color w:val="auto"/>
                <w:sz w:val="24"/>
                <w:szCs w:val="20"/>
              </w:rPr>
              <w:t>废水间接排放口基本情况详见下表。</w:t>
            </w:r>
          </w:p>
          <w:p>
            <w:pPr>
              <w:autoSpaceDE w:val="0"/>
              <w:autoSpaceDN w:val="0"/>
              <w:adjustRightInd w:val="0"/>
              <w:spacing w:before="48" w:beforeLines="20"/>
              <w:ind w:firstLine="482" w:firstLineChars="200"/>
              <w:jc w:val="center"/>
              <w:rPr>
                <w:b/>
                <w:snapToGrid w:val="0"/>
                <w:color w:val="auto"/>
                <w:sz w:val="24"/>
                <w:lang w:val="zh-CN"/>
              </w:rPr>
            </w:pPr>
            <w:r>
              <w:rPr>
                <w:rFonts w:hint="eastAsia"/>
                <w:b/>
                <w:snapToGrid w:val="0"/>
                <w:color w:val="auto"/>
                <w:sz w:val="24"/>
                <w:lang w:val="zh-CN"/>
              </w:rPr>
              <w:t>表4-13   废水间接排放口基本情况表</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60"/>
              <w:gridCol w:w="823"/>
              <w:gridCol w:w="1352"/>
              <w:gridCol w:w="1247"/>
              <w:gridCol w:w="682"/>
              <w:gridCol w:w="495"/>
              <w:gridCol w:w="469"/>
              <w:gridCol w:w="455"/>
              <w:gridCol w:w="487"/>
              <w:gridCol w:w="669"/>
              <w:gridCol w:w="10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22" w:type="pct"/>
                  <w:vMerge w:val="restart"/>
                  <w:vAlign w:val="center"/>
                </w:tcPr>
                <w:p>
                  <w:pPr>
                    <w:jc w:val="center"/>
                    <w:rPr>
                      <w:color w:val="auto"/>
                      <w:szCs w:val="21"/>
                    </w:rPr>
                  </w:pPr>
                  <w:r>
                    <w:rPr>
                      <w:color w:val="auto"/>
                      <w:szCs w:val="21"/>
                    </w:rPr>
                    <w:t>序号</w:t>
                  </w:r>
                </w:p>
              </w:tc>
              <w:tc>
                <w:tcPr>
                  <w:tcW w:w="507" w:type="pct"/>
                  <w:vMerge w:val="restart"/>
                  <w:vAlign w:val="center"/>
                </w:tcPr>
                <w:p>
                  <w:pPr>
                    <w:jc w:val="center"/>
                    <w:rPr>
                      <w:color w:val="auto"/>
                      <w:szCs w:val="21"/>
                    </w:rPr>
                  </w:pPr>
                  <w:r>
                    <w:rPr>
                      <w:color w:val="auto"/>
                      <w:szCs w:val="21"/>
                    </w:rPr>
                    <w:t>排放口编号</w:t>
                  </w:r>
                </w:p>
              </w:tc>
              <w:tc>
                <w:tcPr>
                  <w:tcW w:w="1601" w:type="pct"/>
                  <w:gridSpan w:val="2"/>
                  <w:vAlign w:val="center"/>
                </w:tcPr>
                <w:p>
                  <w:pPr>
                    <w:jc w:val="center"/>
                    <w:rPr>
                      <w:color w:val="auto"/>
                      <w:szCs w:val="21"/>
                    </w:rPr>
                  </w:pPr>
                  <w:r>
                    <w:rPr>
                      <w:color w:val="auto"/>
                      <w:szCs w:val="21"/>
                    </w:rPr>
                    <w:t>排放口地理坐标</w:t>
                  </w:r>
                </w:p>
              </w:tc>
              <w:tc>
                <w:tcPr>
                  <w:tcW w:w="420" w:type="pct"/>
                  <w:vMerge w:val="restart"/>
                  <w:vAlign w:val="center"/>
                </w:tcPr>
                <w:p>
                  <w:pPr>
                    <w:jc w:val="center"/>
                    <w:rPr>
                      <w:color w:val="auto"/>
                      <w:szCs w:val="21"/>
                    </w:rPr>
                  </w:pPr>
                  <w:r>
                    <w:rPr>
                      <w:color w:val="auto"/>
                      <w:szCs w:val="21"/>
                    </w:rPr>
                    <w:t>废水排放量（万t/a）</w:t>
                  </w:r>
                </w:p>
              </w:tc>
              <w:tc>
                <w:tcPr>
                  <w:tcW w:w="305" w:type="pct"/>
                  <w:vMerge w:val="restart"/>
                  <w:vAlign w:val="center"/>
                </w:tcPr>
                <w:p>
                  <w:pPr>
                    <w:jc w:val="center"/>
                    <w:rPr>
                      <w:color w:val="auto"/>
                      <w:szCs w:val="21"/>
                    </w:rPr>
                  </w:pPr>
                  <w:r>
                    <w:rPr>
                      <w:color w:val="auto"/>
                      <w:szCs w:val="21"/>
                    </w:rPr>
                    <w:t>排放去向</w:t>
                  </w:r>
                </w:p>
              </w:tc>
              <w:tc>
                <w:tcPr>
                  <w:tcW w:w="289" w:type="pct"/>
                  <w:vMerge w:val="restart"/>
                  <w:vAlign w:val="center"/>
                </w:tcPr>
                <w:p>
                  <w:pPr>
                    <w:jc w:val="center"/>
                    <w:rPr>
                      <w:color w:val="auto"/>
                      <w:szCs w:val="21"/>
                    </w:rPr>
                  </w:pPr>
                  <w:r>
                    <w:rPr>
                      <w:color w:val="auto"/>
                      <w:szCs w:val="21"/>
                    </w:rPr>
                    <w:t>排放规律</w:t>
                  </w:r>
                </w:p>
              </w:tc>
              <w:tc>
                <w:tcPr>
                  <w:tcW w:w="280" w:type="pct"/>
                  <w:vMerge w:val="restart"/>
                  <w:vAlign w:val="center"/>
                </w:tcPr>
                <w:p>
                  <w:pPr>
                    <w:jc w:val="center"/>
                    <w:rPr>
                      <w:color w:val="auto"/>
                      <w:szCs w:val="21"/>
                    </w:rPr>
                  </w:pPr>
                  <w:r>
                    <w:rPr>
                      <w:color w:val="auto"/>
                      <w:szCs w:val="21"/>
                    </w:rPr>
                    <w:t>间歇排放时段</w:t>
                  </w:r>
                </w:p>
              </w:tc>
              <w:tc>
                <w:tcPr>
                  <w:tcW w:w="1376" w:type="pct"/>
                  <w:gridSpan w:val="3"/>
                  <w:vAlign w:val="center"/>
                </w:tcPr>
                <w:p>
                  <w:pPr>
                    <w:jc w:val="center"/>
                    <w:rPr>
                      <w:color w:val="auto"/>
                      <w:szCs w:val="21"/>
                    </w:rPr>
                  </w:pPr>
                  <w:r>
                    <w:rPr>
                      <w:color w:val="auto"/>
                      <w:szCs w:val="21"/>
                    </w:rPr>
                    <w:t>受纳污水处理厂信息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22" w:type="pct"/>
                  <w:vMerge w:val="continue"/>
                  <w:vAlign w:val="center"/>
                </w:tcPr>
                <w:p>
                  <w:pPr>
                    <w:jc w:val="center"/>
                    <w:rPr>
                      <w:color w:val="auto"/>
                      <w:szCs w:val="21"/>
                    </w:rPr>
                  </w:pPr>
                </w:p>
              </w:tc>
              <w:tc>
                <w:tcPr>
                  <w:tcW w:w="507" w:type="pct"/>
                  <w:vMerge w:val="continue"/>
                  <w:vAlign w:val="center"/>
                </w:tcPr>
                <w:p>
                  <w:pPr>
                    <w:jc w:val="center"/>
                    <w:rPr>
                      <w:color w:val="auto"/>
                      <w:szCs w:val="21"/>
                    </w:rPr>
                  </w:pPr>
                </w:p>
              </w:tc>
              <w:tc>
                <w:tcPr>
                  <w:tcW w:w="833" w:type="pct"/>
                  <w:vAlign w:val="center"/>
                </w:tcPr>
                <w:p>
                  <w:pPr>
                    <w:jc w:val="center"/>
                    <w:rPr>
                      <w:color w:val="auto"/>
                      <w:szCs w:val="21"/>
                    </w:rPr>
                  </w:pPr>
                  <w:r>
                    <w:rPr>
                      <w:color w:val="auto"/>
                      <w:szCs w:val="21"/>
                    </w:rPr>
                    <w:t>经度</w:t>
                  </w:r>
                  <w:r>
                    <w:rPr>
                      <w:color w:val="auto"/>
                    </w:rPr>
                    <w:t>/°</w:t>
                  </w:r>
                </w:p>
              </w:tc>
              <w:tc>
                <w:tcPr>
                  <w:tcW w:w="767" w:type="pct"/>
                  <w:vAlign w:val="center"/>
                </w:tcPr>
                <w:p>
                  <w:pPr>
                    <w:jc w:val="center"/>
                    <w:rPr>
                      <w:color w:val="auto"/>
                      <w:szCs w:val="21"/>
                    </w:rPr>
                  </w:pPr>
                  <w:r>
                    <w:rPr>
                      <w:color w:val="auto"/>
                      <w:szCs w:val="21"/>
                    </w:rPr>
                    <w:t>纬度</w:t>
                  </w:r>
                  <w:r>
                    <w:rPr>
                      <w:color w:val="auto"/>
                    </w:rPr>
                    <w:t>/°</w:t>
                  </w:r>
                </w:p>
              </w:tc>
              <w:tc>
                <w:tcPr>
                  <w:tcW w:w="420" w:type="pct"/>
                  <w:vMerge w:val="continue"/>
                  <w:vAlign w:val="center"/>
                </w:tcPr>
                <w:p>
                  <w:pPr>
                    <w:jc w:val="center"/>
                    <w:rPr>
                      <w:color w:val="auto"/>
                      <w:szCs w:val="21"/>
                    </w:rPr>
                  </w:pPr>
                </w:p>
              </w:tc>
              <w:tc>
                <w:tcPr>
                  <w:tcW w:w="305" w:type="pct"/>
                  <w:vMerge w:val="continue"/>
                  <w:vAlign w:val="center"/>
                </w:tcPr>
                <w:p>
                  <w:pPr>
                    <w:jc w:val="center"/>
                    <w:rPr>
                      <w:color w:val="auto"/>
                      <w:szCs w:val="21"/>
                    </w:rPr>
                  </w:pPr>
                </w:p>
              </w:tc>
              <w:tc>
                <w:tcPr>
                  <w:tcW w:w="289" w:type="pct"/>
                  <w:vMerge w:val="continue"/>
                  <w:vAlign w:val="center"/>
                </w:tcPr>
                <w:p>
                  <w:pPr>
                    <w:jc w:val="center"/>
                    <w:rPr>
                      <w:color w:val="auto"/>
                      <w:szCs w:val="21"/>
                    </w:rPr>
                  </w:pPr>
                </w:p>
              </w:tc>
              <w:tc>
                <w:tcPr>
                  <w:tcW w:w="280" w:type="pct"/>
                  <w:vMerge w:val="continue"/>
                  <w:vAlign w:val="center"/>
                </w:tcPr>
                <w:p>
                  <w:pPr>
                    <w:jc w:val="center"/>
                    <w:rPr>
                      <w:color w:val="auto"/>
                      <w:szCs w:val="21"/>
                    </w:rPr>
                  </w:pPr>
                </w:p>
              </w:tc>
              <w:tc>
                <w:tcPr>
                  <w:tcW w:w="300" w:type="pct"/>
                  <w:vAlign w:val="center"/>
                </w:tcPr>
                <w:p>
                  <w:pPr>
                    <w:jc w:val="center"/>
                    <w:rPr>
                      <w:color w:val="auto"/>
                      <w:szCs w:val="21"/>
                    </w:rPr>
                  </w:pPr>
                  <w:r>
                    <w:rPr>
                      <w:color w:val="auto"/>
                      <w:szCs w:val="21"/>
                    </w:rPr>
                    <w:t>名称</w:t>
                  </w:r>
                </w:p>
              </w:tc>
              <w:tc>
                <w:tcPr>
                  <w:tcW w:w="412" w:type="pct"/>
                  <w:vAlign w:val="center"/>
                </w:tcPr>
                <w:p>
                  <w:pPr>
                    <w:jc w:val="center"/>
                    <w:rPr>
                      <w:color w:val="auto"/>
                      <w:szCs w:val="21"/>
                    </w:rPr>
                  </w:pPr>
                  <w:r>
                    <w:rPr>
                      <w:color w:val="auto"/>
                      <w:szCs w:val="21"/>
                    </w:rPr>
                    <w:t>污染物种类</w:t>
                  </w:r>
                </w:p>
              </w:tc>
              <w:tc>
                <w:tcPr>
                  <w:tcW w:w="663" w:type="pct"/>
                  <w:vAlign w:val="center"/>
                </w:tcPr>
                <w:p>
                  <w:pPr>
                    <w:jc w:val="center"/>
                    <w:rPr>
                      <w:color w:val="auto"/>
                      <w:szCs w:val="21"/>
                    </w:rPr>
                  </w:pPr>
                  <w:r>
                    <w:rPr>
                      <w:color w:val="auto"/>
                      <w:szCs w:val="21"/>
                    </w:rPr>
                    <w:t>国家或地方污染物排放标准浓度限值（mg/L）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6" w:hRule="atLeast"/>
                <w:jc w:val="center"/>
              </w:trPr>
              <w:tc>
                <w:tcPr>
                  <w:tcW w:w="222" w:type="pct"/>
                  <w:vMerge w:val="restart"/>
                  <w:vAlign w:val="center"/>
                </w:tcPr>
                <w:p>
                  <w:pPr>
                    <w:jc w:val="center"/>
                    <w:rPr>
                      <w:color w:val="auto"/>
                      <w:szCs w:val="21"/>
                    </w:rPr>
                  </w:pPr>
                  <w:r>
                    <w:rPr>
                      <w:color w:val="auto"/>
                      <w:szCs w:val="21"/>
                    </w:rPr>
                    <w:t>1</w:t>
                  </w:r>
                </w:p>
              </w:tc>
              <w:tc>
                <w:tcPr>
                  <w:tcW w:w="507" w:type="pct"/>
                  <w:vMerge w:val="restart"/>
                  <w:vAlign w:val="center"/>
                </w:tcPr>
                <w:p>
                  <w:pPr>
                    <w:jc w:val="center"/>
                    <w:rPr>
                      <w:color w:val="auto"/>
                      <w:szCs w:val="21"/>
                    </w:rPr>
                  </w:pPr>
                  <w:r>
                    <w:rPr>
                      <w:color w:val="auto"/>
                      <w:szCs w:val="21"/>
                    </w:rPr>
                    <w:t>DW00</w:t>
                  </w:r>
                  <w:r>
                    <w:rPr>
                      <w:rFonts w:hint="eastAsia"/>
                      <w:color w:val="auto"/>
                      <w:szCs w:val="21"/>
                    </w:rPr>
                    <w:t>1（一般排放口）</w:t>
                  </w:r>
                </w:p>
              </w:tc>
              <w:tc>
                <w:tcPr>
                  <w:tcW w:w="833" w:type="pct"/>
                  <w:vMerge w:val="restart"/>
                  <w:vAlign w:val="center"/>
                </w:tcPr>
                <w:p>
                  <w:pPr>
                    <w:jc w:val="center"/>
                    <w:rPr>
                      <w:color w:val="auto"/>
                      <w:szCs w:val="21"/>
                    </w:rPr>
                  </w:pPr>
                  <w:r>
                    <w:rPr>
                      <w:color w:val="auto"/>
                      <w:szCs w:val="21"/>
                    </w:rPr>
                    <w:t>109.430677928</w:t>
                  </w:r>
                </w:p>
              </w:tc>
              <w:tc>
                <w:tcPr>
                  <w:tcW w:w="767" w:type="pct"/>
                  <w:vMerge w:val="restart"/>
                  <w:vAlign w:val="center"/>
                </w:tcPr>
                <w:p>
                  <w:pPr>
                    <w:jc w:val="center"/>
                    <w:rPr>
                      <w:color w:val="auto"/>
                      <w:szCs w:val="21"/>
                    </w:rPr>
                  </w:pPr>
                  <w:r>
                    <w:rPr>
                      <w:color w:val="auto"/>
                      <w:szCs w:val="21"/>
                    </w:rPr>
                    <w:t>34.490365773</w:t>
                  </w:r>
                </w:p>
              </w:tc>
              <w:tc>
                <w:tcPr>
                  <w:tcW w:w="420" w:type="pct"/>
                  <w:vMerge w:val="restart"/>
                  <w:vAlign w:val="center"/>
                </w:tcPr>
                <w:p>
                  <w:pPr>
                    <w:jc w:val="center"/>
                    <w:rPr>
                      <w:color w:val="auto"/>
                      <w:szCs w:val="21"/>
                    </w:rPr>
                  </w:pPr>
                  <w:r>
                    <w:rPr>
                      <w:rFonts w:hint="eastAsia"/>
                      <w:color w:val="auto"/>
                      <w:szCs w:val="21"/>
                    </w:rPr>
                    <w:t>0.216</w:t>
                  </w:r>
                </w:p>
              </w:tc>
              <w:tc>
                <w:tcPr>
                  <w:tcW w:w="305" w:type="pct"/>
                  <w:vMerge w:val="restart"/>
                  <w:vAlign w:val="center"/>
                </w:tcPr>
                <w:p>
                  <w:pPr>
                    <w:jc w:val="center"/>
                    <w:rPr>
                      <w:color w:val="auto"/>
                      <w:szCs w:val="21"/>
                    </w:rPr>
                  </w:pPr>
                  <w:r>
                    <w:rPr>
                      <w:color w:val="auto"/>
                      <w:szCs w:val="21"/>
                    </w:rPr>
                    <w:t>进入城市污水处理厂</w:t>
                  </w:r>
                </w:p>
              </w:tc>
              <w:tc>
                <w:tcPr>
                  <w:tcW w:w="289" w:type="pct"/>
                  <w:vMerge w:val="restart"/>
                  <w:vAlign w:val="center"/>
                </w:tcPr>
                <w:p>
                  <w:pPr>
                    <w:jc w:val="center"/>
                    <w:rPr>
                      <w:color w:val="auto"/>
                      <w:szCs w:val="21"/>
                    </w:rPr>
                  </w:pPr>
                  <w:r>
                    <w:rPr>
                      <w:color w:val="auto"/>
                      <w:szCs w:val="21"/>
                    </w:rPr>
                    <w:t>间断排放</w:t>
                  </w:r>
                </w:p>
              </w:tc>
              <w:tc>
                <w:tcPr>
                  <w:tcW w:w="280" w:type="pct"/>
                  <w:vMerge w:val="restart"/>
                  <w:vAlign w:val="center"/>
                </w:tcPr>
                <w:p>
                  <w:pPr>
                    <w:jc w:val="center"/>
                    <w:rPr>
                      <w:color w:val="auto"/>
                      <w:szCs w:val="21"/>
                    </w:rPr>
                  </w:pPr>
                  <w:r>
                    <w:rPr>
                      <w:color w:val="auto"/>
                      <w:szCs w:val="21"/>
                    </w:rPr>
                    <w:t>全天</w:t>
                  </w:r>
                </w:p>
              </w:tc>
              <w:tc>
                <w:tcPr>
                  <w:tcW w:w="300" w:type="pct"/>
                  <w:vMerge w:val="restart"/>
                  <w:vAlign w:val="center"/>
                </w:tcPr>
                <w:p>
                  <w:pPr>
                    <w:jc w:val="center"/>
                    <w:rPr>
                      <w:color w:val="auto"/>
                      <w:szCs w:val="21"/>
                    </w:rPr>
                  </w:pPr>
                  <w:r>
                    <w:rPr>
                      <w:rFonts w:hint="eastAsia"/>
                      <w:color w:val="auto"/>
                      <w:szCs w:val="21"/>
                    </w:rPr>
                    <w:t>渭南市西区</w:t>
                  </w:r>
                  <w:r>
                    <w:rPr>
                      <w:color w:val="auto"/>
                      <w:szCs w:val="21"/>
                    </w:rPr>
                    <w:t>污水处理厂</w:t>
                  </w:r>
                </w:p>
              </w:tc>
              <w:tc>
                <w:tcPr>
                  <w:tcW w:w="412" w:type="pct"/>
                  <w:vAlign w:val="center"/>
                </w:tcPr>
                <w:p>
                  <w:pPr>
                    <w:widowControl/>
                    <w:jc w:val="center"/>
                    <w:rPr>
                      <w:color w:val="auto"/>
                      <w:kern w:val="0"/>
                      <w:szCs w:val="21"/>
                    </w:rPr>
                  </w:pPr>
                  <w:r>
                    <w:rPr>
                      <w:rFonts w:hint="eastAsia"/>
                      <w:color w:val="auto"/>
                      <w:kern w:val="0"/>
                      <w:szCs w:val="21"/>
                    </w:rPr>
                    <w:t>COD</w:t>
                  </w:r>
                </w:p>
              </w:tc>
              <w:tc>
                <w:tcPr>
                  <w:tcW w:w="663" w:type="pct"/>
                  <w:vAlign w:val="center"/>
                </w:tcPr>
                <w:p>
                  <w:pPr>
                    <w:widowControl/>
                    <w:jc w:val="center"/>
                    <w:rPr>
                      <w:color w:val="auto"/>
                      <w:kern w:val="0"/>
                      <w:szCs w:val="21"/>
                    </w:rPr>
                  </w:pPr>
                  <w:r>
                    <w:rPr>
                      <w:rFonts w:hint="eastAsia"/>
                      <w:color w:val="auto"/>
                      <w:kern w:val="0"/>
                      <w:szCs w:val="21"/>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6" w:hRule="atLeast"/>
                <w:jc w:val="center"/>
              </w:trPr>
              <w:tc>
                <w:tcPr>
                  <w:tcW w:w="222" w:type="pct"/>
                  <w:vMerge w:val="continue"/>
                  <w:vAlign w:val="center"/>
                </w:tcPr>
                <w:p>
                  <w:pPr>
                    <w:jc w:val="center"/>
                    <w:rPr>
                      <w:color w:val="auto"/>
                      <w:szCs w:val="21"/>
                    </w:rPr>
                  </w:pPr>
                </w:p>
              </w:tc>
              <w:tc>
                <w:tcPr>
                  <w:tcW w:w="507" w:type="pct"/>
                  <w:vMerge w:val="continue"/>
                  <w:vAlign w:val="center"/>
                </w:tcPr>
                <w:p>
                  <w:pPr>
                    <w:jc w:val="center"/>
                    <w:rPr>
                      <w:color w:val="auto"/>
                      <w:szCs w:val="21"/>
                    </w:rPr>
                  </w:pPr>
                </w:p>
              </w:tc>
              <w:tc>
                <w:tcPr>
                  <w:tcW w:w="833" w:type="pct"/>
                  <w:vMerge w:val="continue"/>
                  <w:vAlign w:val="center"/>
                </w:tcPr>
                <w:p>
                  <w:pPr>
                    <w:jc w:val="center"/>
                    <w:rPr>
                      <w:color w:val="auto"/>
                      <w:szCs w:val="21"/>
                    </w:rPr>
                  </w:pPr>
                </w:p>
              </w:tc>
              <w:tc>
                <w:tcPr>
                  <w:tcW w:w="767" w:type="pct"/>
                  <w:vMerge w:val="continue"/>
                  <w:vAlign w:val="center"/>
                </w:tcPr>
                <w:p>
                  <w:pPr>
                    <w:jc w:val="center"/>
                    <w:rPr>
                      <w:color w:val="auto"/>
                      <w:szCs w:val="21"/>
                    </w:rPr>
                  </w:pPr>
                </w:p>
              </w:tc>
              <w:tc>
                <w:tcPr>
                  <w:tcW w:w="420" w:type="pct"/>
                  <w:vMerge w:val="continue"/>
                  <w:vAlign w:val="center"/>
                </w:tcPr>
                <w:p>
                  <w:pPr>
                    <w:jc w:val="center"/>
                    <w:rPr>
                      <w:color w:val="auto"/>
                      <w:szCs w:val="21"/>
                    </w:rPr>
                  </w:pPr>
                </w:p>
              </w:tc>
              <w:tc>
                <w:tcPr>
                  <w:tcW w:w="305" w:type="pct"/>
                  <w:vMerge w:val="continue"/>
                  <w:vAlign w:val="center"/>
                </w:tcPr>
                <w:p>
                  <w:pPr>
                    <w:jc w:val="center"/>
                    <w:rPr>
                      <w:color w:val="auto"/>
                      <w:szCs w:val="21"/>
                    </w:rPr>
                  </w:pPr>
                </w:p>
              </w:tc>
              <w:tc>
                <w:tcPr>
                  <w:tcW w:w="289" w:type="pct"/>
                  <w:vMerge w:val="continue"/>
                  <w:vAlign w:val="center"/>
                </w:tcPr>
                <w:p>
                  <w:pPr>
                    <w:jc w:val="center"/>
                    <w:rPr>
                      <w:color w:val="auto"/>
                      <w:szCs w:val="21"/>
                    </w:rPr>
                  </w:pPr>
                </w:p>
              </w:tc>
              <w:tc>
                <w:tcPr>
                  <w:tcW w:w="280" w:type="pct"/>
                  <w:vMerge w:val="continue"/>
                  <w:vAlign w:val="center"/>
                </w:tcPr>
                <w:p>
                  <w:pPr>
                    <w:jc w:val="center"/>
                    <w:rPr>
                      <w:color w:val="auto"/>
                      <w:szCs w:val="21"/>
                    </w:rPr>
                  </w:pPr>
                </w:p>
              </w:tc>
              <w:tc>
                <w:tcPr>
                  <w:tcW w:w="300" w:type="pct"/>
                  <w:vMerge w:val="continue"/>
                  <w:vAlign w:val="center"/>
                </w:tcPr>
                <w:p>
                  <w:pPr>
                    <w:jc w:val="center"/>
                    <w:rPr>
                      <w:color w:val="auto"/>
                      <w:szCs w:val="21"/>
                    </w:rPr>
                  </w:pPr>
                </w:p>
              </w:tc>
              <w:tc>
                <w:tcPr>
                  <w:tcW w:w="412" w:type="pct"/>
                  <w:vAlign w:val="center"/>
                </w:tcPr>
                <w:p>
                  <w:pPr>
                    <w:widowControl/>
                    <w:jc w:val="center"/>
                    <w:rPr>
                      <w:color w:val="auto"/>
                      <w:kern w:val="0"/>
                      <w:szCs w:val="21"/>
                    </w:rPr>
                  </w:pPr>
                  <w:r>
                    <w:rPr>
                      <w:rFonts w:hint="eastAsia"/>
                      <w:color w:val="auto"/>
                      <w:kern w:val="0"/>
                      <w:szCs w:val="21"/>
                    </w:rPr>
                    <w:t>BOD</w:t>
                  </w:r>
                  <w:r>
                    <w:rPr>
                      <w:rFonts w:hint="eastAsia"/>
                      <w:color w:val="auto"/>
                      <w:kern w:val="0"/>
                      <w:szCs w:val="21"/>
                      <w:vertAlign w:val="subscript"/>
                    </w:rPr>
                    <w:t>5</w:t>
                  </w:r>
                </w:p>
              </w:tc>
              <w:tc>
                <w:tcPr>
                  <w:tcW w:w="663" w:type="pct"/>
                  <w:vAlign w:val="center"/>
                </w:tcPr>
                <w:p>
                  <w:pPr>
                    <w:widowControl/>
                    <w:jc w:val="center"/>
                    <w:rPr>
                      <w:color w:val="auto"/>
                      <w:kern w:val="0"/>
                      <w:szCs w:val="21"/>
                    </w:rPr>
                  </w:pPr>
                  <w:r>
                    <w:rPr>
                      <w:rFonts w:hint="eastAsia"/>
                      <w:color w:val="auto"/>
                      <w:kern w:val="0"/>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6" w:hRule="atLeast"/>
                <w:jc w:val="center"/>
              </w:trPr>
              <w:tc>
                <w:tcPr>
                  <w:tcW w:w="222" w:type="pct"/>
                  <w:vMerge w:val="continue"/>
                  <w:vAlign w:val="center"/>
                </w:tcPr>
                <w:p>
                  <w:pPr>
                    <w:jc w:val="center"/>
                    <w:rPr>
                      <w:color w:val="auto"/>
                      <w:szCs w:val="21"/>
                    </w:rPr>
                  </w:pPr>
                </w:p>
              </w:tc>
              <w:tc>
                <w:tcPr>
                  <w:tcW w:w="507" w:type="pct"/>
                  <w:vMerge w:val="continue"/>
                  <w:vAlign w:val="center"/>
                </w:tcPr>
                <w:p>
                  <w:pPr>
                    <w:jc w:val="center"/>
                    <w:rPr>
                      <w:color w:val="auto"/>
                      <w:szCs w:val="21"/>
                    </w:rPr>
                  </w:pPr>
                </w:p>
              </w:tc>
              <w:tc>
                <w:tcPr>
                  <w:tcW w:w="833" w:type="pct"/>
                  <w:vMerge w:val="continue"/>
                  <w:vAlign w:val="center"/>
                </w:tcPr>
                <w:p>
                  <w:pPr>
                    <w:jc w:val="center"/>
                    <w:rPr>
                      <w:color w:val="auto"/>
                      <w:szCs w:val="21"/>
                    </w:rPr>
                  </w:pPr>
                </w:p>
              </w:tc>
              <w:tc>
                <w:tcPr>
                  <w:tcW w:w="767" w:type="pct"/>
                  <w:vMerge w:val="continue"/>
                  <w:vAlign w:val="center"/>
                </w:tcPr>
                <w:p>
                  <w:pPr>
                    <w:jc w:val="center"/>
                    <w:rPr>
                      <w:color w:val="auto"/>
                      <w:szCs w:val="21"/>
                    </w:rPr>
                  </w:pPr>
                </w:p>
              </w:tc>
              <w:tc>
                <w:tcPr>
                  <w:tcW w:w="420" w:type="pct"/>
                  <w:vMerge w:val="continue"/>
                  <w:vAlign w:val="center"/>
                </w:tcPr>
                <w:p>
                  <w:pPr>
                    <w:jc w:val="center"/>
                    <w:rPr>
                      <w:color w:val="auto"/>
                      <w:szCs w:val="21"/>
                    </w:rPr>
                  </w:pPr>
                </w:p>
              </w:tc>
              <w:tc>
                <w:tcPr>
                  <w:tcW w:w="305" w:type="pct"/>
                  <w:vMerge w:val="continue"/>
                  <w:vAlign w:val="center"/>
                </w:tcPr>
                <w:p>
                  <w:pPr>
                    <w:jc w:val="center"/>
                    <w:rPr>
                      <w:color w:val="auto"/>
                      <w:szCs w:val="21"/>
                    </w:rPr>
                  </w:pPr>
                </w:p>
              </w:tc>
              <w:tc>
                <w:tcPr>
                  <w:tcW w:w="289" w:type="pct"/>
                  <w:vMerge w:val="continue"/>
                  <w:vAlign w:val="center"/>
                </w:tcPr>
                <w:p>
                  <w:pPr>
                    <w:jc w:val="center"/>
                    <w:rPr>
                      <w:color w:val="auto"/>
                      <w:szCs w:val="21"/>
                    </w:rPr>
                  </w:pPr>
                </w:p>
              </w:tc>
              <w:tc>
                <w:tcPr>
                  <w:tcW w:w="280" w:type="pct"/>
                  <w:vMerge w:val="continue"/>
                  <w:vAlign w:val="center"/>
                </w:tcPr>
                <w:p>
                  <w:pPr>
                    <w:jc w:val="center"/>
                    <w:rPr>
                      <w:color w:val="auto"/>
                      <w:szCs w:val="21"/>
                    </w:rPr>
                  </w:pPr>
                </w:p>
              </w:tc>
              <w:tc>
                <w:tcPr>
                  <w:tcW w:w="300" w:type="pct"/>
                  <w:vMerge w:val="continue"/>
                  <w:vAlign w:val="center"/>
                </w:tcPr>
                <w:p>
                  <w:pPr>
                    <w:jc w:val="center"/>
                    <w:rPr>
                      <w:color w:val="auto"/>
                      <w:szCs w:val="21"/>
                    </w:rPr>
                  </w:pPr>
                </w:p>
              </w:tc>
              <w:tc>
                <w:tcPr>
                  <w:tcW w:w="412" w:type="pct"/>
                  <w:vAlign w:val="center"/>
                </w:tcPr>
                <w:p>
                  <w:pPr>
                    <w:widowControl/>
                    <w:jc w:val="center"/>
                    <w:rPr>
                      <w:color w:val="auto"/>
                      <w:kern w:val="0"/>
                      <w:szCs w:val="21"/>
                    </w:rPr>
                  </w:pPr>
                  <w:r>
                    <w:rPr>
                      <w:color w:val="auto"/>
                      <w:kern w:val="0"/>
                      <w:szCs w:val="21"/>
                    </w:rPr>
                    <w:t>氨氮</w:t>
                  </w:r>
                </w:p>
              </w:tc>
              <w:tc>
                <w:tcPr>
                  <w:tcW w:w="663" w:type="pct"/>
                  <w:vAlign w:val="center"/>
                </w:tcPr>
                <w:p>
                  <w:pPr>
                    <w:widowControl/>
                    <w:jc w:val="center"/>
                    <w:rPr>
                      <w:color w:val="auto"/>
                      <w:kern w:val="0"/>
                      <w:szCs w:val="21"/>
                    </w:rPr>
                  </w:pPr>
                  <w:r>
                    <w:rPr>
                      <w:rFonts w:hint="eastAsia"/>
                      <w:color w:val="auto"/>
                      <w:kern w:val="0"/>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6" w:hRule="atLeast"/>
                <w:jc w:val="center"/>
              </w:trPr>
              <w:tc>
                <w:tcPr>
                  <w:tcW w:w="222" w:type="pct"/>
                  <w:vMerge w:val="continue"/>
                  <w:vAlign w:val="center"/>
                </w:tcPr>
                <w:p>
                  <w:pPr>
                    <w:jc w:val="center"/>
                    <w:rPr>
                      <w:color w:val="auto"/>
                      <w:szCs w:val="21"/>
                    </w:rPr>
                  </w:pPr>
                </w:p>
              </w:tc>
              <w:tc>
                <w:tcPr>
                  <w:tcW w:w="507" w:type="pct"/>
                  <w:vMerge w:val="continue"/>
                  <w:vAlign w:val="center"/>
                </w:tcPr>
                <w:p>
                  <w:pPr>
                    <w:jc w:val="center"/>
                    <w:rPr>
                      <w:color w:val="auto"/>
                      <w:szCs w:val="21"/>
                    </w:rPr>
                  </w:pPr>
                </w:p>
              </w:tc>
              <w:tc>
                <w:tcPr>
                  <w:tcW w:w="833" w:type="pct"/>
                  <w:vMerge w:val="continue"/>
                  <w:vAlign w:val="center"/>
                </w:tcPr>
                <w:p>
                  <w:pPr>
                    <w:jc w:val="center"/>
                    <w:rPr>
                      <w:color w:val="auto"/>
                      <w:szCs w:val="21"/>
                    </w:rPr>
                  </w:pPr>
                </w:p>
              </w:tc>
              <w:tc>
                <w:tcPr>
                  <w:tcW w:w="767" w:type="pct"/>
                  <w:vMerge w:val="continue"/>
                  <w:vAlign w:val="center"/>
                </w:tcPr>
                <w:p>
                  <w:pPr>
                    <w:jc w:val="center"/>
                    <w:rPr>
                      <w:color w:val="auto"/>
                      <w:szCs w:val="21"/>
                    </w:rPr>
                  </w:pPr>
                </w:p>
              </w:tc>
              <w:tc>
                <w:tcPr>
                  <w:tcW w:w="420" w:type="pct"/>
                  <w:vMerge w:val="continue"/>
                  <w:vAlign w:val="center"/>
                </w:tcPr>
                <w:p>
                  <w:pPr>
                    <w:jc w:val="center"/>
                    <w:rPr>
                      <w:color w:val="auto"/>
                      <w:szCs w:val="21"/>
                    </w:rPr>
                  </w:pPr>
                </w:p>
              </w:tc>
              <w:tc>
                <w:tcPr>
                  <w:tcW w:w="305" w:type="pct"/>
                  <w:vMerge w:val="continue"/>
                  <w:vAlign w:val="center"/>
                </w:tcPr>
                <w:p>
                  <w:pPr>
                    <w:jc w:val="center"/>
                    <w:rPr>
                      <w:color w:val="auto"/>
                      <w:szCs w:val="21"/>
                    </w:rPr>
                  </w:pPr>
                </w:p>
              </w:tc>
              <w:tc>
                <w:tcPr>
                  <w:tcW w:w="289" w:type="pct"/>
                  <w:vMerge w:val="continue"/>
                  <w:vAlign w:val="center"/>
                </w:tcPr>
                <w:p>
                  <w:pPr>
                    <w:jc w:val="center"/>
                    <w:rPr>
                      <w:color w:val="auto"/>
                      <w:szCs w:val="21"/>
                    </w:rPr>
                  </w:pPr>
                </w:p>
              </w:tc>
              <w:tc>
                <w:tcPr>
                  <w:tcW w:w="280" w:type="pct"/>
                  <w:vMerge w:val="continue"/>
                  <w:vAlign w:val="center"/>
                </w:tcPr>
                <w:p>
                  <w:pPr>
                    <w:jc w:val="center"/>
                    <w:rPr>
                      <w:color w:val="auto"/>
                      <w:szCs w:val="21"/>
                    </w:rPr>
                  </w:pPr>
                </w:p>
              </w:tc>
              <w:tc>
                <w:tcPr>
                  <w:tcW w:w="300" w:type="pct"/>
                  <w:vMerge w:val="continue"/>
                  <w:vAlign w:val="center"/>
                </w:tcPr>
                <w:p>
                  <w:pPr>
                    <w:jc w:val="center"/>
                    <w:rPr>
                      <w:color w:val="auto"/>
                      <w:szCs w:val="21"/>
                    </w:rPr>
                  </w:pPr>
                </w:p>
              </w:tc>
              <w:tc>
                <w:tcPr>
                  <w:tcW w:w="412" w:type="pct"/>
                  <w:vAlign w:val="center"/>
                </w:tcPr>
                <w:p>
                  <w:pPr>
                    <w:widowControl/>
                    <w:jc w:val="center"/>
                    <w:rPr>
                      <w:color w:val="auto"/>
                      <w:kern w:val="0"/>
                      <w:szCs w:val="21"/>
                    </w:rPr>
                  </w:pPr>
                  <w:r>
                    <w:rPr>
                      <w:color w:val="auto"/>
                      <w:kern w:val="0"/>
                      <w:szCs w:val="21"/>
                    </w:rPr>
                    <w:t>悬浮物</w:t>
                  </w:r>
                </w:p>
              </w:tc>
              <w:tc>
                <w:tcPr>
                  <w:tcW w:w="663" w:type="pct"/>
                  <w:vAlign w:val="center"/>
                </w:tcPr>
                <w:p>
                  <w:pPr>
                    <w:widowControl/>
                    <w:jc w:val="center"/>
                    <w:rPr>
                      <w:color w:val="auto"/>
                      <w:kern w:val="0"/>
                      <w:szCs w:val="21"/>
                    </w:rPr>
                  </w:pPr>
                  <w:r>
                    <w:rPr>
                      <w:rFonts w:hint="eastAsia"/>
                      <w:color w:val="auto"/>
                      <w:kern w:val="0"/>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6" w:hRule="atLeast"/>
                <w:jc w:val="center"/>
              </w:trPr>
              <w:tc>
                <w:tcPr>
                  <w:tcW w:w="222" w:type="pct"/>
                  <w:vMerge w:val="continue"/>
                  <w:vAlign w:val="center"/>
                </w:tcPr>
                <w:p>
                  <w:pPr>
                    <w:jc w:val="center"/>
                    <w:rPr>
                      <w:color w:val="auto"/>
                      <w:szCs w:val="21"/>
                    </w:rPr>
                  </w:pPr>
                </w:p>
              </w:tc>
              <w:tc>
                <w:tcPr>
                  <w:tcW w:w="507" w:type="pct"/>
                  <w:vMerge w:val="continue"/>
                  <w:vAlign w:val="center"/>
                </w:tcPr>
                <w:p>
                  <w:pPr>
                    <w:jc w:val="center"/>
                    <w:rPr>
                      <w:color w:val="auto"/>
                      <w:szCs w:val="21"/>
                    </w:rPr>
                  </w:pPr>
                </w:p>
              </w:tc>
              <w:tc>
                <w:tcPr>
                  <w:tcW w:w="833" w:type="pct"/>
                  <w:vMerge w:val="continue"/>
                  <w:vAlign w:val="center"/>
                </w:tcPr>
                <w:p>
                  <w:pPr>
                    <w:jc w:val="center"/>
                    <w:rPr>
                      <w:color w:val="auto"/>
                      <w:szCs w:val="21"/>
                    </w:rPr>
                  </w:pPr>
                </w:p>
              </w:tc>
              <w:tc>
                <w:tcPr>
                  <w:tcW w:w="767" w:type="pct"/>
                  <w:vMerge w:val="continue"/>
                  <w:vAlign w:val="center"/>
                </w:tcPr>
                <w:p>
                  <w:pPr>
                    <w:jc w:val="center"/>
                    <w:rPr>
                      <w:color w:val="auto"/>
                      <w:szCs w:val="21"/>
                    </w:rPr>
                  </w:pPr>
                </w:p>
              </w:tc>
              <w:tc>
                <w:tcPr>
                  <w:tcW w:w="420" w:type="pct"/>
                  <w:vMerge w:val="continue"/>
                  <w:vAlign w:val="center"/>
                </w:tcPr>
                <w:p>
                  <w:pPr>
                    <w:jc w:val="center"/>
                    <w:rPr>
                      <w:color w:val="auto"/>
                      <w:szCs w:val="21"/>
                    </w:rPr>
                  </w:pPr>
                </w:p>
              </w:tc>
              <w:tc>
                <w:tcPr>
                  <w:tcW w:w="305" w:type="pct"/>
                  <w:vMerge w:val="continue"/>
                  <w:vAlign w:val="center"/>
                </w:tcPr>
                <w:p>
                  <w:pPr>
                    <w:jc w:val="center"/>
                    <w:rPr>
                      <w:color w:val="auto"/>
                      <w:szCs w:val="21"/>
                    </w:rPr>
                  </w:pPr>
                </w:p>
              </w:tc>
              <w:tc>
                <w:tcPr>
                  <w:tcW w:w="289" w:type="pct"/>
                  <w:vMerge w:val="continue"/>
                  <w:vAlign w:val="center"/>
                </w:tcPr>
                <w:p>
                  <w:pPr>
                    <w:jc w:val="center"/>
                    <w:rPr>
                      <w:color w:val="auto"/>
                      <w:szCs w:val="21"/>
                    </w:rPr>
                  </w:pPr>
                </w:p>
              </w:tc>
              <w:tc>
                <w:tcPr>
                  <w:tcW w:w="280" w:type="pct"/>
                  <w:vMerge w:val="continue"/>
                  <w:vAlign w:val="center"/>
                </w:tcPr>
                <w:p>
                  <w:pPr>
                    <w:jc w:val="center"/>
                    <w:rPr>
                      <w:color w:val="auto"/>
                      <w:szCs w:val="21"/>
                    </w:rPr>
                  </w:pPr>
                </w:p>
              </w:tc>
              <w:tc>
                <w:tcPr>
                  <w:tcW w:w="300" w:type="pct"/>
                  <w:vMerge w:val="continue"/>
                  <w:vAlign w:val="center"/>
                </w:tcPr>
                <w:p>
                  <w:pPr>
                    <w:jc w:val="center"/>
                    <w:rPr>
                      <w:color w:val="auto"/>
                      <w:szCs w:val="21"/>
                    </w:rPr>
                  </w:pPr>
                </w:p>
              </w:tc>
              <w:tc>
                <w:tcPr>
                  <w:tcW w:w="412" w:type="pct"/>
                  <w:vAlign w:val="center"/>
                </w:tcPr>
                <w:p>
                  <w:pPr>
                    <w:widowControl/>
                    <w:jc w:val="center"/>
                    <w:rPr>
                      <w:color w:val="auto"/>
                      <w:kern w:val="0"/>
                      <w:szCs w:val="21"/>
                    </w:rPr>
                  </w:pPr>
                  <w:r>
                    <w:rPr>
                      <w:color w:val="auto"/>
                      <w:kern w:val="0"/>
                      <w:szCs w:val="21"/>
                    </w:rPr>
                    <w:t>动植物油</w:t>
                  </w:r>
                </w:p>
              </w:tc>
              <w:tc>
                <w:tcPr>
                  <w:tcW w:w="663" w:type="pct"/>
                  <w:vAlign w:val="center"/>
                </w:tcPr>
                <w:p>
                  <w:pPr>
                    <w:widowControl/>
                    <w:jc w:val="center"/>
                    <w:rPr>
                      <w:color w:val="auto"/>
                      <w:kern w:val="0"/>
                      <w:szCs w:val="21"/>
                    </w:rPr>
                  </w:pPr>
                  <w:r>
                    <w:rPr>
                      <w:rFonts w:hint="eastAsia"/>
                      <w:color w:val="auto"/>
                      <w:kern w:val="0"/>
                      <w:szCs w:val="21"/>
                    </w:rPr>
                    <w:t>100</w:t>
                  </w:r>
                </w:p>
              </w:tc>
            </w:tr>
          </w:tbl>
          <w:p>
            <w:pPr>
              <w:adjustRightInd w:val="0"/>
              <w:snapToGrid w:val="0"/>
              <w:spacing w:line="360" w:lineRule="auto"/>
              <w:ind w:firstLine="480" w:firstLineChars="200"/>
              <w:jc w:val="left"/>
              <w:rPr>
                <w:rFonts w:hAnsi="宋体"/>
                <w:color w:val="auto"/>
                <w:sz w:val="24"/>
                <w:szCs w:val="20"/>
              </w:rPr>
            </w:pPr>
            <w:r>
              <w:rPr>
                <w:rFonts w:hint="eastAsia" w:hAnsi="宋体"/>
                <w:color w:val="auto"/>
                <w:sz w:val="24"/>
                <w:szCs w:val="20"/>
              </w:rPr>
              <w:t>（5）监测计划</w:t>
            </w:r>
          </w:p>
          <w:p>
            <w:pPr>
              <w:adjustRightInd w:val="0"/>
              <w:snapToGrid w:val="0"/>
              <w:spacing w:line="360" w:lineRule="auto"/>
              <w:ind w:firstLine="480" w:firstLineChars="200"/>
              <w:jc w:val="left"/>
              <w:rPr>
                <w:rFonts w:hAnsi="宋体"/>
                <w:color w:val="auto"/>
                <w:sz w:val="24"/>
                <w:szCs w:val="20"/>
              </w:rPr>
            </w:pPr>
            <w:r>
              <w:rPr>
                <w:rFonts w:hAnsi="宋体"/>
                <w:color w:val="auto"/>
                <w:sz w:val="24"/>
                <w:szCs w:val="20"/>
              </w:rPr>
              <w:t>根据《排污单位自行监测技术指南 总则》（HJ 819-2017），项目废水监测计划见表4-</w:t>
            </w:r>
            <w:r>
              <w:rPr>
                <w:rFonts w:hint="eastAsia" w:hAnsi="宋体"/>
                <w:color w:val="auto"/>
                <w:sz w:val="24"/>
                <w:szCs w:val="20"/>
              </w:rPr>
              <w:t>14</w:t>
            </w:r>
            <w:r>
              <w:rPr>
                <w:rFonts w:hAnsi="宋体"/>
                <w:color w:val="auto"/>
                <w:sz w:val="24"/>
                <w:szCs w:val="20"/>
              </w:rPr>
              <w:t>。</w:t>
            </w:r>
          </w:p>
          <w:p>
            <w:pPr>
              <w:autoSpaceDE w:val="0"/>
              <w:autoSpaceDN w:val="0"/>
              <w:adjustRightInd w:val="0"/>
              <w:spacing w:before="48" w:beforeLines="20"/>
              <w:ind w:firstLine="482" w:firstLineChars="200"/>
              <w:jc w:val="center"/>
              <w:rPr>
                <w:b/>
                <w:snapToGrid w:val="0"/>
                <w:color w:val="auto"/>
                <w:sz w:val="24"/>
                <w:lang w:val="zh-CN"/>
              </w:rPr>
            </w:pPr>
            <w:r>
              <w:rPr>
                <w:rFonts w:hint="eastAsia"/>
                <w:b/>
                <w:snapToGrid w:val="0"/>
                <w:color w:val="auto"/>
                <w:sz w:val="24"/>
                <w:lang w:val="zh-CN"/>
              </w:rPr>
              <w:t>表4-14   废水污染源监测计划</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135"/>
              <w:gridCol w:w="1558"/>
              <w:gridCol w:w="1276"/>
              <w:gridCol w:w="2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8" w:type="pct"/>
                  <w:vAlign w:val="center"/>
                </w:tcPr>
                <w:p>
                  <w:pPr>
                    <w:jc w:val="center"/>
                    <w:rPr>
                      <w:color w:val="auto"/>
                      <w:szCs w:val="21"/>
                    </w:rPr>
                  </w:pPr>
                  <w:r>
                    <w:rPr>
                      <w:color w:val="auto"/>
                      <w:szCs w:val="21"/>
                    </w:rPr>
                    <w:t>监测点位</w:t>
                  </w:r>
                </w:p>
              </w:tc>
              <w:tc>
                <w:tcPr>
                  <w:tcW w:w="699" w:type="pct"/>
                  <w:vAlign w:val="center"/>
                </w:tcPr>
                <w:p>
                  <w:pPr>
                    <w:jc w:val="center"/>
                    <w:rPr>
                      <w:color w:val="auto"/>
                      <w:szCs w:val="21"/>
                    </w:rPr>
                  </w:pPr>
                  <w:r>
                    <w:rPr>
                      <w:color w:val="auto"/>
                      <w:szCs w:val="21"/>
                    </w:rPr>
                    <w:t>监测点数</w:t>
                  </w:r>
                </w:p>
              </w:tc>
              <w:tc>
                <w:tcPr>
                  <w:tcW w:w="960" w:type="pct"/>
                  <w:vAlign w:val="center"/>
                </w:tcPr>
                <w:p>
                  <w:pPr>
                    <w:jc w:val="center"/>
                    <w:rPr>
                      <w:color w:val="auto"/>
                      <w:szCs w:val="21"/>
                    </w:rPr>
                  </w:pPr>
                  <w:r>
                    <w:rPr>
                      <w:color w:val="auto"/>
                      <w:szCs w:val="21"/>
                    </w:rPr>
                    <w:t>监测</w:t>
                  </w:r>
                  <w:r>
                    <w:rPr>
                      <w:rFonts w:hint="eastAsia"/>
                      <w:color w:val="auto"/>
                      <w:szCs w:val="21"/>
                    </w:rPr>
                    <w:t>因子</w:t>
                  </w:r>
                </w:p>
              </w:tc>
              <w:tc>
                <w:tcPr>
                  <w:tcW w:w="786" w:type="pct"/>
                  <w:vAlign w:val="center"/>
                </w:tcPr>
                <w:p>
                  <w:pPr>
                    <w:jc w:val="center"/>
                    <w:rPr>
                      <w:color w:val="auto"/>
                      <w:szCs w:val="21"/>
                    </w:rPr>
                  </w:pPr>
                  <w:r>
                    <w:rPr>
                      <w:color w:val="auto"/>
                      <w:szCs w:val="21"/>
                    </w:rPr>
                    <w:t>监测</w:t>
                  </w:r>
                  <w:r>
                    <w:rPr>
                      <w:rFonts w:hint="eastAsia"/>
                      <w:color w:val="auto"/>
                      <w:szCs w:val="21"/>
                    </w:rPr>
                    <w:t>频次</w:t>
                  </w:r>
                </w:p>
              </w:tc>
              <w:tc>
                <w:tcPr>
                  <w:tcW w:w="1747" w:type="pct"/>
                  <w:vAlign w:val="center"/>
                </w:tcPr>
                <w:p>
                  <w:pPr>
                    <w:jc w:val="center"/>
                    <w:rPr>
                      <w:color w:val="auto"/>
                      <w:szCs w:val="21"/>
                    </w:rPr>
                  </w:pPr>
                  <w:r>
                    <w:rPr>
                      <w:rFonts w:hint="eastAsia"/>
                      <w:color w:val="auto"/>
                      <w:szCs w:val="21"/>
                    </w:rPr>
                    <w:t>执行排放</w:t>
                  </w:r>
                  <w:r>
                    <w:rPr>
                      <w:color w:val="auto"/>
                      <w:szCs w:val="21"/>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808" w:type="pct"/>
                  <w:vAlign w:val="center"/>
                </w:tcPr>
                <w:p>
                  <w:pPr>
                    <w:jc w:val="center"/>
                    <w:rPr>
                      <w:color w:val="auto"/>
                      <w:szCs w:val="21"/>
                    </w:rPr>
                  </w:pPr>
                  <w:r>
                    <w:rPr>
                      <w:color w:val="auto"/>
                      <w:szCs w:val="21"/>
                    </w:rPr>
                    <w:t>废水总排口</w:t>
                  </w:r>
                  <w:r>
                    <w:rPr>
                      <w:rFonts w:hint="eastAsia"/>
                      <w:color w:val="auto"/>
                      <w:szCs w:val="21"/>
                    </w:rPr>
                    <w:t>（DW001）</w:t>
                  </w:r>
                </w:p>
              </w:tc>
              <w:tc>
                <w:tcPr>
                  <w:tcW w:w="699" w:type="pct"/>
                  <w:vAlign w:val="center"/>
                </w:tcPr>
                <w:p>
                  <w:pPr>
                    <w:jc w:val="center"/>
                    <w:rPr>
                      <w:color w:val="auto"/>
                      <w:szCs w:val="21"/>
                    </w:rPr>
                  </w:pPr>
                  <w:r>
                    <w:rPr>
                      <w:color w:val="auto"/>
                      <w:szCs w:val="21"/>
                    </w:rPr>
                    <w:t>1个</w:t>
                  </w:r>
                </w:p>
              </w:tc>
              <w:tc>
                <w:tcPr>
                  <w:tcW w:w="960" w:type="pct"/>
                  <w:vAlign w:val="center"/>
                </w:tcPr>
                <w:p>
                  <w:pPr>
                    <w:jc w:val="center"/>
                    <w:rPr>
                      <w:color w:val="auto"/>
                      <w:szCs w:val="21"/>
                    </w:rPr>
                  </w:pPr>
                  <w:r>
                    <w:rPr>
                      <w:color w:val="auto"/>
                      <w:szCs w:val="21"/>
                    </w:rPr>
                    <w:t>p</w:t>
                  </w:r>
                  <w:r>
                    <w:rPr>
                      <w:rFonts w:hint="eastAsia"/>
                      <w:color w:val="auto"/>
                      <w:szCs w:val="21"/>
                    </w:rPr>
                    <w:t>H、</w:t>
                  </w:r>
                  <w:r>
                    <w:rPr>
                      <w:color w:val="auto"/>
                      <w:szCs w:val="21"/>
                    </w:rPr>
                    <w:t>COD、BOD</w:t>
                  </w:r>
                  <w:r>
                    <w:rPr>
                      <w:color w:val="auto"/>
                      <w:szCs w:val="21"/>
                      <w:vertAlign w:val="subscript"/>
                    </w:rPr>
                    <w:t>5</w:t>
                  </w:r>
                  <w:r>
                    <w:rPr>
                      <w:color w:val="auto"/>
                      <w:szCs w:val="21"/>
                    </w:rPr>
                    <w:t>、SS、氨氮、动植物油</w:t>
                  </w:r>
                </w:p>
              </w:tc>
              <w:tc>
                <w:tcPr>
                  <w:tcW w:w="786" w:type="pct"/>
                  <w:vAlign w:val="center"/>
                </w:tcPr>
                <w:p>
                  <w:pPr>
                    <w:jc w:val="center"/>
                    <w:rPr>
                      <w:color w:val="auto"/>
                      <w:szCs w:val="21"/>
                    </w:rPr>
                  </w:pPr>
                  <w:r>
                    <w:rPr>
                      <w:color w:val="auto"/>
                      <w:szCs w:val="21"/>
                    </w:rPr>
                    <w:t>每年一次</w:t>
                  </w:r>
                </w:p>
              </w:tc>
              <w:tc>
                <w:tcPr>
                  <w:tcW w:w="1747" w:type="pct"/>
                  <w:vAlign w:val="center"/>
                </w:tcPr>
                <w:p>
                  <w:pPr>
                    <w:jc w:val="center"/>
                    <w:rPr>
                      <w:color w:val="auto"/>
                      <w:szCs w:val="21"/>
                    </w:rPr>
                  </w:pPr>
                  <w:r>
                    <w:rPr>
                      <w:rFonts w:hint="eastAsia"/>
                      <w:color w:val="auto"/>
                      <w:szCs w:val="21"/>
                    </w:rPr>
                    <w:t>执行高新区污水处理厂协议入厂水质要求；缺项执行《污水综合排放标准》（GB8978-1996）限值要求。</w:t>
                  </w:r>
                </w:p>
              </w:tc>
            </w:tr>
          </w:tbl>
          <w:p>
            <w:pPr>
              <w:snapToGrid w:val="0"/>
              <w:spacing w:line="360" w:lineRule="auto"/>
              <w:ind w:firstLine="482" w:firstLineChars="200"/>
              <w:jc w:val="left"/>
              <w:rPr>
                <w:b/>
                <w:color w:val="auto"/>
                <w:sz w:val="24"/>
                <w:szCs w:val="20"/>
              </w:rPr>
            </w:pPr>
            <w:r>
              <w:rPr>
                <w:rFonts w:hint="eastAsia"/>
                <w:b/>
                <w:color w:val="auto"/>
                <w:sz w:val="24"/>
                <w:szCs w:val="20"/>
              </w:rPr>
              <w:t>3</w:t>
            </w:r>
            <w:r>
              <w:rPr>
                <w:b/>
                <w:color w:val="auto"/>
                <w:sz w:val="24"/>
                <w:szCs w:val="20"/>
              </w:rPr>
              <w:t>、噪声</w:t>
            </w:r>
          </w:p>
          <w:p>
            <w:pPr>
              <w:autoSpaceDE w:val="0"/>
              <w:autoSpaceDN w:val="0"/>
              <w:adjustRightInd w:val="0"/>
              <w:spacing w:line="360" w:lineRule="auto"/>
              <w:ind w:firstLine="480" w:firstLineChars="200"/>
              <w:jc w:val="left"/>
              <w:rPr>
                <w:rFonts w:hAnsi="宋体"/>
                <w:color w:val="auto"/>
                <w:sz w:val="24"/>
                <w:szCs w:val="20"/>
              </w:rPr>
            </w:pPr>
            <w:r>
              <w:rPr>
                <w:rFonts w:hint="eastAsia" w:hAnsi="宋体"/>
                <w:color w:val="auto"/>
                <w:sz w:val="24"/>
                <w:szCs w:val="20"/>
              </w:rPr>
              <w:t>（1）噪声源强及防治措施</w:t>
            </w:r>
          </w:p>
          <w:p>
            <w:pPr>
              <w:autoSpaceDE w:val="0"/>
              <w:autoSpaceDN w:val="0"/>
              <w:adjustRightInd w:val="0"/>
              <w:spacing w:line="360" w:lineRule="auto"/>
              <w:ind w:firstLine="480" w:firstLineChars="200"/>
              <w:rPr>
                <w:rFonts w:hAnsi="宋体"/>
                <w:color w:val="auto"/>
                <w:sz w:val="24"/>
                <w:szCs w:val="20"/>
              </w:rPr>
            </w:pPr>
            <w:r>
              <w:rPr>
                <w:rFonts w:hAnsi="宋体"/>
                <w:color w:val="auto"/>
                <w:sz w:val="24"/>
                <w:szCs w:val="20"/>
              </w:rPr>
              <w:t>本项目的噪声主要来自于</w:t>
            </w:r>
            <w:r>
              <w:rPr>
                <w:rFonts w:hint="eastAsia" w:hAnsi="宋体"/>
                <w:color w:val="auto"/>
                <w:sz w:val="24"/>
                <w:szCs w:val="20"/>
              </w:rPr>
              <w:t>物料输送系统</w:t>
            </w:r>
            <w:r>
              <w:rPr>
                <w:rFonts w:hAnsi="宋体"/>
                <w:color w:val="auto"/>
                <w:sz w:val="24"/>
                <w:szCs w:val="20"/>
              </w:rPr>
              <w:t>、</w:t>
            </w:r>
            <w:r>
              <w:rPr>
                <w:rFonts w:hint="eastAsia" w:hAnsi="宋体"/>
                <w:color w:val="auto"/>
                <w:sz w:val="24"/>
                <w:szCs w:val="20"/>
              </w:rPr>
              <w:t>风机</w:t>
            </w:r>
            <w:r>
              <w:rPr>
                <w:rFonts w:hAnsi="宋体"/>
                <w:color w:val="auto"/>
                <w:sz w:val="24"/>
                <w:szCs w:val="20"/>
              </w:rPr>
              <w:t>、自动包装系统</w:t>
            </w:r>
            <w:r>
              <w:rPr>
                <w:rFonts w:hint="eastAsia" w:hAnsi="宋体"/>
                <w:color w:val="auto"/>
                <w:sz w:val="24"/>
                <w:szCs w:val="20"/>
              </w:rPr>
              <w:t>等</w:t>
            </w:r>
            <w:r>
              <w:rPr>
                <w:rFonts w:hAnsi="宋体"/>
                <w:color w:val="auto"/>
                <w:sz w:val="24"/>
                <w:szCs w:val="20"/>
              </w:rPr>
              <w:t>设备运行时产生的噪声，</w:t>
            </w:r>
            <w:r>
              <w:rPr>
                <w:rFonts w:hint="eastAsia"/>
                <w:color w:val="auto"/>
                <w:sz w:val="24"/>
                <w:szCs w:val="20"/>
                <w:lang w:val="zh-CN"/>
              </w:rPr>
              <w:t>各声源源强及治理措施见表</w:t>
            </w:r>
            <w:r>
              <w:rPr>
                <w:rFonts w:hint="eastAsia"/>
                <w:color w:val="auto"/>
                <w:sz w:val="24"/>
                <w:szCs w:val="20"/>
              </w:rPr>
              <w:t>4-15</w:t>
            </w:r>
            <w:r>
              <w:rPr>
                <w:color w:val="auto"/>
                <w:sz w:val="24"/>
                <w:szCs w:val="20"/>
              </w:rPr>
              <w:t>。</w:t>
            </w:r>
          </w:p>
          <w:p>
            <w:pPr>
              <w:autoSpaceDE w:val="0"/>
              <w:autoSpaceDN w:val="0"/>
              <w:jc w:val="center"/>
              <w:rPr>
                <w:b/>
                <w:color w:val="auto"/>
                <w:sz w:val="24"/>
                <w:szCs w:val="20"/>
              </w:rPr>
            </w:pPr>
            <w:r>
              <w:rPr>
                <w:b/>
                <w:bCs/>
                <w:color w:val="auto"/>
                <w:sz w:val="24"/>
              </w:rPr>
              <w:t>表</w:t>
            </w:r>
            <w:r>
              <w:rPr>
                <w:rFonts w:hint="eastAsia"/>
                <w:b/>
                <w:bCs/>
                <w:color w:val="auto"/>
                <w:sz w:val="24"/>
              </w:rPr>
              <w:t>4-15</w:t>
            </w:r>
            <w:r>
              <w:rPr>
                <w:b/>
                <w:bCs/>
                <w:color w:val="auto"/>
                <w:sz w:val="24"/>
              </w:rPr>
              <w:t xml:space="preserve">   </w:t>
            </w:r>
            <w:r>
              <w:rPr>
                <w:rFonts w:hint="eastAsia"/>
                <w:b/>
                <w:color w:val="auto"/>
                <w:sz w:val="24"/>
                <w:szCs w:val="20"/>
              </w:rPr>
              <w:t>主要噪声源及治理措施一览表</w:t>
            </w:r>
            <w:r>
              <w:rPr>
                <w:b/>
                <w:color w:val="auto"/>
                <w:sz w:val="24"/>
                <w:szCs w:val="20"/>
              </w:rPr>
              <w:t xml:space="preserve">    单位：dB（A）</w:t>
            </w:r>
          </w:p>
          <w:tbl>
            <w:tblPr>
              <w:tblStyle w:val="18"/>
              <w:tblW w:w="81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997"/>
              <w:gridCol w:w="1559"/>
              <w:gridCol w:w="1391"/>
              <w:gridCol w:w="1073"/>
              <w:gridCol w:w="15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91" w:type="dxa"/>
                  <w:tcMar>
                    <w:left w:w="28" w:type="dxa"/>
                    <w:right w:w="28" w:type="dxa"/>
                  </w:tcMar>
                  <w:vAlign w:val="center"/>
                </w:tcPr>
                <w:p>
                  <w:pPr>
                    <w:jc w:val="center"/>
                    <w:rPr>
                      <w:color w:val="auto"/>
                      <w:szCs w:val="21"/>
                    </w:rPr>
                  </w:pPr>
                  <w:r>
                    <w:rPr>
                      <w:color w:val="auto"/>
                      <w:szCs w:val="21"/>
                    </w:rPr>
                    <w:t>序号</w:t>
                  </w:r>
                </w:p>
              </w:tc>
              <w:tc>
                <w:tcPr>
                  <w:tcW w:w="1997" w:type="dxa"/>
                  <w:tcMar>
                    <w:left w:w="28" w:type="dxa"/>
                    <w:right w:w="28" w:type="dxa"/>
                  </w:tcMar>
                  <w:vAlign w:val="center"/>
                </w:tcPr>
                <w:p>
                  <w:pPr>
                    <w:jc w:val="center"/>
                    <w:rPr>
                      <w:color w:val="auto"/>
                      <w:szCs w:val="21"/>
                    </w:rPr>
                  </w:pPr>
                  <w:r>
                    <w:rPr>
                      <w:rFonts w:hint="eastAsia"/>
                      <w:color w:val="auto"/>
                      <w:szCs w:val="21"/>
                    </w:rPr>
                    <w:t>噪声源</w:t>
                  </w:r>
                </w:p>
              </w:tc>
              <w:tc>
                <w:tcPr>
                  <w:tcW w:w="1559" w:type="dxa"/>
                  <w:vAlign w:val="center"/>
                </w:tcPr>
                <w:p>
                  <w:pPr>
                    <w:jc w:val="center"/>
                    <w:rPr>
                      <w:color w:val="auto"/>
                      <w:szCs w:val="21"/>
                    </w:rPr>
                  </w:pPr>
                  <w:r>
                    <w:rPr>
                      <w:rFonts w:hint="eastAsia"/>
                      <w:color w:val="auto"/>
                      <w:szCs w:val="21"/>
                    </w:rPr>
                    <w:t>数量</w:t>
                  </w:r>
                </w:p>
              </w:tc>
              <w:tc>
                <w:tcPr>
                  <w:tcW w:w="1391" w:type="dxa"/>
                  <w:tcMar>
                    <w:left w:w="28" w:type="dxa"/>
                    <w:right w:w="28" w:type="dxa"/>
                  </w:tcMar>
                  <w:vAlign w:val="center"/>
                </w:tcPr>
                <w:p>
                  <w:pPr>
                    <w:jc w:val="center"/>
                    <w:rPr>
                      <w:color w:val="auto"/>
                      <w:szCs w:val="21"/>
                    </w:rPr>
                  </w:pPr>
                  <w:r>
                    <w:rPr>
                      <w:rFonts w:hint="eastAsia"/>
                      <w:color w:val="auto"/>
                      <w:szCs w:val="21"/>
                    </w:rPr>
                    <w:t>单台噪声源强/dB(A)</w:t>
                  </w:r>
                </w:p>
              </w:tc>
              <w:tc>
                <w:tcPr>
                  <w:tcW w:w="1073" w:type="dxa"/>
                  <w:tcMar>
                    <w:left w:w="28" w:type="dxa"/>
                    <w:right w:w="28" w:type="dxa"/>
                  </w:tcMar>
                  <w:vAlign w:val="center"/>
                </w:tcPr>
                <w:p>
                  <w:pPr>
                    <w:jc w:val="center"/>
                    <w:rPr>
                      <w:color w:val="auto"/>
                      <w:szCs w:val="21"/>
                    </w:rPr>
                  </w:pPr>
                  <w:r>
                    <w:rPr>
                      <w:rFonts w:hint="eastAsia"/>
                      <w:color w:val="auto"/>
                      <w:szCs w:val="21"/>
                    </w:rPr>
                    <w:t>治理措施</w:t>
                  </w:r>
                </w:p>
              </w:tc>
              <w:tc>
                <w:tcPr>
                  <w:tcW w:w="1506" w:type="dxa"/>
                  <w:tcMar>
                    <w:left w:w="28" w:type="dxa"/>
                    <w:right w:w="28" w:type="dxa"/>
                  </w:tcMar>
                  <w:vAlign w:val="center"/>
                </w:tcPr>
                <w:p>
                  <w:pPr>
                    <w:jc w:val="center"/>
                    <w:rPr>
                      <w:color w:val="auto"/>
                      <w:szCs w:val="21"/>
                    </w:rPr>
                  </w:pPr>
                  <w:r>
                    <w:rPr>
                      <w:rFonts w:hint="eastAsia"/>
                      <w:color w:val="auto"/>
                      <w:szCs w:val="21"/>
                    </w:rPr>
                    <w:t>治理后单台噪声值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91" w:type="dxa"/>
                  <w:tcMar>
                    <w:left w:w="28" w:type="dxa"/>
                    <w:right w:w="28" w:type="dxa"/>
                  </w:tcMar>
                  <w:vAlign w:val="center"/>
                </w:tcPr>
                <w:p>
                  <w:pPr>
                    <w:widowControl/>
                    <w:jc w:val="center"/>
                    <w:rPr>
                      <w:color w:val="auto"/>
                      <w:kern w:val="0"/>
                      <w:szCs w:val="21"/>
                    </w:rPr>
                  </w:pPr>
                  <w:r>
                    <w:rPr>
                      <w:color w:val="auto"/>
                      <w:kern w:val="0"/>
                      <w:szCs w:val="21"/>
                    </w:rPr>
                    <w:t>1</w:t>
                  </w:r>
                </w:p>
              </w:tc>
              <w:tc>
                <w:tcPr>
                  <w:tcW w:w="1997" w:type="dxa"/>
                  <w:tcMar>
                    <w:left w:w="28" w:type="dxa"/>
                    <w:right w:w="28" w:type="dxa"/>
                  </w:tcMar>
                  <w:vAlign w:val="center"/>
                </w:tcPr>
                <w:p>
                  <w:pPr>
                    <w:widowControl/>
                    <w:jc w:val="center"/>
                    <w:rPr>
                      <w:color w:val="auto"/>
                      <w:kern w:val="0"/>
                      <w:szCs w:val="21"/>
                    </w:rPr>
                  </w:pPr>
                  <w:r>
                    <w:rPr>
                      <w:color w:val="auto"/>
                      <w:szCs w:val="21"/>
                    </w:rPr>
                    <w:t>输送系统</w:t>
                  </w:r>
                </w:p>
              </w:tc>
              <w:tc>
                <w:tcPr>
                  <w:tcW w:w="1559" w:type="dxa"/>
                  <w:vAlign w:val="center"/>
                </w:tcPr>
                <w:p>
                  <w:pPr>
                    <w:widowControl/>
                    <w:jc w:val="center"/>
                    <w:rPr>
                      <w:color w:val="auto"/>
                      <w:kern w:val="0"/>
                      <w:szCs w:val="21"/>
                    </w:rPr>
                  </w:pPr>
                  <w:r>
                    <w:rPr>
                      <w:rFonts w:hint="eastAsia"/>
                      <w:color w:val="auto"/>
                      <w:kern w:val="0"/>
                      <w:szCs w:val="21"/>
                    </w:rPr>
                    <w:t>6</w:t>
                  </w:r>
                </w:p>
              </w:tc>
              <w:tc>
                <w:tcPr>
                  <w:tcW w:w="1391" w:type="dxa"/>
                  <w:tcMar>
                    <w:left w:w="28" w:type="dxa"/>
                    <w:right w:w="28" w:type="dxa"/>
                  </w:tcMar>
                  <w:vAlign w:val="center"/>
                </w:tcPr>
                <w:p>
                  <w:pPr>
                    <w:jc w:val="center"/>
                    <w:rPr>
                      <w:rFonts w:ascii="宋体" w:hAnsi="宋体" w:cs="宋体"/>
                      <w:color w:val="auto"/>
                      <w:szCs w:val="21"/>
                    </w:rPr>
                  </w:pPr>
                  <w:r>
                    <w:rPr>
                      <w:rFonts w:hint="eastAsia"/>
                      <w:color w:val="auto"/>
                      <w:szCs w:val="21"/>
                    </w:rPr>
                    <w:t>60</w:t>
                  </w:r>
                </w:p>
              </w:tc>
              <w:tc>
                <w:tcPr>
                  <w:tcW w:w="1073" w:type="dxa"/>
                  <w:vMerge w:val="restart"/>
                  <w:tcMar>
                    <w:left w:w="28" w:type="dxa"/>
                    <w:right w:w="28" w:type="dxa"/>
                  </w:tcMar>
                  <w:vAlign w:val="center"/>
                </w:tcPr>
                <w:p>
                  <w:pPr>
                    <w:jc w:val="center"/>
                    <w:rPr>
                      <w:color w:val="auto"/>
                      <w:szCs w:val="21"/>
                    </w:rPr>
                  </w:pPr>
                  <w:r>
                    <w:rPr>
                      <w:rFonts w:hint="eastAsia"/>
                      <w:color w:val="auto"/>
                      <w:szCs w:val="21"/>
                    </w:rPr>
                    <w:t>厂房隔声、基础减振</w:t>
                  </w:r>
                </w:p>
              </w:tc>
              <w:tc>
                <w:tcPr>
                  <w:tcW w:w="1506" w:type="dxa"/>
                  <w:tcMar>
                    <w:left w:w="28" w:type="dxa"/>
                    <w:right w:w="28" w:type="dxa"/>
                  </w:tcMar>
                  <w:vAlign w:val="center"/>
                </w:tcPr>
                <w:p>
                  <w:pPr>
                    <w:jc w:val="center"/>
                    <w:rPr>
                      <w:rFonts w:ascii="宋体" w:hAnsi="宋体" w:cs="宋体"/>
                      <w:color w:val="auto"/>
                      <w:szCs w:val="21"/>
                    </w:rPr>
                  </w:pPr>
                  <w:r>
                    <w:rPr>
                      <w:rFonts w:hint="eastAsia"/>
                      <w:color w:val="auto"/>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91" w:type="dxa"/>
                  <w:tcMar>
                    <w:left w:w="28" w:type="dxa"/>
                    <w:right w:w="28" w:type="dxa"/>
                  </w:tcMar>
                  <w:vAlign w:val="center"/>
                </w:tcPr>
                <w:p>
                  <w:pPr>
                    <w:widowControl/>
                    <w:jc w:val="center"/>
                    <w:rPr>
                      <w:color w:val="auto"/>
                      <w:kern w:val="0"/>
                      <w:szCs w:val="21"/>
                    </w:rPr>
                  </w:pPr>
                  <w:r>
                    <w:rPr>
                      <w:rFonts w:hint="eastAsia"/>
                      <w:color w:val="auto"/>
                      <w:kern w:val="0"/>
                      <w:szCs w:val="21"/>
                    </w:rPr>
                    <w:t>2</w:t>
                  </w:r>
                </w:p>
              </w:tc>
              <w:tc>
                <w:tcPr>
                  <w:tcW w:w="1997" w:type="dxa"/>
                  <w:tcMar>
                    <w:left w:w="28" w:type="dxa"/>
                    <w:right w:w="28" w:type="dxa"/>
                  </w:tcMar>
                  <w:vAlign w:val="center"/>
                </w:tcPr>
                <w:p>
                  <w:pPr>
                    <w:widowControl/>
                    <w:jc w:val="center"/>
                    <w:rPr>
                      <w:color w:val="auto"/>
                      <w:szCs w:val="21"/>
                    </w:rPr>
                  </w:pPr>
                  <w:r>
                    <w:rPr>
                      <w:rFonts w:hint="eastAsia"/>
                      <w:color w:val="auto"/>
                      <w:szCs w:val="21"/>
                    </w:rPr>
                    <w:t>辅料提升系统</w:t>
                  </w:r>
                </w:p>
              </w:tc>
              <w:tc>
                <w:tcPr>
                  <w:tcW w:w="1559" w:type="dxa"/>
                  <w:vAlign w:val="center"/>
                </w:tcPr>
                <w:p>
                  <w:pPr>
                    <w:widowControl/>
                    <w:jc w:val="center"/>
                    <w:rPr>
                      <w:color w:val="auto"/>
                      <w:kern w:val="0"/>
                      <w:szCs w:val="21"/>
                    </w:rPr>
                  </w:pPr>
                  <w:r>
                    <w:rPr>
                      <w:rFonts w:hint="eastAsia"/>
                      <w:color w:val="auto"/>
                      <w:kern w:val="0"/>
                      <w:szCs w:val="21"/>
                    </w:rPr>
                    <w:t>6</w:t>
                  </w:r>
                </w:p>
              </w:tc>
              <w:tc>
                <w:tcPr>
                  <w:tcW w:w="1391" w:type="dxa"/>
                  <w:tcMar>
                    <w:left w:w="28" w:type="dxa"/>
                    <w:right w:w="28" w:type="dxa"/>
                  </w:tcMar>
                  <w:vAlign w:val="center"/>
                </w:tcPr>
                <w:p>
                  <w:pPr>
                    <w:jc w:val="center"/>
                    <w:rPr>
                      <w:rFonts w:ascii="宋体" w:hAnsi="宋体" w:cs="宋体"/>
                      <w:color w:val="auto"/>
                      <w:szCs w:val="21"/>
                    </w:rPr>
                  </w:pPr>
                  <w:r>
                    <w:rPr>
                      <w:rFonts w:hint="eastAsia"/>
                      <w:color w:val="auto"/>
                      <w:szCs w:val="21"/>
                    </w:rPr>
                    <w:t>60</w:t>
                  </w:r>
                </w:p>
              </w:tc>
              <w:tc>
                <w:tcPr>
                  <w:tcW w:w="1073" w:type="dxa"/>
                  <w:vMerge w:val="continue"/>
                  <w:tcMar>
                    <w:left w:w="28" w:type="dxa"/>
                    <w:right w:w="28" w:type="dxa"/>
                  </w:tcMar>
                  <w:vAlign w:val="center"/>
                </w:tcPr>
                <w:p>
                  <w:pPr>
                    <w:jc w:val="center"/>
                    <w:rPr>
                      <w:color w:val="auto"/>
                      <w:szCs w:val="21"/>
                    </w:rPr>
                  </w:pPr>
                </w:p>
              </w:tc>
              <w:tc>
                <w:tcPr>
                  <w:tcW w:w="1506" w:type="dxa"/>
                  <w:tcMar>
                    <w:left w:w="28" w:type="dxa"/>
                    <w:right w:w="28" w:type="dxa"/>
                  </w:tcMar>
                  <w:vAlign w:val="center"/>
                </w:tcPr>
                <w:p>
                  <w:pPr>
                    <w:jc w:val="center"/>
                    <w:rPr>
                      <w:rFonts w:ascii="宋体" w:hAnsi="宋体" w:cs="宋体"/>
                      <w:color w:val="auto"/>
                      <w:szCs w:val="21"/>
                    </w:rPr>
                  </w:pPr>
                  <w:r>
                    <w:rPr>
                      <w:rFonts w:hint="eastAsia"/>
                      <w:color w:val="auto"/>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9" w:hRule="atLeast"/>
                <w:jc w:val="center"/>
              </w:trPr>
              <w:tc>
                <w:tcPr>
                  <w:tcW w:w="591" w:type="dxa"/>
                  <w:tcMar>
                    <w:left w:w="28" w:type="dxa"/>
                    <w:right w:w="28" w:type="dxa"/>
                  </w:tcMar>
                  <w:vAlign w:val="center"/>
                </w:tcPr>
                <w:p>
                  <w:pPr>
                    <w:jc w:val="center"/>
                    <w:rPr>
                      <w:color w:val="auto"/>
                      <w:kern w:val="0"/>
                      <w:szCs w:val="21"/>
                    </w:rPr>
                  </w:pPr>
                  <w:r>
                    <w:rPr>
                      <w:rFonts w:hint="eastAsia"/>
                      <w:color w:val="auto"/>
                      <w:kern w:val="0"/>
                      <w:szCs w:val="21"/>
                    </w:rPr>
                    <w:t>3</w:t>
                  </w:r>
                </w:p>
              </w:tc>
              <w:tc>
                <w:tcPr>
                  <w:tcW w:w="1997" w:type="dxa"/>
                  <w:tcMar>
                    <w:left w:w="28" w:type="dxa"/>
                    <w:right w:w="28" w:type="dxa"/>
                  </w:tcMar>
                  <w:vAlign w:val="center"/>
                </w:tcPr>
                <w:p>
                  <w:pPr>
                    <w:jc w:val="center"/>
                    <w:rPr>
                      <w:rFonts w:hAnsi="宋体"/>
                      <w:color w:val="auto"/>
                      <w:kern w:val="0"/>
                      <w:szCs w:val="21"/>
                    </w:rPr>
                  </w:pPr>
                  <w:r>
                    <w:rPr>
                      <w:rFonts w:hint="eastAsia" w:hAnsi="宋体"/>
                      <w:color w:val="auto"/>
                      <w:kern w:val="0"/>
                      <w:szCs w:val="21"/>
                    </w:rPr>
                    <w:t>外加剂料仓及计量、</w:t>
                  </w:r>
                </w:p>
                <w:p>
                  <w:pPr>
                    <w:jc w:val="center"/>
                    <w:rPr>
                      <w:rFonts w:hAnsi="宋体"/>
                      <w:color w:val="auto"/>
                      <w:kern w:val="0"/>
                      <w:szCs w:val="21"/>
                    </w:rPr>
                  </w:pPr>
                  <w:r>
                    <w:rPr>
                      <w:rFonts w:hint="eastAsia" w:hAnsi="宋体"/>
                      <w:color w:val="auto"/>
                      <w:kern w:val="0"/>
                      <w:szCs w:val="21"/>
                    </w:rPr>
                    <w:t>输送系统</w:t>
                  </w:r>
                </w:p>
              </w:tc>
              <w:tc>
                <w:tcPr>
                  <w:tcW w:w="1559" w:type="dxa"/>
                  <w:vAlign w:val="center"/>
                </w:tcPr>
                <w:p>
                  <w:pPr>
                    <w:widowControl/>
                    <w:jc w:val="center"/>
                    <w:rPr>
                      <w:color w:val="auto"/>
                      <w:kern w:val="0"/>
                      <w:szCs w:val="21"/>
                    </w:rPr>
                  </w:pPr>
                  <w:r>
                    <w:rPr>
                      <w:rFonts w:hint="eastAsia"/>
                      <w:color w:val="auto"/>
                      <w:kern w:val="0"/>
                      <w:szCs w:val="21"/>
                    </w:rPr>
                    <w:t>2</w:t>
                  </w:r>
                </w:p>
              </w:tc>
              <w:tc>
                <w:tcPr>
                  <w:tcW w:w="1391" w:type="dxa"/>
                  <w:tcMar>
                    <w:left w:w="28" w:type="dxa"/>
                    <w:right w:w="28" w:type="dxa"/>
                  </w:tcMar>
                  <w:vAlign w:val="center"/>
                </w:tcPr>
                <w:p>
                  <w:pPr>
                    <w:jc w:val="center"/>
                    <w:rPr>
                      <w:rFonts w:ascii="宋体" w:hAnsi="宋体" w:cs="宋体"/>
                      <w:color w:val="auto"/>
                      <w:szCs w:val="21"/>
                    </w:rPr>
                  </w:pPr>
                  <w:r>
                    <w:rPr>
                      <w:rFonts w:hint="eastAsia"/>
                      <w:color w:val="auto"/>
                      <w:szCs w:val="21"/>
                    </w:rPr>
                    <w:t>60</w:t>
                  </w:r>
                </w:p>
              </w:tc>
              <w:tc>
                <w:tcPr>
                  <w:tcW w:w="1073" w:type="dxa"/>
                  <w:vMerge w:val="continue"/>
                  <w:tcMar>
                    <w:left w:w="28" w:type="dxa"/>
                    <w:right w:w="28" w:type="dxa"/>
                  </w:tcMar>
                  <w:vAlign w:val="center"/>
                </w:tcPr>
                <w:p>
                  <w:pPr>
                    <w:jc w:val="center"/>
                    <w:rPr>
                      <w:color w:val="auto"/>
                      <w:szCs w:val="21"/>
                    </w:rPr>
                  </w:pPr>
                </w:p>
              </w:tc>
              <w:tc>
                <w:tcPr>
                  <w:tcW w:w="1506" w:type="dxa"/>
                  <w:tcMar>
                    <w:left w:w="28" w:type="dxa"/>
                    <w:right w:w="28" w:type="dxa"/>
                  </w:tcMar>
                  <w:vAlign w:val="center"/>
                </w:tcPr>
                <w:p>
                  <w:pPr>
                    <w:jc w:val="center"/>
                    <w:rPr>
                      <w:rFonts w:ascii="宋体" w:hAnsi="宋体" w:cs="宋体"/>
                      <w:color w:val="auto"/>
                      <w:szCs w:val="21"/>
                    </w:rPr>
                  </w:pPr>
                  <w:r>
                    <w:rPr>
                      <w:rFonts w:hint="eastAsia"/>
                      <w:color w:val="auto"/>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91" w:type="dxa"/>
                  <w:tcMar>
                    <w:left w:w="28" w:type="dxa"/>
                    <w:right w:w="28" w:type="dxa"/>
                  </w:tcMar>
                  <w:vAlign w:val="center"/>
                </w:tcPr>
                <w:p>
                  <w:pPr>
                    <w:jc w:val="center"/>
                    <w:rPr>
                      <w:color w:val="auto"/>
                      <w:kern w:val="0"/>
                      <w:szCs w:val="21"/>
                    </w:rPr>
                  </w:pPr>
                  <w:r>
                    <w:rPr>
                      <w:rFonts w:hint="eastAsia"/>
                      <w:color w:val="auto"/>
                      <w:kern w:val="0"/>
                      <w:szCs w:val="21"/>
                    </w:rPr>
                    <w:t>4</w:t>
                  </w:r>
                </w:p>
              </w:tc>
              <w:tc>
                <w:tcPr>
                  <w:tcW w:w="1997" w:type="dxa"/>
                  <w:tcMar>
                    <w:left w:w="28" w:type="dxa"/>
                    <w:right w:w="28" w:type="dxa"/>
                  </w:tcMar>
                  <w:vAlign w:val="center"/>
                </w:tcPr>
                <w:p>
                  <w:pPr>
                    <w:widowControl/>
                    <w:jc w:val="center"/>
                    <w:rPr>
                      <w:color w:val="auto"/>
                      <w:kern w:val="0"/>
                      <w:szCs w:val="21"/>
                    </w:rPr>
                  </w:pPr>
                  <w:r>
                    <w:rPr>
                      <w:rFonts w:hint="eastAsia"/>
                      <w:color w:val="auto"/>
                      <w:kern w:val="0"/>
                      <w:szCs w:val="21"/>
                    </w:rPr>
                    <w:t>混合搅拌装置</w:t>
                  </w:r>
                </w:p>
              </w:tc>
              <w:tc>
                <w:tcPr>
                  <w:tcW w:w="1559" w:type="dxa"/>
                  <w:vAlign w:val="center"/>
                </w:tcPr>
                <w:p>
                  <w:pPr>
                    <w:widowControl/>
                    <w:jc w:val="center"/>
                    <w:rPr>
                      <w:color w:val="auto"/>
                      <w:kern w:val="0"/>
                      <w:szCs w:val="21"/>
                    </w:rPr>
                  </w:pPr>
                  <w:r>
                    <w:rPr>
                      <w:rFonts w:hint="eastAsia"/>
                      <w:color w:val="auto"/>
                      <w:kern w:val="0"/>
                      <w:szCs w:val="21"/>
                    </w:rPr>
                    <w:t>2</w:t>
                  </w:r>
                </w:p>
              </w:tc>
              <w:tc>
                <w:tcPr>
                  <w:tcW w:w="1391" w:type="dxa"/>
                  <w:tcMar>
                    <w:left w:w="28" w:type="dxa"/>
                    <w:right w:w="28" w:type="dxa"/>
                  </w:tcMar>
                  <w:vAlign w:val="center"/>
                </w:tcPr>
                <w:p>
                  <w:pPr>
                    <w:jc w:val="center"/>
                    <w:rPr>
                      <w:rFonts w:ascii="宋体" w:hAnsi="宋体" w:cs="宋体"/>
                      <w:color w:val="auto"/>
                      <w:szCs w:val="21"/>
                    </w:rPr>
                  </w:pPr>
                  <w:r>
                    <w:rPr>
                      <w:rFonts w:hint="eastAsia"/>
                      <w:color w:val="auto"/>
                      <w:szCs w:val="21"/>
                    </w:rPr>
                    <w:t>65</w:t>
                  </w:r>
                </w:p>
              </w:tc>
              <w:tc>
                <w:tcPr>
                  <w:tcW w:w="1073" w:type="dxa"/>
                  <w:vMerge w:val="continue"/>
                  <w:tcMar>
                    <w:left w:w="28" w:type="dxa"/>
                    <w:right w:w="28" w:type="dxa"/>
                  </w:tcMar>
                  <w:vAlign w:val="center"/>
                </w:tcPr>
                <w:p>
                  <w:pPr>
                    <w:jc w:val="center"/>
                    <w:rPr>
                      <w:color w:val="auto"/>
                      <w:szCs w:val="21"/>
                    </w:rPr>
                  </w:pPr>
                </w:p>
              </w:tc>
              <w:tc>
                <w:tcPr>
                  <w:tcW w:w="1506" w:type="dxa"/>
                  <w:tcMar>
                    <w:left w:w="28" w:type="dxa"/>
                    <w:right w:w="28" w:type="dxa"/>
                  </w:tcMar>
                  <w:vAlign w:val="center"/>
                </w:tcPr>
                <w:p>
                  <w:pPr>
                    <w:jc w:val="center"/>
                    <w:rPr>
                      <w:rFonts w:ascii="宋体" w:hAnsi="宋体" w:cs="宋体"/>
                      <w:color w:val="auto"/>
                      <w:szCs w:val="21"/>
                    </w:rPr>
                  </w:pPr>
                  <w:r>
                    <w:rPr>
                      <w:rFonts w:hint="eastAsia"/>
                      <w:color w:val="auto"/>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91" w:type="dxa"/>
                  <w:tcMar>
                    <w:left w:w="28" w:type="dxa"/>
                    <w:right w:w="28" w:type="dxa"/>
                  </w:tcMar>
                  <w:vAlign w:val="center"/>
                </w:tcPr>
                <w:p>
                  <w:pPr>
                    <w:jc w:val="center"/>
                    <w:rPr>
                      <w:color w:val="auto"/>
                      <w:kern w:val="0"/>
                      <w:szCs w:val="21"/>
                    </w:rPr>
                  </w:pPr>
                  <w:r>
                    <w:rPr>
                      <w:rFonts w:hint="eastAsia"/>
                      <w:color w:val="auto"/>
                      <w:kern w:val="0"/>
                      <w:szCs w:val="21"/>
                    </w:rPr>
                    <w:t>5</w:t>
                  </w:r>
                </w:p>
              </w:tc>
              <w:tc>
                <w:tcPr>
                  <w:tcW w:w="1997" w:type="dxa"/>
                  <w:tcMar>
                    <w:left w:w="28" w:type="dxa"/>
                    <w:right w:w="28" w:type="dxa"/>
                  </w:tcMar>
                  <w:vAlign w:val="center"/>
                </w:tcPr>
                <w:p>
                  <w:pPr>
                    <w:widowControl/>
                    <w:jc w:val="center"/>
                    <w:rPr>
                      <w:color w:val="auto"/>
                      <w:szCs w:val="21"/>
                    </w:rPr>
                  </w:pPr>
                  <w:r>
                    <w:rPr>
                      <w:rFonts w:hint="eastAsia"/>
                      <w:color w:val="auto"/>
                      <w:szCs w:val="21"/>
                    </w:rPr>
                    <w:t>除尘系统风机</w:t>
                  </w:r>
                </w:p>
              </w:tc>
              <w:tc>
                <w:tcPr>
                  <w:tcW w:w="1559" w:type="dxa"/>
                  <w:vAlign w:val="center"/>
                </w:tcPr>
                <w:p>
                  <w:pPr>
                    <w:widowControl/>
                    <w:jc w:val="center"/>
                    <w:rPr>
                      <w:color w:val="auto"/>
                      <w:kern w:val="0"/>
                      <w:szCs w:val="21"/>
                    </w:rPr>
                  </w:pPr>
                  <w:r>
                    <w:rPr>
                      <w:rFonts w:hint="eastAsia"/>
                      <w:color w:val="auto"/>
                      <w:kern w:val="0"/>
                      <w:szCs w:val="21"/>
                    </w:rPr>
                    <w:t>2</w:t>
                  </w:r>
                </w:p>
              </w:tc>
              <w:tc>
                <w:tcPr>
                  <w:tcW w:w="1391" w:type="dxa"/>
                  <w:tcMar>
                    <w:left w:w="28" w:type="dxa"/>
                    <w:right w:w="28" w:type="dxa"/>
                  </w:tcMar>
                  <w:vAlign w:val="center"/>
                </w:tcPr>
                <w:p>
                  <w:pPr>
                    <w:jc w:val="center"/>
                    <w:rPr>
                      <w:rFonts w:ascii="宋体" w:hAnsi="宋体" w:cs="宋体"/>
                      <w:color w:val="auto"/>
                      <w:szCs w:val="21"/>
                    </w:rPr>
                  </w:pPr>
                  <w:r>
                    <w:rPr>
                      <w:rFonts w:hint="eastAsia"/>
                      <w:color w:val="auto"/>
                      <w:szCs w:val="21"/>
                    </w:rPr>
                    <w:t>65</w:t>
                  </w:r>
                </w:p>
              </w:tc>
              <w:tc>
                <w:tcPr>
                  <w:tcW w:w="1073" w:type="dxa"/>
                  <w:vMerge w:val="continue"/>
                  <w:tcMar>
                    <w:left w:w="28" w:type="dxa"/>
                    <w:right w:w="28" w:type="dxa"/>
                  </w:tcMar>
                  <w:vAlign w:val="center"/>
                </w:tcPr>
                <w:p>
                  <w:pPr>
                    <w:jc w:val="center"/>
                    <w:rPr>
                      <w:color w:val="auto"/>
                      <w:szCs w:val="21"/>
                    </w:rPr>
                  </w:pPr>
                </w:p>
              </w:tc>
              <w:tc>
                <w:tcPr>
                  <w:tcW w:w="1506" w:type="dxa"/>
                  <w:tcMar>
                    <w:left w:w="28" w:type="dxa"/>
                    <w:right w:w="28" w:type="dxa"/>
                  </w:tcMar>
                  <w:vAlign w:val="center"/>
                </w:tcPr>
                <w:p>
                  <w:pPr>
                    <w:jc w:val="center"/>
                    <w:rPr>
                      <w:rFonts w:ascii="宋体" w:hAnsi="宋体" w:cs="宋体"/>
                      <w:color w:val="auto"/>
                      <w:szCs w:val="21"/>
                    </w:rPr>
                  </w:pPr>
                  <w:r>
                    <w:rPr>
                      <w:rFonts w:hint="eastAsia"/>
                      <w:color w:val="auto"/>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91" w:type="dxa"/>
                  <w:tcMar>
                    <w:left w:w="28" w:type="dxa"/>
                    <w:right w:w="28" w:type="dxa"/>
                  </w:tcMar>
                  <w:vAlign w:val="center"/>
                </w:tcPr>
                <w:p>
                  <w:pPr>
                    <w:jc w:val="center"/>
                    <w:rPr>
                      <w:color w:val="auto"/>
                      <w:kern w:val="0"/>
                      <w:szCs w:val="21"/>
                    </w:rPr>
                  </w:pPr>
                  <w:r>
                    <w:rPr>
                      <w:rFonts w:hint="eastAsia"/>
                      <w:color w:val="auto"/>
                      <w:kern w:val="0"/>
                      <w:szCs w:val="21"/>
                    </w:rPr>
                    <w:t>6</w:t>
                  </w:r>
                </w:p>
              </w:tc>
              <w:tc>
                <w:tcPr>
                  <w:tcW w:w="1997" w:type="dxa"/>
                  <w:tcMar>
                    <w:left w:w="28" w:type="dxa"/>
                    <w:right w:w="28" w:type="dxa"/>
                  </w:tcMar>
                  <w:vAlign w:val="center"/>
                </w:tcPr>
                <w:p>
                  <w:pPr>
                    <w:jc w:val="center"/>
                    <w:rPr>
                      <w:color w:val="auto"/>
                      <w:szCs w:val="21"/>
                    </w:rPr>
                  </w:pPr>
                  <w:r>
                    <w:rPr>
                      <w:color w:val="auto"/>
                      <w:szCs w:val="21"/>
                    </w:rPr>
                    <w:t>缝线包装系统</w:t>
                  </w:r>
                </w:p>
              </w:tc>
              <w:tc>
                <w:tcPr>
                  <w:tcW w:w="1559" w:type="dxa"/>
                  <w:vAlign w:val="center"/>
                </w:tcPr>
                <w:p>
                  <w:pPr>
                    <w:jc w:val="center"/>
                    <w:rPr>
                      <w:color w:val="auto"/>
                      <w:szCs w:val="21"/>
                    </w:rPr>
                  </w:pPr>
                  <w:r>
                    <w:rPr>
                      <w:rFonts w:hint="eastAsia"/>
                      <w:color w:val="auto"/>
                      <w:szCs w:val="21"/>
                    </w:rPr>
                    <w:t>2</w:t>
                  </w:r>
                </w:p>
              </w:tc>
              <w:tc>
                <w:tcPr>
                  <w:tcW w:w="1391" w:type="dxa"/>
                  <w:tcMar>
                    <w:left w:w="28" w:type="dxa"/>
                    <w:right w:w="28" w:type="dxa"/>
                  </w:tcMar>
                  <w:vAlign w:val="center"/>
                </w:tcPr>
                <w:p>
                  <w:pPr>
                    <w:jc w:val="center"/>
                    <w:rPr>
                      <w:rFonts w:ascii="宋体" w:hAnsi="宋体" w:cs="宋体"/>
                      <w:color w:val="auto"/>
                      <w:szCs w:val="21"/>
                    </w:rPr>
                  </w:pPr>
                  <w:r>
                    <w:rPr>
                      <w:rFonts w:hint="eastAsia"/>
                      <w:color w:val="auto"/>
                      <w:szCs w:val="21"/>
                    </w:rPr>
                    <w:t>65</w:t>
                  </w:r>
                </w:p>
              </w:tc>
              <w:tc>
                <w:tcPr>
                  <w:tcW w:w="1073" w:type="dxa"/>
                  <w:vMerge w:val="continue"/>
                  <w:tcMar>
                    <w:left w:w="28" w:type="dxa"/>
                    <w:right w:w="28" w:type="dxa"/>
                  </w:tcMar>
                  <w:vAlign w:val="center"/>
                </w:tcPr>
                <w:p>
                  <w:pPr>
                    <w:jc w:val="center"/>
                    <w:rPr>
                      <w:color w:val="auto"/>
                      <w:szCs w:val="21"/>
                    </w:rPr>
                  </w:pPr>
                </w:p>
              </w:tc>
              <w:tc>
                <w:tcPr>
                  <w:tcW w:w="1506" w:type="dxa"/>
                  <w:tcMar>
                    <w:left w:w="28" w:type="dxa"/>
                    <w:right w:w="28" w:type="dxa"/>
                  </w:tcMar>
                  <w:vAlign w:val="center"/>
                </w:tcPr>
                <w:p>
                  <w:pPr>
                    <w:jc w:val="center"/>
                    <w:rPr>
                      <w:rFonts w:ascii="宋体" w:hAnsi="宋体" w:cs="宋体"/>
                      <w:color w:val="auto"/>
                      <w:szCs w:val="21"/>
                    </w:rPr>
                  </w:pPr>
                  <w:r>
                    <w:rPr>
                      <w:rFonts w:hint="eastAsia"/>
                      <w:color w:val="auto"/>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91" w:type="dxa"/>
                  <w:tcMar>
                    <w:left w:w="28" w:type="dxa"/>
                    <w:right w:w="28" w:type="dxa"/>
                  </w:tcMar>
                  <w:vAlign w:val="center"/>
                </w:tcPr>
                <w:p>
                  <w:pPr>
                    <w:jc w:val="center"/>
                    <w:rPr>
                      <w:color w:val="auto"/>
                      <w:kern w:val="0"/>
                      <w:szCs w:val="21"/>
                    </w:rPr>
                  </w:pPr>
                  <w:r>
                    <w:rPr>
                      <w:rFonts w:hint="eastAsia"/>
                      <w:color w:val="auto"/>
                      <w:kern w:val="0"/>
                      <w:szCs w:val="21"/>
                    </w:rPr>
                    <w:t>7</w:t>
                  </w:r>
                </w:p>
              </w:tc>
              <w:tc>
                <w:tcPr>
                  <w:tcW w:w="1997" w:type="dxa"/>
                  <w:tcMar>
                    <w:left w:w="28" w:type="dxa"/>
                    <w:right w:w="28" w:type="dxa"/>
                  </w:tcMar>
                  <w:vAlign w:val="center"/>
                </w:tcPr>
                <w:p>
                  <w:pPr>
                    <w:jc w:val="center"/>
                    <w:rPr>
                      <w:color w:val="auto"/>
                      <w:szCs w:val="21"/>
                    </w:rPr>
                  </w:pPr>
                  <w:r>
                    <w:rPr>
                      <w:color w:val="auto"/>
                      <w:szCs w:val="21"/>
                    </w:rPr>
                    <w:t>码垛和缠膜系统</w:t>
                  </w:r>
                </w:p>
              </w:tc>
              <w:tc>
                <w:tcPr>
                  <w:tcW w:w="1559" w:type="dxa"/>
                  <w:vAlign w:val="center"/>
                </w:tcPr>
                <w:p>
                  <w:pPr>
                    <w:jc w:val="center"/>
                    <w:rPr>
                      <w:color w:val="auto"/>
                      <w:szCs w:val="21"/>
                    </w:rPr>
                  </w:pPr>
                  <w:r>
                    <w:rPr>
                      <w:rFonts w:hint="eastAsia"/>
                      <w:color w:val="auto"/>
                      <w:szCs w:val="21"/>
                    </w:rPr>
                    <w:t>2</w:t>
                  </w:r>
                </w:p>
              </w:tc>
              <w:tc>
                <w:tcPr>
                  <w:tcW w:w="1391" w:type="dxa"/>
                  <w:tcMar>
                    <w:left w:w="28" w:type="dxa"/>
                    <w:right w:w="28" w:type="dxa"/>
                  </w:tcMar>
                  <w:vAlign w:val="center"/>
                </w:tcPr>
                <w:p>
                  <w:pPr>
                    <w:jc w:val="center"/>
                    <w:rPr>
                      <w:rFonts w:ascii="宋体" w:hAnsi="宋体" w:cs="宋体"/>
                      <w:color w:val="auto"/>
                      <w:szCs w:val="21"/>
                    </w:rPr>
                  </w:pPr>
                  <w:r>
                    <w:rPr>
                      <w:rFonts w:hint="eastAsia"/>
                      <w:color w:val="auto"/>
                      <w:szCs w:val="21"/>
                    </w:rPr>
                    <w:t>65</w:t>
                  </w:r>
                </w:p>
              </w:tc>
              <w:tc>
                <w:tcPr>
                  <w:tcW w:w="1073" w:type="dxa"/>
                  <w:vMerge w:val="continue"/>
                  <w:tcMar>
                    <w:left w:w="28" w:type="dxa"/>
                    <w:right w:w="28" w:type="dxa"/>
                  </w:tcMar>
                  <w:vAlign w:val="center"/>
                </w:tcPr>
                <w:p>
                  <w:pPr>
                    <w:jc w:val="center"/>
                    <w:rPr>
                      <w:color w:val="auto"/>
                      <w:szCs w:val="21"/>
                    </w:rPr>
                  </w:pPr>
                </w:p>
              </w:tc>
              <w:tc>
                <w:tcPr>
                  <w:tcW w:w="1506" w:type="dxa"/>
                  <w:tcMar>
                    <w:left w:w="28" w:type="dxa"/>
                    <w:right w:w="28" w:type="dxa"/>
                  </w:tcMar>
                  <w:vAlign w:val="center"/>
                </w:tcPr>
                <w:p>
                  <w:pPr>
                    <w:jc w:val="center"/>
                    <w:rPr>
                      <w:rFonts w:ascii="宋体" w:hAnsi="宋体" w:cs="宋体"/>
                      <w:color w:val="auto"/>
                      <w:szCs w:val="21"/>
                    </w:rPr>
                  </w:pPr>
                  <w:r>
                    <w:rPr>
                      <w:rFonts w:hint="eastAsia"/>
                      <w:color w:val="auto"/>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9" w:hRule="atLeast"/>
                <w:jc w:val="center"/>
              </w:trPr>
              <w:tc>
                <w:tcPr>
                  <w:tcW w:w="591" w:type="dxa"/>
                  <w:tcMar>
                    <w:left w:w="28" w:type="dxa"/>
                    <w:right w:w="28" w:type="dxa"/>
                  </w:tcMar>
                  <w:vAlign w:val="center"/>
                </w:tcPr>
                <w:p>
                  <w:pPr>
                    <w:jc w:val="center"/>
                    <w:rPr>
                      <w:color w:val="auto"/>
                      <w:kern w:val="0"/>
                      <w:szCs w:val="21"/>
                    </w:rPr>
                  </w:pPr>
                  <w:r>
                    <w:rPr>
                      <w:rFonts w:hint="eastAsia"/>
                      <w:color w:val="auto"/>
                      <w:kern w:val="0"/>
                      <w:szCs w:val="21"/>
                    </w:rPr>
                    <w:t>8</w:t>
                  </w:r>
                </w:p>
              </w:tc>
              <w:tc>
                <w:tcPr>
                  <w:tcW w:w="1997" w:type="dxa"/>
                  <w:tcMar>
                    <w:left w:w="28" w:type="dxa"/>
                    <w:right w:w="28" w:type="dxa"/>
                  </w:tcMar>
                  <w:vAlign w:val="center"/>
                </w:tcPr>
                <w:p>
                  <w:pPr>
                    <w:jc w:val="center"/>
                    <w:rPr>
                      <w:color w:val="auto"/>
                      <w:szCs w:val="21"/>
                    </w:rPr>
                  </w:pPr>
                  <w:r>
                    <w:rPr>
                      <w:color w:val="auto"/>
                      <w:szCs w:val="21"/>
                    </w:rPr>
                    <w:t>升降机</w:t>
                  </w:r>
                </w:p>
              </w:tc>
              <w:tc>
                <w:tcPr>
                  <w:tcW w:w="1559" w:type="dxa"/>
                  <w:vAlign w:val="center"/>
                </w:tcPr>
                <w:p>
                  <w:pPr>
                    <w:jc w:val="center"/>
                    <w:rPr>
                      <w:color w:val="auto"/>
                      <w:szCs w:val="21"/>
                    </w:rPr>
                  </w:pPr>
                  <w:r>
                    <w:rPr>
                      <w:rFonts w:hint="eastAsia"/>
                      <w:color w:val="auto"/>
                      <w:szCs w:val="21"/>
                    </w:rPr>
                    <w:t>2</w:t>
                  </w:r>
                </w:p>
              </w:tc>
              <w:tc>
                <w:tcPr>
                  <w:tcW w:w="1391" w:type="dxa"/>
                  <w:tcMar>
                    <w:left w:w="28" w:type="dxa"/>
                    <w:right w:w="28" w:type="dxa"/>
                  </w:tcMar>
                  <w:vAlign w:val="center"/>
                </w:tcPr>
                <w:p>
                  <w:pPr>
                    <w:jc w:val="center"/>
                    <w:rPr>
                      <w:rFonts w:ascii="宋体" w:hAnsi="宋体" w:cs="宋体"/>
                      <w:color w:val="auto"/>
                      <w:szCs w:val="21"/>
                    </w:rPr>
                  </w:pPr>
                  <w:r>
                    <w:rPr>
                      <w:rFonts w:hint="eastAsia"/>
                      <w:color w:val="auto"/>
                      <w:szCs w:val="21"/>
                    </w:rPr>
                    <w:t>60</w:t>
                  </w:r>
                </w:p>
              </w:tc>
              <w:tc>
                <w:tcPr>
                  <w:tcW w:w="1073" w:type="dxa"/>
                  <w:vMerge w:val="continue"/>
                  <w:tcMar>
                    <w:left w:w="28" w:type="dxa"/>
                    <w:right w:w="28" w:type="dxa"/>
                  </w:tcMar>
                  <w:vAlign w:val="center"/>
                </w:tcPr>
                <w:p>
                  <w:pPr>
                    <w:jc w:val="center"/>
                    <w:rPr>
                      <w:color w:val="auto"/>
                      <w:szCs w:val="21"/>
                    </w:rPr>
                  </w:pPr>
                </w:p>
              </w:tc>
              <w:tc>
                <w:tcPr>
                  <w:tcW w:w="1506" w:type="dxa"/>
                  <w:tcMar>
                    <w:left w:w="28" w:type="dxa"/>
                    <w:right w:w="28" w:type="dxa"/>
                  </w:tcMar>
                  <w:vAlign w:val="center"/>
                </w:tcPr>
                <w:p>
                  <w:pPr>
                    <w:jc w:val="center"/>
                    <w:rPr>
                      <w:rFonts w:ascii="宋体" w:hAnsi="宋体" w:cs="宋体"/>
                      <w:color w:val="auto"/>
                      <w:szCs w:val="21"/>
                    </w:rPr>
                  </w:pPr>
                  <w:r>
                    <w:rPr>
                      <w:rFonts w:hint="eastAsia"/>
                      <w:color w:val="auto"/>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91" w:type="dxa"/>
                  <w:tcMar>
                    <w:left w:w="28" w:type="dxa"/>
                    <w:right w:w="28" w:type="dxa"/>
                  </w:tcMar>
                  <w:vAlign w:val="center"/>
                </w:tcPr>
                <w:p>
                  <w:pPr>
                    <w:jc w:val="center"/>
                    <w:rPr>
                      <w:color w:val="auto"/>
                      <w:kern w:val="0"/>
                      <w:szCs w:val="21"/>
                    </w:rPr>
                  </w:pPr>
                  <w:r>
                    <w:rPr>
                      <w:rFonts w:hint="eastAsia"/>
                      <w:color w:val="auto"/>
                      <w:kern w:val="0"/>
                      <w:szCs w:val="21"/>
                    </w:rPr>
                    <w:t>9</w:t>
                  </w:r>
                </w:p>
              </w:tc>
              <w:tc>
                <w:tcPr>
                  <w:tcW w:w="1997" w:type="dxa"/>
                  <w:tcMar>
                    <w:left w:w="28" w:type="dxa"/>
                    <w:right w:w="28" w:type="dxa"/>
                  </w:tcMar>
                  <w:vAlign w:val="center"/>
                </w:tcPr>
                <w:p>
                  <w:pPr>
                    <w:jc w:val="center"/>
                    <w:rPr>
                      <w:color w:val="auto"/>
                      <w:szCs w:val="21"/>
                    </w:rPr>
                  </w:pPr>
                  <w:r>
                    <w:rPr>
                      <w:color w:val="auto"/>
                      <w:szCs w:val="21"/>
                    </w:rPr>
                    <w:t>叉车</w:t>
                  </w:r>
                </w:p>
              </w:tc>
              <w:tc>
                <w:tcPr>
                  <w:tcW w:w="1559" w:type="dxa"/>
                  <w:vAlign w:val="center"/>
                </w:tcPr>
                <w:p>
                  <w:pPr>
                    <w:jc w:val="center"/>
                    <w:rPr>
                      <w:color w:val="auto"/>
                      <w:szCs w:val="21"/>
                    </w:rPr>
                  </w:pPr>
                  <w:r>
                    <w:rPr>
                      <w:rFonts w:hint="eastAsia"/>
                      <w:color w:val="auto"/>
                      <w:szCs w:val="21"/>
                    </w:rPr>
                    <w:t>4</w:t>
                  </w:r>
                </w:p>
              </w:tc>
              <w:tc>
                <w:tcPr>
                  <w:tcW w:w="1391" w:type="dxa"/>
                  <w:tcMar>
                    <w:left w:w="28" w:type="dxa"/>
                    <w:right w:w="28" w:type="dxa"/>
                  </w:tcMar>
                  <w:vAlign w:val="center"/>
                </w:tcPr>
                <w:p>
                  <w:pPr>
                    <w:jc w:val="center"/>
                    <w:rPr>
                      <w:rFonts w:ascii="宋体" w:hAnsi="宋体" w:cs="宋体"/>
                      <w:color w:val="auto"/>
                      <w:szCs w:val="21"/>
                    </w:rPr>
                  </w:pPr>
                  <w:r>
                    <w:rPr>
                      <w:rFonts w:hint="eastAsia"/>
                      <w:color w:val="auto"/>
                      <w:szCs w:val="21"/>
                    </w:rPr>
                    <w:t>70</w:t>
                  </w:r>
                </w:p>
              </w:tc>
              <w:tc>
                <w:tcPr>
                  <w:tcW w:w="1073" w:type="dxa"/>
                  <w:vMerge w:val="continue"/>
                  <w:tcMar>
                    <w:left w:w="28" w:type="dxa"/>
                    <w:right w:w="28" w:type="dxa"/>
                  </w:tcMar>
                  <w:vAlign w:val="center"/>
                </w:tcPr>
                <w:p>
                  <w:pPr>
                    <w:jc w:val="center"/>
                    <w:rPr>
                      <w:color w:val="auto"/>
                      <w:szCs w:val="21"/>
                    </w:rPr>
                  </w:pPr>
                </w:p>
              </w:tc>
              <w:tc>
                <w:tcPr>
                  <w:tcW w:w="1506" w:type="dxa"/>
                  <w:tcMar>
                    <w:left w:w="28" w:type="dxa"/>
                    <w:right w:w="28" w:type="dxa"/>
                  </w:tcMar>
                  <w:vAlign w:val="center"/>
                </w:tcPr>
                <w:p>
                  <w:pPr>
                    <w:jc w:val="center"/>
                    <w:rPr>
                      <w:rFonts w:ascii="宋体" w:hAnsi="宋体" w:cs="宋体"/>
                      <w:color w:val="auto"/>
                      <w:szCs w:val="21"/>
                    </w:rPr>
                  </w:pPr>
                  <w:r>
                    <w:rPr>
                      <w:rFonts w:hint="eastAsia"/>
                      <w:color w:val="auto"/>
                      <w:szCs w:val="21"/>
                    </w:rPr>
                    <w:t>50</w:t>
                  </w:r>
                </w:p>
              </w:tc>
            </w:tr>
          </w:tbl>
          <w:p>
            <w:pPr>
              <w:spacing w:before="120" w:beforeLines="50" w:line="360" w:lineRule="auto"/>
              <w:ind w:firstLine="480" w:firstLineChars="200"/>
              <w:jc w:val="left"/>
              <w:rPr>
                <w:color w:val="auto"/>
                <w:sz w:val="24"/>
                <w:lang w:val="zh-CN"/>
              </w:rPr>
            </w:pPr>
            <w:r>
              <w:rPr>
                <w:rFonts w:hint="eastAsia" w:ascii="宋体" w:hAnsi="宋体" w:cs="宋体"/>
                <w:color w:val="auto"/>
                <w:sz w:val="24"/>
                <w:lang w:val="zh-CN"/>
              </w:rPr>
              <w:t>（</w:t>
            </w:r>
            <w:r>
              <w:rPr>
                <w:color w:val="auto"/>
                <w:sz w:val="24"/>
                <w:lang w:val="zh-CN"/>
              </w:rPr>
              <w:t>2</w:t>
            </w:r>
            <w:r>
              <w:rPr>
                <w:rFonts w:hAnsi="宋体"/>
                <w:color w:val="auto"/>
                <w:sz w:val="24"/>
                <w:lang w:val="zh-CN"/>
              </w:rPr>
              <w:t>）预测分析</w:t>
            </w:r>
          </w:p>
          <w:p>
            <w:pPr>
              <w:spacing w:line="360" w:lineRule="auto"/>
              <w:ind w:firstLine="480" w:firstLineChars="200"/>
              <w:rPr>
                <w:color w:val="auto"/>
                <w:sz w:val="24"/>
              </w:rPr>
            </w:pPr>
            <w:r>
              <w:rPr>
                <w:rFonts w:hint="eastAsia"/>
                <w:color w:val="auto"/>
                <w:sz w:val="24"/>
              </w:rPr>
              <w:t>为</w:t>
            </w:r>
            <w:r>
              <w:rPr>
                <w:color w:val="auto"/>
                <w:sz w:val="24"/>
              </w:rPr>
              <w:t>说明项目运营过程中噪声对周围环境的影响程度，本次评价采用《环境影响评价技术导则 声环境》（HJ2.1-2009）中推荐模式进行预测，</w:t>
            </w:r>
            <w:r>
              <w:rPr>
                <w:rFonts w:hint="eastAsia"/>
                <w:color w:val="auto"/>
                <w:sz w:val="24"/>
              </w:rPr>
              <w:t>本评价</w:t>
            </w:r>
            <w:r>
              <w:rPr>
                <w:color w:val="auto"/>
                <w:sz w:val="24"/>
              </w:rPr>
              <w:t>以</w:t>
            </w:r>
            <w:r>
              <w:rPr>
                <w:rFonts w:hint="eastAsia"/>
                <w:color w:val="auto"/>
                <w:sz w:val="24"/>
              </w:rPr>
              <w:t>本项目所在</w:t>
            </w:r>
            <w:r>
              <w:rPr>
                <w:color w:val="auto"/>
                <w:sz w:val="24"/>
              </w:rPr>
              <w:t>厂界四周处为预测点，采用以下预测模式对项目噪声进行预测。</w:t>
            </w:r>
          </w:p>
          <w:p>
            <w:pPr>
              <w:spacing w:line="360" w:lineRule="auto"/>
              <w:ind w:firstLine="480" w:firstLineChars="200"/>
              <w:jc w:val="left"/>
              <w:rPr>
                <w:color w:val="auto"/>
                <w:sz w:val="24"/>
              </w:rPr>
            </w:pPr>
            <w:r>
              <w:rPr>
                <w:color w:val="auto"/>
                <w:sz w:val="24"/>
              </w:rPr>
              <w:fldChar w:fldCharType="begin"/>
            </w:r>
            <w:r>
              <w:rPr>
                <w:color w:val="auto"/>
                <w:sz w:val="24"/>
              </w:rPr>
              <w:instrText xml:space="preserve"> = 1 \* GB3 </w:instrText>
            </w:r>
            <w:r>
              <w:rPr>
                <w:color w:val="auto"/>
                <w:sz w:val="24"/>
              </w:rPr>
              <w:fldChar w:fldCharType="separate"/>
            </w:r>
            <w:r>
              <w:rPr>
                <w:rFonts w:hint="eastAsia"/>
                <w:color w:val="auto"/>
                <w:sz w:val="24"/>
              </w:rPr>
              <w:t>①</w:t>
            </w:r>
            <w:r>
              <w:rPr>
                <w:color w:val="auto"/>
                <w:sz w:val="24"/>
              </w:rPr>
              <w:fldChar w:fldCharType="end"/>
            </w:r>
            <w:r>
              <w:rPr>
                <w:color w:val="auto"/>
                <w:sz w:val="24"/>
              </w:rPr>
              <w:t>预测模式</w:t>
            </w:r>
          </w:p>
          <w:p>
            <w:pPr>
              <w:spacing w:line="360" w:lineRule="auto"/>
              <w:ind w:firstLine="480" w:firstLineChars="200"/>
              <w:rPr>
                <w:color w:val="auto"/>
                <w:sz w:val="24"/>
                <w:szCs w:val="20"/>
              </w:rPr>
            </w:pPr>
            <w:r>
              <w:rPr>
                <w:color w:val="auto"/>
                <w:sz w:val="24"/>
                <w:szCs w:val="20"/>
              </w:rPr>
              <w:t>根据《环境影响评价技术导则·声环境》（HJ/T2.4-2009）中规定，在不能取得声源倍频带声功率级或倍频带声压级，只能获得A声功率级或某点的A声级时，可用A声功率级或某点的A声级计算。</w:t>
            </w:r>
          </w:p>
          <w:p>
            <w:pPr>
              <w:spacing w:line="360" w:lineRule="auto"/>
              <w:ind w:firstLine="480" w:firstLineChars="200"/>
              <w:rPr>
                <w:color w:val="auto"/>
                <w:sz w:val="24"/>
                <w:szCs w:val="20"/>
              </w:rPr>
            </w:pPr>
            <w:r>
              <w:rPr>
                <w:color w:val="auto"/>
                <w:sz w:val="24"/>
                <w:szCs w:val="20"/>
              </w:rPr>
              <w:fldChar w:fldCharType="begin"/>
            </w:r>
            <w:r>
              <w:rPr>
                <w:color w:val="auto"/>
                <w:sz w:val="24"/>
                <w:szCs w:val="20"/>
              </w:rPr>
              <w:instrText xml:space="preserve"> </w:instrText>
            </w:r>
            <w:r>
              <w:rPr>
                <w:rFonts w:hint="eastAsia"/>
                <w:color w:val="auto"/>
                <w:sz w:val="24"/>
                <w:szCs w:val="20"/>
              </w:rPr>
              <w:instrText xml:space="preserve">= 2 \* GB3</w:instrText>
            </w:r>
            <w:r>
              <w:rPr>
                <w:color w:val="auto"/>
                <w:sz w:val="24"/>
                <w:szCs w:val="20"/>
              </w:rPr>
              <w:instrText xml:space="preserve"> </w:instrText>
            </w:r>
            <w:r>
              <w:rPr>
                <w:color w:val="auto"/>
                <w:sz w:val="24"/>
                <w:szCs w:val="20"/>
              </w:rPr>
              <w:fldChar w:fldCharType="separate"/>
            </w:r>
            <w:r>
              <w:rPr>
                <w:rFonts w:hint="eastAsia"/>
                <w:color w:val="auto"/>
                <w:sz w:val="24"/>
                <w:szCs w:val="20"/>
              </w:rPr>
              <w:t>②</w:t>
            </w:r>
            <w:r>
              <w:rPr>
                <w:color w:val="auto"/>
                <w:sz w:val="24"/>
                <w:szCs w:val="20"/>
              </w:rPr>
              <w:fldChar w:fldCharType="end"/>
            </w:r>
            <w:r>
              <w:rPr>
                <w:color w:val="auto"/>
                <w:sz w:val="24"/>
                <w:szCs w:val="20"/>
              </w:rPr>
              <w:t>预测条件假设</w:t>
            </w:r>
          </w:p>
          <w:p>
            <w:pPr>
              <w:spacing w:line="360" w:lineRule="auto"/>
              <w:ind w:firstLine="480" w:firstLineChars="200"/>
              <w:rPr>
                <w:color w:val="auto"/>
                <w:sz w:val="24"/>
                <w:szCs w:val="20"/>
              </w:rPr>
            </w:pPr>
            <w:r>
              <w:rPr>
                <w:rFonts w:hint="eastAsia"/>
                <w:color w:val="auto"/>
                <w:sz w:val="24"/>
                <w:szCs w:val="20"/>
              </w:rPr>
              <w:t>a、</w:t>
            </w:r>
            <w:r>
              <w:rPr>
                <w:color w:val="auto"/>
                <w:sz w:val="24"/>
                <w:szCs w:val="20"/>
              </w:rPr>
              <w:t>所有产噪设备均在正常工况条件下运行；</w:t>
            </w:r>
          </w:p>
          <w:p>
            <w:pPr>
              <w:spacing w:line="360" w:lineRule="auto"/>
              <w:ind w:firstLine="480" w:firstLineChars="200"/>
              <w:rPr>
                <w:color w:val="auto"/>
                <w:sz w:val="24"/>
                <w:szCs w:val="20"/>
              </w:rPr>
            </w:pPr>
            <w:r>
              <w:rPr>
                <w:rFonts w:hint="eastAsia"/>
                <w:color w:val="auto"/>
                <w:sz w:val="24"/>
                <w:szCs w:val="20"/>
              </w:rPr>
              <w:t>b、</w:t>
            </w:r>
            <w:r>
              <w:rPr>
                <w:color w:val="auto"/>
                <w:sz w:val="24"/>
                <w:szCs w:val="20"/>
              </w:rPr>
              <w:t>考虑室内声源所在厂房围护结构的隔声、吸声作用；</w:t>
            </w:r>
          </w:p>
          <w:p>
            <w:pPr>
              <w:spacing w:line="360" w:lineRule="auto"/>
              <w:ind w:firstLine="480" w:firstLineChars="200"/>
              <w:rPr>
                <w:color w:val="auto"/>
                <w:sz w:val="24"/>
                <w:szCs w:val="20"/>
              </w:rPr>
            </w:pPr>
            <w:r>
              <w:rPr>
                <w:rFonts w:hint="eastAsia"/>
                <w:color w:val="auto"/>
                <w:sz w:val="24"/>
                <w:szCs w:val="20"/>
              </w:rPr>
              <w:t>c、</w:t>
            </w:r>
            <w:r>
              <w:rPr>
                <w:color w:val="auto"/>
                <w:sz w:val="24"/>
                <w:szCs w:val="20"/>
              </w:rPr>
              <w:t>衰减仅考虑几何发散衰减，屏障衰减。</w:t>
            </w:r>
          </w:p>
          <w:p>
            <w:pPr>
              <w:spacing w:line="360" w:lineRule="auto"/>
              <w:ind w:firstLine="480" w:firstLineChars="200"/>
              <w:rPr>
                <w:color w:val="auto"/>
                <w:sz w:val="24"/>
                <w:szCs w:val="20"/>
              </w:rPr>
            </w:pPr>
            <w:r>
              <w:rPr>
                <w:color w:val="auto"/>
                <w:sz w:val="24"/>
                <w:szCs w:val="20"/>
              </w:rPr>
              <w:fldChar w:fldCharType="begin"/>
            </w:r>
            <w:r>
              <w:rPr>
                <w:color w:val="auto"/>
                <w:sz w:val="24"/>
                <w:szCs w:val="20"/>
              </w:rPr>
              <w:instrText xml:space="preserve"> </w:instrText>
            </w:r>
            <w:r>
              <w:rPr>
                <w:rFonts w:hint="eastAsia"/>
                <w:color w:val="auto"/>
                <w:sz w:val="24"/>
                <w:szCs w:val="20"/>
              </w:rPr>
              <w:instrText xml:space="preserve">= 3 \* GB3</w:instrText>
            </w:r>
            <w:r>
              <w:rPr>
                <w:color w:val="auto"/>
                <w:sz w:val="24"/>
                <w:szCs w:val="20"/>
              </w:rPr>
              <w:instrText xml:space="preserve"> </w:instrText>
            </w:r>
            <w:r>
              <w:rPr>
                <w:color w:val="auto"/>
                <w:sz w:val="24"/>
                <w:szCs w:val="20"/>
              </w:rPr>
              <w:fldChar w:fldCharType="separate"/>
            </w:r>
            <w:r>
              <w:rPr>
                <w:rFonts w:hint="eastAsia"/>
                <w:color w:val="auto"/>
                <w:sz w:val="24"/>
                <w:szCs w:val="20"/>
              </w:rPr>
              <w:t>③</w:t>
            </w:r>
            <w:r>
              <w:rPr>
                <w:color w:val="auto"/>
                <w:sz w:val="24"/>
                <w:szCs w:val="20"/>
              </w:rPr>
              <w:fldChar w:fldCharType="end"/>
            </w:r>
            <w:r>
              <w:rPr>
                <w:color w:val="auto"/>
                <w:sz w:val="24"/>
                <w:szCs w:val="20"/>
              </w:rPr>
              <w:t>室内声源</w:t>
            </w:r>
          </w:p>
          <w:p>
            <w:pPr>
              <w:spacing w:line="360" w:lineRule="auto"/>
              <w:ind w:firstLine="480" w:firstLineChars="200"/>
              <w:rPr>
                <w:color w:val="auto"/>
                <w:sz w:val="24"/>
                <w:szCs w:val="20"/>
              </w:rPr>
            </w:pPr>
            <w:r>
              <w:rPr>
                <w:rFonts w:hint="eastAsia"/>
                <w:color w:val="auto"/>
                <w:sz w:val="24"/>
                <w:szCs w:val="20"/>
              </w:rPr>
              <w:t>a、</w:t>
            </w:r>
            <w:r>
              <w:rPr>
                <w:color w:val="auto"/>
                <w:sz w:val="24"/>
                <w:szCs w:val="20"/>
              </w:rPr>
              <w:t>如果已知声源的声压级L(r</w:t>
            </w:r>
            <w:r>
              <w:rPr>
                <w:color w:val="auto"/>
                <w:sz w:val="24"/>
                <w:szCs w:val="20"/>
                <w:vertAlign w:val="subscript"/>
              </w:rPr>
              <w:t>0</w:t>
            </w:r>
            <w:r>
              <w:rPr>
                <w:color w:val="auto"/>
                <w:sz w:val="24"/>
                <w:szCs w:val="20"/>
              </w:rPr>
              <w:t>)，且声源位于地面上，则</w:t>
            </w:r>
          </w:p>
          <w:p>
            <w:pPr>
              <w:spacing w:line="360" w:lineRule="auto"/>
              <w:jc w:val="center"/>
              <w:rPr>
                <w:color w:val="auto"/>
                <w:sz w:val="24"/>
                <w:szCs w:val="20"/>
              </w:rPr>
            </w:pPr>
            <w:r>
              <w:rPr>
                <w:color w:val="auto"/>
                <w:sz w:val="24"/>
                <w:szCs w:val="20"/>
              </w:rPr>
              <w:drawing>
                <wp:inline distT="0" distB="0" distL="0" distR="0">
                  <wp:extent cx="1485900" cy="228600"/>
                  <wp:effectExtent l="0" t="0" r="0" b="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85900" cy="228600"/>
                          </a:xfrm>
                          <a:prstGeom prst="rect">
                            <a:avLst/>
                          </a:prstGeom>
                          <a:noFill/>
                          <a:ln>
                            <a:noFill/>
                          </a:ln>
                        </pic:spPr>
                      </pic:pic>
                    </a:graphicData>
                  </a:graphic>
                </wp:inline>
              </w:drawing>
            </w:r>
          </w:p>
          <w:p>
            <w:pPr>
              <w:spacing w:line="360" w:lineRule="auto"/>
              <w:ind w:firstLine="480" w:firstLineChars="200"/>
              <w:rPr>
                <w:color w:val="auto"/>
                <w:sz w:val="24"/>
                <w:szCs w:val="20"/>
              </w:rPr>
            </w:pPr>
            <w:r>
              <w:rPr>
                <w:rFonts w:hint="eastAsia"/>
                <w:color w:val="auto"/>
                <w:sz w:val="24"/>
                <w:szCs w:val="20"/>
              </w:rPr>
              <w:t>b、</w:t>
            </w:r>
            <w:r>
              <w:rPr>
                <w:color w:val="auto"/>
                <w:sz w:val="24"/>
                <w:szCs w:val="20"/>
              </w:rPr>
              <w:t>如图所示，首先计算出某个室内声源靠近围护结构处的声压级：</w:t>
            </w:r>
          </w:p>
          <w:p>
            <w:pPr>
              <w:spacing w:line="360" w:lineRule="auto"/>
              <w:ind w:firstLine="560" w:firstLineChars="200"/>
              <w:jc w:val="center"/>
              <w:rPr>
                <w:color w:val="auto"/>
                <w:sz w:val="24"/>
                <w:szCs w:val="20"/>
              </w:rPr>
            </w:pPr>
            <w:r>
              <w:rPr>
                <w:color w:val="auto"/>
                <w:sz w:val="28"/>
                <w:szCs w:val="20"/>
              </w:rPr>
              <w:drawing>
                <wp:inline distT="0" distB="0" distL="0" distR="0">
                  <wp:extent cx="2057400" cy="1304925"/>
                  <wp:effectExtent l="0" t="0" r="0" b="0"/>
                  <wp:docPr id="24" name="图片 5" descr="说明: 附图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说明: 附图B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0" cy="1304925"/>
                          </a:xfrm>
                          <a:prstGeom prst="rect">
                            <a:avLst/>
                          </a:prstGeom>
                          <a:noFill/>
                          <a:ln>
                            <a:noFill/>
                          </a:ln>
                        </pic:spPr>
                      </pic:pic>
                    </a:graphicData>
                  </a:graphic>
                </wp:inline>
              </w:drawing>
            </w:r>
          </w:p>
          <w:p>
            <w:pPr>
              <w:spacing w:before="120" w:beforeLines="50" w:line="360" w:lineRule="auto"/>
              <w:jc w:val="center"/>
              <w:rPr>
                <w:color w:val="auto"/>
                <w:sz w:val="24"/>
                <w:szCs w:val="20"/>
              </w:rPr>
            </w:pPr>
            <w:r>
              <w:rPr>
                <w:color w:val="auto"/>
                <w:sz w:val="24"/>
                <w:szCs w:val="20"/>
              </w:rPr>
              <w:drawing>
                <wp:inline distT="0" distB="0" distL="0" distR="0">
                  <wp:extent cx="1743075" cy="533400"/>
                  <wp:effectExtent l="0" t="0" r="0" b="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43075" cy="533400"/>
                          </a:xfrm>
                          <a:prstGeom prst="rect">
                            <a:avLst/>
                          </a:prstGeom>
                          <a:noFill/>
                          <a:ln>
                            <a:noFill/>
                          </a:ln>
                        </pic:spPr>
                      </pic:pic>
                    </a:graphicData>
                  </a:graphic>
                </wp:inline>
              </w:drawing>
            </w:r>
          </w:p>
          <w:p>
            <w:pPr>
              <w:spacing w:line="360" w:lineRule="auto"/>
              <w:ind w:firstLine="480" w:firstLineChars="200"/>
              <w:rPr>
                <w:color w:val="auto"/>
                <w:sz w:val="24"/>
                <w:szCs w:val="20"/>
              </w:rPr>
            </w:pPr>
            <w:r>
              <w:rPr>
                <w:color w:val="auto"/>
                <w:sz w:val="24"/>
                <w:szCs w:val="20"/>
              </w:rPr>
              <w:t>式中：</w:t>
            </w:r>
          </w:p>
          <w:p>
            <w:pPr>
              <w:spacing w:line="360" w:lineRule="auto"/>
              <w:ind w:firstLine="480" w:firstLineChars="200"/>
              <w:rPr>
                <w:color w:val="auto"/>
                <w:sz w:val="24"/>
                <w:szCs w:val="20"/>
              </w:rPr>
            </w:pPr>
            <w:r>
              <w:rPr>
                <w:color w:val="auto"/>
                <w:sz w:val="24"/>
                <w:szCs w:val="20"/>
              </w:rPr>
              <w:drawing>
                <wp:inline distT="0" distB="0" distL="0" distR="0">
                  <wp:extent cx="228600" cy="238125"/>
                  <wp:effectExtent l="0" t="0" r="0" b="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28600" cy="238125"/>
                          </a:xfrm>
                          <a:prstGeom prst="rect">
                            <a:avLst/>
                          </a:prstGeom>
                          <a:noFill/>
                          <a:ln>
                            <a:noFill/>
                          </a:ln>
                        </pic:spPr>
                      </pic:pic>
                    </a:graphicData>
                  </a:graphic>
                </wp:inline>
              </w:drawing>
            </w:r>
            <w:r>
              <w:rPr>
                <w:color w:val="auto"/>
                <w:sz w:val="24"/>
                <w:szCs w:val="20"/>
              </w:rPr>
              <w:t>：某个室内声源靠近维护结构处的声压级。</w:t>
            </w:r>
          </w:p>
          <w:p>
            <w:pPr>
              <w:spacing w:line="360" w:lineRule="auto"/>
              <w:ind w:firstLine="480" w:firstLineChars="200"/>
              <w:rPr>
                <w:color w:val="auto"/>
                <w:sz w:val="24"/>
                <w:szCs w:val="20"/>
              </w:rPr>
            </w:pPr>
            <w:r>
              <w:rPr>
                <w:color w:val="auto"/>
                <w:sz w:val="24"/>
                <w:szCs w:val="20"/>
              </w:rPr>
              <w:t>L</w:t>
            </w:r>
            <w:r>
              <w:rPr>
                <w:i/>
                <w:color w:val="auto"/>
                <w:sz w:val="24"/>
                <w:szCs w:val="20"/>
              </w:rPr>
              <w:t>w</w:t>
            </w:r>
            <w:r>
              <w:rPr>
                <w:color w:val="auto"/>
                <w:sz w:val="24"/>
                <w:szCs w:val="20"/>
              </w:rPr>
              <w:t>：某个室内声源靠近维护结构处产生的声功率级。</w:t>
            </w:r>
          </w:p>
          <w:p>
            <w:pPr>
              <w:spacing w:line="360" w:lineRule="auto"/>
              <w:ind w:firstLine="480" w:firstLineChars="200"/>
              <w:rPr>
                <w:color w:val="auto"/>
                <w:sz w:val="24"/>
                <w:szCs w:val="20"/>
              </w:rPr>
            </w:pPr>
            <w:r>
              <w:rPr>
                <w:color w:val="auto"/>
                <w:sz w:val="24"/>
                <w:szCs w:val="20"/>
              </w:rPr>
              <w:t>Q：指向性因数；通常对无指向性声源，当声源放在房间中心时，Q=1；当放在一面墙的中心时，Q=2；当放在两面墙夹角处时，Q=4；当放在三面墙夹角处时，Q=8。</w:t>
            </w:r>
          </w:p>
          <w:p>
            <w:pPr>
              <w:spacing w:line="360" w:lineRule="auto"/>
              <w:ind w:firstLine="480" w:firstLineChars="200"/>
              <w:rPr>
                <w:color w:val="auto"/>
                <w:sz w:val="24"/>
                <w:szCs w:val="20"/>
              </w:rPr>
            </w:pPr>
            <w:r>
              <w:rPr>
                <w:color w:val="auto"/>
                <w:sz w:val="24"/>
                <w:szCs w:val="20"/>
              </w:rPr>
              <w:t>R：房间常数；R=Sa/(1-a)，S为房间内表面面积，m</w:t>
            </w:r>
            <w:r>
              <w:rPr>
                <w:color w:val="auto"/>
                <w:sz w:val="24"/>
                <w:szCs w:val="20"/>
                <w:vertAlign w:val="superscript"/>
              </w:rPr>
              <w:t>2</w:t>
            </w:r>
            <w:r>
              <w:rPr>
                <w:color w:val="auto"/>
                <w:sz w:val="24"/>
                <w:szCs w:val="20"/>
              </w:rPr>
              <w:t>；a为平均吸声系数，本评价a取0.15。</w:t>
            </w:r>
          </w:p>
          <w:p>
            <w:pPr>
              <w:spacing w:line="360" w:lineRule="auto"/>
              <w:ind w:firstLine="480" w:firstLineChars="200"/>
              <w:rPr>
                <w:color w:val="auto"/>
                <w:sz w:val="24"/>
                <w:szCs w:val="20"/>
              </w:rPr>
            </w:pPr>
            <w:r>
              <w:rPr>
                <w:color w:val="auto"/>
                <w:sz w:val="24"/>
                <w:szCs w:val="20"/>
              </w:rPr>
              <w:t>r：声源到靠近围护结构某点处的距离，m。</w:t>
            </w:r>
          </w:p>
          <w:p>
            <w:pPr>
              <w:spacing w:line="360" w:lineRule="auto"/>
              <w:ind w:firstLine="480" w:firstLineChars="200"/>
              <w:rPr>
                <w:color w:val="auto"/>
                <w:sz w:val="24"/>
                <w:szCs w:val="20"/>
              </w:rPr>
            </w:pPr>
            <w:r>
              <w:rPr>
                <w:rFonts w:hint="eastAsia"/>
                <w:color w:val="auto"/>
                <w:sz w:val="24"/>
                <w:szCs w:val="20"/>
              </w:rPr>
              <w:t>c、</w:t>
            </w:r>
            <w:r>
              <w:rPr>
                <w:color w:val="auto"/>
                <w:sz w:val="24"/>
                <w:szCs w:val="20"/>
              </w:rPr>
              <w:t>计算出所有室内声源在靠近围护结构处产生的总声压级：</w:t>
            </w:r>
          </w:p>
          <w:p>
            <w:pPr>
              <w:spacing w:line="360" w:lineRule="auto"/>
              <w:jc w:val="center"/>
              <w:rPr>
                <w:color w:val="auto"/>
                <w:sz w:val="24"/>
                <w:szCs w:val="20"/>
              </w:rPr>
            </w:pPr>
            <w:r>
              <w:rPr>
                <w:color w:val="auto"/>
                <w:sz w:val="24"/>
                <w:szCs w:val="20"/>
              </w:rPr>
              <w:drawing>
                <wp:inline distT="0" distB="0" distL="0" distR="0">
                  <wp:extent cx="1990725" cy="542925"/>
                  <wp:effectExtent l="0" t="0" r="0" b="0"/>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990725" cy="542925"/>
                          </a:xfrm>
                          <a:prstGeom prst="rect">
                            <a:avLst/>
                          </a:prstGeom>
                          <a:noFill/>
                          <a:ln>
                            <a:noFill/>
                          </a:ln>
                        </pic:spPr>
                      </pic:pic>
                    </a:graphicData>
                  </a:graphic>
                </wp:inline>
              </w:drawing>
            </w:r>
          </w:p>
          <w:p>
            <w:pPr>
              <w:spacing w:line="360" w:lineRule="auto"/>
              <w:ind w:firstLine="480" w:firstLineChars="200"/>
              <w:rPr>
                <w:color w:val="auto"/>
                <w:sz w:val="24"/>
                <w:szCs w:val="20"/>
              </w:rPr>
            </w:pPr>
            <w:r>
              <w:rPr>
                <w:color w:val="auto"/>
                <w:sz w:val="24"/>
                <w:szCs w:val="20"/>
              </w:rPr>
              <w:t>L</w:t>
            </w:r>
            <w:r>
              <w:rPr>
                <w:i/>
                <w:color w:val="auto"/>
                <w:sz w:val="24"/>
                <w:szCs w:val="20"/>
                <w:vertAlign w:val="subscript"/>
              </w:rPr>
              <w:t>p1</w:t>
            </w:r>
            <w:r>
              <w:rPr>
                <w:i/>
                <w:color w:val="auto"/>
                <w:sz w:val="24"/>
                <w:szCs w:val="20"/>
              </w:rPr>
              <w:t>(T)</w:t>
            </w:r>
            <w:r>
              <w:rPr>
                <w:color w:val="auto"/>
                <w:sz w:val="24"/>
                <w:szCs w:val="20"/>
              </w:rPr>
              <w:t xml:space="preserve">：靠近围护结构处室内N个声源的叠加声压级，dB(A)； </w:t>
            </w:r>
          </w:p>
          <w:p>
            <w:pPr>
              <w:spacing w:line="360" w:lineRule="auto"/>
              <w:ind w:firstLine="480" w:firstLineChars="200"/>
              <w:rPr>
                <w:color w:val="auto"/>
                <w:sz w:val="24"/>
                <w:szCs w:val="20"/>
              </w:rPr>
            </w:pPr>
            <w:r>
              <w:rPr>
                <w:color w:val="auto"/>
                <w:sz w:val="24"/>
                <w:szCs w:val="20"/>
              </w:rPr>
              <w:t>L</w:t>
            </w:r>
            <w:r>
              <w:rPr>
                <w:i/>
                <w:color w:val="auto"/>
                <w:sz w:val="24"/>
                <w:szCs w:val="20"/>
                <w:vertAlign w:val="subscript"/>
              </w:rPr>
              <w:t>p1.j</w:t>
            </w:r>
            <w:r>
              <w:rPr>
                <w:color w:val="auto"/>
                <w:sz w:val="24"/>
                <w:szCs w:val="20"/>
              </w:rPr>
              <w:t>：</w:t>
            </w:r>
            <w:r>
              <w:rPr>
                <w:i/>
                <w:color w:val="auto"/>
                <w:sz w:val="24"/>
                <w:szCs w:val="20"/>
              </w:rPr>
              <w:t>j</w:t>
            </w:r>
            <w:r>
              <w:rPr>
                <w:color w:val="auto"/>
                <w:sz w:val="24"/>
                <w:szCs w:val="20"/>
              </w:rPr>
              <w:t>声源的声压级，dB(A)；</w:t>
            </w:r>
          </w:p>
          <w:p>
            <w:pPr>
              <w:spacing w:line="360" w:lineRule="auto"/>
              <w:ind w:firstLine="480" w:firstLineChars="200"/>
              <w:rPr>
                <w:color w:val="auto"/>
                <w:sz w:val="24"/>
                <w:szCs w:val="20"/>
              </w:rPr>
            </w:pPr>
            <w:r>
              <w:rPr>
                <w:color w:val="auto"/>
                <w:sz w:val="24"/>
                <w:szCs w:val="20"/>
              </w:rPr>
              <w:t>N—室内声源总数。</w:t>
            </w:r>
          </w:p>
          <w:p>
            <w:pPr>
              <w:spacing w:line="360" w:lineRule="auto"/>
              <w:ind w:firstLine="480" w:firstLineChars="200"/>
              <w:rPr>
                <w:color w:val="auto"/>
                <w:sz w:val="24"/>
                <w:szCs w:val="20"/>
              </w:rPr>
            </w:pPr>
            <w:r>
              <w:rPr>
                <w:rFonts w:hint="eastAsia"/>
                <w:color w:val="auto"/>
                <w:sz w:val="24"/>
                <w:szCs w:val="20"/>
              </w:rPr>
              <w:t>d、</w:t>
            </w:r>
            <w:r>
              <w:rPr>
                <w:color w:val="auto"/>
                <w:sz w:val="24"/>
                <w:szCs w:val="20"/>
              </w:rPr>
              <w:t>计算出室外靠近围护结构处的声压级：</w:t>
            </w:r>
          </w:p>
          <w:p>
            <w:pPr>
              <w:spacing w:line="360" w:lineRule="auto"/>
              <w:jc w:val="center"/>
              <w:rPr>
                <w:color w:val="auto"/>
                <w:sz w:val="24"/>
                <w:szCs w:val="20"/>
              </w:rPr>
            </w:pPr>
            <w:r>
              <w:rPr>
                <w:color w:val="auto"/>
                <w:sz w:val="24"/>
                <w:szCs w:val="20"/>
              </w:rPr>
              <w:drawing>
                <wp:inline distT="0" distB="0" distL="0" distR="0">
                  <wp:extent cx="1638300" cy="238125"/>
                  <wp:effectExtent l="0" t="0" r="0" b="0"/>
                  <wp:docPr id="2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638300" cy="238125"/>
                          </a:xfrm>
                          <a:prstGeom prst="rect">
                            <a:avLst/>
                          </a:prstGeom>
                          <a:noFill/>
                          <a:ln>
                            <a:noFill/>
                          </a:ln>
                        </pic:spPr>
                      </pic:pic>
                    </a:graphicData>
                  </a:graphic>
                </wp:inline>
              </w:drawing>
            </w:r>
          </w:p>
          <w:p>
            <w:pPr>
              <w:spacing w:line="360" w:lineRule="auto"/>
              <w:ind w:firstLine="480" w:firstLineChars="200"/>
              <w:rPr>
                <w:color w:val="auto"/>
                <w:sz w:val="24"/>
                <w:szCs w:val="20"/>
              </w:rPr>
            </w:pPr>
            <w:r>
              <w:rPr>
                <w:color w:val="auto"/>
                <w:sz w:val="24"/>
                <w:szCs w:val="20"/>
              </w:rPr>
              <w:t>式中：</w:t>
            </w:r>
          </w:p>
          <w:p>
            <w:pPr>
              <w:spacing w:line="360" w:lineRule="auto"/>
              <w:ind w:firstLine="480" w:firstLineChars="200"/>
              <w:rPr>
                <w:color w:val="auto"/>
                <w:sz w:val="24"/>
                <w:szCs w:val="20"/>
              </w:rPr>
            </w:pPr>
            <w:r>
              <w:rPr>
                <w:color w:val="auto"/>
                <w:sz w:val="24"/>
                <w:szCs w:val="20"/>
              </w:rPr>
              <w:t>L</w:t>
            </w:r>
            <w:r>
              <w:rPr>
                <w:i/>
                <w:color w:val="auto"/>
                <w:sz w:val="24"/>
                <w:szCs w:val="20"/>
                <w:vertAlign w:val="subscript"/>
              </w:rPr>
              <w:t>p2</w:t>
            </w:r>
            <w:r>
              <w:rPr>
                <w:color w:val="auto"/>
                <w:sz w:val="24"/>
                <w:szCs w:val="20"/>
              </w:rPr>
              <w:t xml:space="preserve">(T)：靠近围护结构处室外N个声源的叠加声压级，dB(A)； </w:t>
            </w:r>
          </w:p>
          <w:p>
            <w:pPr>
              <w:spacing w:line="360" w:lineRule="auto"/>
              <w:ind w:firstLine="480" w:firstLineChars="200"/>
              <w:rPr>
                <w:color w:val="auto"/>
                <w:sz w:val="24"/>
                <w:szCs w:val="20"/>
              </w:rPr>
            </w:pPr>
            <w:r>
              <w:rPr>
                <w:color w:val="auto"/>
                <w:sz w:val="24"/>
                <w:szCs w:val="20"/>
              </w:rPr>
              <w:t>TL</w:t>
            </w:r>
            <w:r>
              <w:rPr>
                <w:i/>
                <w:color w:val="auto"/>
                <w:sz w:val="24"/>
                <w:szCs w:val="20"/>
                <w:vertAlign w:val="subscript"/>
              </w:rPr>
              <w:t>i</w:t>
            </w:r>
            <w:r>
              <w:rPr>
                <w:color w:val="auto"/>
                <w:sz w:val="24"/>
                <w:szCs w:val="20"/>
              </w:rPr>
              <w:t>；围护结构的隔声量，dB(A)。</w:t>
            </w:r>
          </w:p>
          <w:p>
            <w:pPr>
              <w:spacing w:line="360" w:lineRule="auto"/>
              <w:ind w:firstLine="480" w:firstLineChars="200"/>
              <w:rPr>
                <w:color w:val="auto"/>
                <w:sz w:val="24"/>
                <w:szCs w:val="20"/>
              </w:rPr>
            </w:pPr>
            <w:r>
              <w:rPr>
                <w:rFonts w:hint="eastAsia"/>
                <w:color w:val="auto"/>
                <w:sz w:val="24"/>
                <w:szCs w:val="20"/>
              </w:rPr>
              <w:t>e、</w:t>
            </w:r>
            <w:r>
              <w:rPr>
                <w:color w:val="auto"/>
                <w:sz w:val="24"/>
                <w:szCs w:val="20"/>
              </w:rPr>
              <w:t>将室外声级</w:t>
            </w:r>
            <w:r>
              <w:rPr>
                <w:i/>
                <w:color w:val="auto"/>
                <w:sz w:val="24"/>
                <w:szCs w:val="20"/>
              </w:rPr>
              <w:t>L</w:t>
            </w:r>
            <w:r>
              <w:rPr>
                <w:i/>
                <w:color w:val="auto"/>
                <w:sz w:val="24"/>
                <w:szCs w:val="20"/>
                <w:vertAlign w:val="subscript"/>
              </w:rPr>
              <w:t>p2</w:t>
            </w:r>
            <w:r>
              <w:rPr>
                <w:i/>
                <w:color w:val="auto"/>
                <w:sz w:val="24"/>
                <w:szCs w:val="20"/>
              </w:rPr>
              <w:t>(T)</w:t>
            </w:r>
            <w:r>
              <w:rPr>
                <w:color w:val="auto"/>
                <w:sz w:val="24"/>
                <w:szCs w:val="20"/>
              </w:rPr>
              <w:t>和透声面积换算成等效的室外声源，计算出等效声源的声功率级</w:t>
            </w:r>
            <w:r>
              <w:rPr>
                <w:i/>
                <w:color w:val="auto"/>
                <w:sz w:val="24"/>
                <w:szCs w:val="20"/>
              </w:rPr>
              <w:t>L</w:t>
            </w:r>
            <w:r>
              <w:rPr>
                <w:i/>
                <w:color w:val="auto"/>
                <w:sz w:val="24"/>
                <w:szCs w:val="20"/>
                <w:vertAlign w:val="subscript"/>
              </w:rPr>
              <w:t>W</w:t>
            </w:r>
            <w:r>
              <w:rPr>
                <w:color w:val="auto"/>
                <w:sz w:val="24"/>
                <w:szCs w:val="20"/>
              </w:rPr>
              <w:t>；</w:t>
            </w:r>
          </w:p>
          <w:p>
            <w:pPr>
              <w:spacing w:line="360" w:lineRule="auto"/>
              <w:jc w:val="center"/>
              <w:rPr>
                <w:color w:val="auto"/>
                <w:sz w:val="24"/>
                <w:szCs w:val="20"/>
              </w:rPr>
            </w:pPr>
            <w:r>
              <w:rPr>
                <w:color w:val="auto"/>
                <w:sz w:val="24"/>
                <w:szCs w:val="20"/>
              </w:rPr>
              <w:drawing>
                <wp:inline distT="0" distB="0" distL="0" distR="0">
                  <wp:extent cx="1257300" cy="238125"/>
                  <wp:effectExtent l="0" t="0" r="0" b="0"/>
                  <wp:docPr id="2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57300" cy="238125"/>
                          </a:xfrm>
                          <a:prstGeom prst="rect">
                            <a:avLst/>
                          </a:prstGeom>
                          <a:noFill/>
                          <a:ln>
                            <a:noFill/>
                          </a:ln>
                        </pic:spPr>
                      </pic:pic>
                    </a:graphicData>
                  </a:graphic>
                </wp:inline>
              </w:drawing>
            </w:r>
          </w:p>
          <w:p>
            <w:pPr>
              <w:spacing w:line="360" w:lineRule="auto"/>
              <w:ind w:firstLine="480" w:firstLineChars="200"/>
              <w:rPr>
                <w:color w:val="auto"/>
                <w:sz w:val="24"/>
                <w:szCs w:val="20"/>
              </w:rPr>
            </w:pPr>
            <w:r>
              <w:rPr>
                <w:color w:val="auto"/>
                <w:sz w:val="24"/>
                <w:szCs w:val="20"/>
              </w:rPr>
              <w:t>式中：s为透声面积，m</w:t>
            </w:r>
            <w:r>
              <w:rPr>
                <w:color w:val="auto"/>
                <w:sz w:val="24"/>
                <w:szCs w:val="20"/>
                <w:vertAlign w:val="superscript"/>
              </w:rPr>
              <w:t>2</w:t>
            </w:r>
            <w:r>
              <w:rPr>
                <w:color w:val="auto"/>
                <w:sz w:val="24"/>
                <w:szCs w:val="20"/>
              </w:rPr>
              <w:t>。</w:t>
            </w:r>
          </w:p>
          <w:p>
            <w:pPr>
              <w:spacing w:line="360" w:lineRule="auto"/>
              <w:ind w:firstLine="480" w:firstLineChars="200"/>
              <w:rPr>
                <w:color w:val="auto"/>
                <w:sz w:val="24"/>
                <w:szCs w:val="20"/>
              </w:rPr>
            </w:pPr>
            <w:r>
              <w:rPr>
                <w:rFonts w:hint="eastAsia"/>
                <w:color w:val="auto"/>
                <w:sz w:val="24"/>
                <w:szCs w:val="20"/>
              </w:rPr>
              <w:t>f、</w:t>
            </w:r>
            <w:r>
              <w:rPr>
                <w:color w:val="auto"/>
                <w:sz w:val="24"/>
                <w:szCs w:val="20"/>
              </w:rPr>
              <w:t>等效室外声源的位置为围护结构的位置，其声功率级为L</w:t>
            </w:r>
            <w:r>
              <w:rPr>
                <w:i/>
                <w:color w:val="auto"/>
                <w:sz w:val="24"/>
                <w:szCs w:val="20"/>
              </w:rPr>
              <w:t>w</w:t>
            </w:r>
            <w:r>
              <w:rPr>
                <w:color w:val="auto"/>
                <w:sz w:val="24"/>
                <w:szCs w:val="20"/>
              </w:rPr>
              <w:t>，由此按室外声源方法计算等效室外声源在预测点产生的A声级。</w:t>
            </w:r>
          </w:p>
          <w:p>
            <w:pPr>
              <w:adjustRightInd w:val="0"/>
              <w:snapToGrid w:val="0"/>
              <w:spacing w:line="360" w:lineRule="auto"/>
              <w:ind w:firstLine="480" w:firstLineChars="200"/>
              <w:rPr>
                <w:color w:val="auto"/>
                <w:sz w:val="24"/>
                <w:szCs w:val="20"/>
              </w:rPr>
            </w:pPr>
            <w:r>
              <w:rPr>
                <w:color w:val="auto"/>
                <w:sz w:val="24"/>
                <w:szCs w:val="20"/>
              </w:rPr>
              <w:fldChar w:fldCharType="begin"/>
            </w:r>
            <w:r>
              <w:rPr>
                <w:color w:val="auto"/>
                <w:sz w:val="24"/>
                <w:szCs w:val="20"/>
              </w:rPr>
              <w:instrText xml:space="preserve"> </w:instrText>
            </w:r>
            <w:r>
              <w:rPr>
                <w:rFonts w:hint="eastAsia"/>
                <w:color w:val="auto"/>
                <w:sz w:val="24"/>
                <w:szCs w:val="20"/>
              </w:rPr>
              <w:instrText xml:space="preserve">= 4 \* GB3</w:instrText>
            </w:r>
            <w:r>
              <w:rPr>
                <w:color w:val="auto"/>
                <w:sz w:val="24"/>
                <w:szCs w:val="20"/>
              </w:rPr>
              <w:instrText xml:space="preserve"> </w:instrText>
            </w:r>
            <w:r>
              <w:rPr>
                <w:color w:val="auto"/>
                <w:sz w:val="24"/>
                <w:szCs w:val="20"/>
              </w:rPr>
              <w:fldChar w:fldCharType="separate"/>
            </w:r>
            <w:r>
              <w:rPr>
                <w:rFonts w:hint="eastAsia"/>
                <w:color w:val="auto"/>
                <w:sz w:val="24"/>
                <w:szCs w:val="20"/>
              </w:rPr>
              <w:t>④</w:t>
            </w:r>
            <w:r>
              <w:rPr>
                <w:color w:val="auto"/>
                <w:sz w:val="24"/>
                <w:szCs w:val="20"/>
              </w:rPr>
              <w:fldChar w:fldCharType="end"/>
            </w:r>
            <w:r>
              <w:rPr>
                <w:color w:val="auto"/>
                <w:sz w:val="24"/>
                <w:szCs w:val="20"/>
              </w:rPr>
              <w:t>室外点源</w:t>
            </w:r>
          </w:p>
          <w:p>
            <w:pPr>
              <w:adjustRightInd w:val="0"/>
              <w:snapToGrid w:val="0"/>
              <w:spacing w:line="360" w:lineRule="auto"/>
              <w:ind w:firstLine="480" w:firstLineChars="200"/>
              <w:rPr>
                <w:color w:val="auto"/>
                <w:sz w:val="24"/>
                <w:szCs w:val="20"/>
              </w:rPr>
            </w:pPr>
            <w:r>
              <w:rPr>
                <w:color w:val="auto"/>
                <w:sz w:val="24"/>
                <w:szCs w:val="20"/>
              </w:rPr>
              <w:t>采用的衰减公式为：</w:t>
            </w:r>
          </w:p>
          <w:p>
            <w:pPr>
              <w:adjustRightInd w:val="0"/>
              <w:snapToGrid w:val="0"/>
              <w:spacing w:line="360" w:lineRule="auto"/>
              <w:ind w:firstLine="480"/>
              <w:jc w:val="center"/>
              <w:rPr>
                <w:color w:val="auto"/>
                <w:sz w:val="24"/>
                <w:szCs w:val="20"/>
              </w:rPr>
            </w:pPr>
            <w:r>
              <w:rPr>
                <w:color w:val="auto"/>
                <w:sz w:val="24"/>
                <w:szCs w:val="20"/>
              </w:rPr>
              <w:t>L</w:t>
            </w:r>
            <w:r>
              <w:rPr>
                <w:color w:val="auto"/>
                <w:sz w:val="24"/>
                <w:szCs w:val="20"/>
                <w:vertAlign w:val="subscript"/>
              </w:rPr>
              <w:t>（r）</w:t>
            </w:r>
            <w:r>
              <w:rPr>
                <w:color w:val="auto"/>
                <w:sz w:val="24"/>
                <w:szCs w:val="20"/>
              </w:rPr>
              <w:t>=L</w:t>
            </w:r>
            <w:r>
              <w:rPr>
                <w:color w:val="auto"/>
                <w:sz w:val="24"/>
                <w:szCs w:val="20"/>
                <w:vertAlign w:val="subscript"/>
              </w:rPr>
              <w:t>（r0）</w:t>
            </w:r>
            <w:r>
              <w:rPr>
                <w:color w:val="auto"/>
                <w:sz w:val="24"/>
                <w:szCs w:val="20"/>
              </w:rPr>
              <w:t>－20lg（r/r</w:t>
            </w:r>
            <w:r>
              <w:rPr>
                <w:color w:val="auto"/>
                <w:sz w:val="24"/>
                <w:szCs w:val="20"/>
                <w:vertAlign w:val="subscript"/>
              </w:rPr>
              <w:t>0</w:t>
            </w:r>
            <w:r>
              <w:rPr>
                <w:color w:val="auto"/>
                <w:sz w:val="24"/>
                <w:szCs w:val="20"/>
              </w:rPr>
              <w:t>）</w:t>
            </w:r>
          </w:p>
          <w:p>
            <w:pPr>
              <w:adjustRightInd w:val="0"/>
              <w:snapToGrid w:val="0"/>
              <w:spacing w:line="360" w:lineRule="auto"/>
              <w:ind w:firstLine="480" w:firstLineChars="200"/>
              <w:rPr>
                <w:color w:val="auto"/>
                <w:sz w:val="24"/>
                <w:szCs w:val="20"/>
              </w:rPr>
            </w:pPr>
            <w:r>
              <w:rPr>
                <w:color w:val="auto"/>
                <w:sz w:val="24"/>
                <w:szCs w:val="20"/>
              </w:rPr>
              <w:t>式中：L</w:t>
            </w:r>
            <w:r>
              <w:rPr>
                <w:color w:val="auto"/>
                <w:sz w:val="24"/>
                <w:szCs w:val="20"/>
                <w:vertAlign w:val="subscript"/>
              </w:rPr>
              <w:t>（r）</w:t>
            </w:r>
            <w:r>
              <w:rPr>
                <w:color w:val="auto"/>
                <w:sz w:val="24"/>
                <w:szCs w:val="20"/>
              </w:rPr>
              <w:t>—距离噪声源r处的声压级，dB(A)；</w:t>
            </w:r>
          </w:p>
          <w:p>
            <w:pPr>
              <w:adjustRightInd w:val="0"/>
              <w:snapToGrid w:val="0"/>
              <w:spacing w:line="360" w:lineRule="auto"/>
              <w:ind w:firstLine="480"/>
              <w:rPr>
                <w:color w:val="auto"/>
                <w:sz w:val="24"/>
                <w:szCs w:val="20"/>
              </w:rPr>
            </w:pPr>
            <w:r>
              <w:rPr>
                <w:color w:val="auto"/>
                <w:sz w:val="24"/>
                <w:szCs w:val="20"/>
              </w:rPr>
              <w:t xml:space="preserve">       r —预测点距离噪声源的距离，m；</w:t>
            </w:r>
          </w:p>
          <w:p>
            <w:pPr>
              <w:adjustRightInd w:val="0"/>
              <w:snapToGrid w:val="0"/>
              <w:spacing w:line="360" w:lineRule="auto"/>
              <w:ind w:firstLine="480" w:firstLineChars="200"/>
              <w:rPr>
                <w:color w:val="auto"/>
                <w:sz w:val="24"/>
                <w:szCs w:val="20"/>
              </w:rPr>
            </w:pPr>
            <w:r>
              <w:rPr>
                <w:color w:val="auto"/>
                <w:sz w:val="24"/>
                <w:szCs w:val="20"/>
              </w:rPr>
              <w:t xml:space="preserve">       r</w:t>
            </w:r>
            <w:r>
              <w:rPr>
                <w:color w:val="auto"/>
                <w:sz w:val="24"/>
                <w:szCs w:val="20"/>
                <w:vertAlign w:val="subscript"/>
              </w:rPr>
              <w:t>0</w:t>
            </w:r>
            <w:r>
              <w:rPr>
                <w:color w:val="auto"/>
                <w:sz w:val="24"/>
                <w:szCs w:val="20"/>
              </w:rPr>
              <w:t>—参考位置距离噪声源的距离，m。</w:t>
            </w:r>
          </w:p>
          <w:p>
            <w:pPr>
              <w:spacing w:line="360" w:lineRule="auto"/>
              <w:ind w:firstLine="480" w:firstLineChars="200"/>
              <w:rPr>
                <w:color w:val="auto"/>
                <w:sz w:val="24"/>
                <w:szCs w:val="20"/>
              </w:rPr>
            </w:pPr>
            <w:r>
              <w:rPr>
                <w:color w:val="auto"/>
                <w:sz w:val="24"/>
                <w:szCs w:val="20"/>
              </w:rPr>
              <w:fldChar w:fldCharType="begin"/>
            </w:r>
            <w:r>
              <w:rPr>
                <w:color w:val="auto"/>
                <w:sz w:val="24"/>
                <w:szCs w:val="20"/>
              </w:rPr>
              <w:instrText xml:space="preserve"> </w:instrText>
            </w:r>
            <w:r>
              <w:rPr>
                <w:rFonts w:hint="eastAsia"/>
                <w:color w:val="auto"/>
                <w:sz w:val="24"/>
                <w:szCs w:val="20"/>
              </w:rPr>
              <w:instrText xml:space="preserve">= 5 \* GB3</w:instrText>
            </w:r>
            <w:r>
              <w:rPr>
                <w:color w:val="auto"/>
                <w:sz w:val="24"/>
                <w:szCs w:val="20"/>
              </w:rPr>
              <w:instrText xml:space="preserve"> </w:instrText>
            </w:r>
            <w:r>
              <w:rPr>
                <w:color w:val="auto"/>
                <w:sz w:val="24"/>
                <w:szCs w:val="20"/>
              </w:rPr>
              <w:fldChar w:fldCharType="separate"/>
            </w:r>
            <w:r>
              <w:rPr>
                <w:rFonts w:hint="eastAsia"/>
                <w:color w:val="auto"/>
                <w:sz w:val="24"/>
                <w:szCs w:val="20"/>
              </w:rPr>
              <w:t>⑤</w:t>
            </w:r>
            <w:r>
              <w:rPr>
                <w:color w:val="auto"/>
                <w:sz w:val="24"/>
                <w:szCs w:val="20"/>
              </w:rPr>
              <w:fldChar w:fldCharType="end"/>
            </w:r>
            <w:r>
              <w:rPr>
                <w:color w:val="auto"/>
                <w:sz w:val="24"/>
                <w:szCs w:val="20"/>
              </w:rPr>
              <w:t>计算总声压级</w:t>
            </w:r>
          </w:p>
          <w:p>
            <w:pPr>
              <w:spacing w:line="360" w:lineRule="auto"/>
              <w:ind w:firstLine="480" w:firstLineChars="200"/>
              <w:rPr>
                <w:color w:val="auto"/>
                <w:sz w:val="24"/>
                <w:szCs w:val="20"/>
              </w:rPr>
            </w:pPr>
            <w:r>
              <w:rPr>
                <w:color w:val="auto"/>
                <w:sz w:val="24"/>
                <w:szCs w:val="20"/>
              </w:rPr>
              <w:t>设第i个室外声源在预测点产生的A声级为</w:t>
            </w:r>
            <w:r>
              <w:rPr>
                <w:i/>
                <w:color w:val="auto"/>
                <w:sz w:val="24"/>
                <w:szCs w:val="20"/>
              </w:rPr>
              <w:t>L</w:t>
            </w:r>
            <w:r>
              <w:rPr>
                <w:i/>
                <w:color w:val="auto"/>
                <w:sz w:val="24"/>
                <w:szCs w:val="20"/>
                <w:vertAlign w:val="subscript"/>
              </w:rPr>
              <w:t>A,i</w:t>
            </w:r>
            <w:r>
              <w:rPr>
                <w:color w:val="auto"/>
                <w:sz w:val="24"/>
                <w:szCs w:val="20"/>
              </w:rPr>
              <w:t>，在T时间内该声源工作时间为</w:t>
            </w:r>
            <w:r>
              <w:rPr>
                <w:i/>
                <w:color w:val="auto"/>
                <w:sz w:val="24"/>
                <w:szCs w:val="20"/>
              </w:rPr>
              <w:t>t</w:t>
            </w:r>
            <w:r>
              <w:rPr>
                <w:i/>
                <w:color w:val="auto"/>
                <w:sz w:val="24"/>
                <w:szCs w:val="20"/>
                <w:vertAlign w:val="subscript"/>
              </w:rPr>
              <w:t>i</w:t>
            </w:r>
            <w:r>
              <w:rPr>
                <w:color w:val="auto"/>
                <w:sz w:val="24"/>
                <w:szCs w:val="20"/>
              </w:rPr>
              <w:t>；第j个等效室外声源在预测点产生的A声级为</w:t>
            </w:r>
            <w:r>
              <w:rPr>
                <w:i/>
                <w:color w:val="auto"/>
                <w:sz w:val="24"/>
                <w:szCs w:val="20"/>
              </w:rPr>
              <w:t>L</w:t>
            </w:r>
            <w:r>
              <w:rPr>
                <w:i/>
                <w:color w:val="auto"/>
                <w:sz w:val="24"/>
                <w:szCs w:val="20"/>
                <w:vertAlign w:val="subscript"/>
              </w:rPr>
              <w:t>Aj</w:t>
            </w:r>
            <w:r>
              <w:rPr>
                <w:color w:val="auto"/>
                <w:sz w:val="24"/>
                <w:szCs w:val="20"/>
              </w:rPr>
              <w:t>，在T时间内该声源工作时间为</w:t>
            </w:r>
            <w:r>
              <w:rPr>
                <w:i/>
                <w:color w:val="auto"/>
                <w:sz w:val="24"/>
                <w:szCs w:val="20"/>
              </w:rPr>
              <w:t>t</w:t>
            </w:r>
            <w:r>
              <w:rPr>
                <w:i/>
                <w:color w:val="auto"/>
                <w:sz w:val="24"/>
                <w:szCs w:val="20"/>
                <w:vertAlign w:val="subscript"/>
              </w:rPr>
              <w:t>,j</w:t>
            </w:r>
            <w:r>
              <w:rPr>
                <w:color w:val="auto"/>
                <w:sz w:val="24"/>
                <w:szCs w:val="20"/>
              </w:rPr>
              <w:t>，则拟建工程声源对预测点产生的贡献值（L</w:t>
            </w:r>
            <w:r>
              <w:rPr>
                <w:i/>
                <w:color w:val="auto"/>
                <w:sz w:val="24"/>
                <w:szCs w:val="20"/>
                <w:vertAlign w:val="subscript"/>
              </w:rPr>
              <w:t>eqg</w:t>
            </w:r>
            <w:r>
              <w:rPr>
                <w:color w:val="auto"/>
                <w:sz w:val="24"/>
                <w:szCs w:val="20"/>
              </w:rPr>
              <w:t>）</w:t>
            </w:r>
          </w:p>
          <w:p>
            <w:pPr>
              <w:spacing w:line="360" w:lineRule="auto"/>
              <w:jc w:val="center"/>
              <w:rPr>
                <w:color w:val="auto"/>
                <w:sz w:val="24"/>
                <w:szCs w:val="20"/>
              </w:rPr>
            </w:pPr>
            <w:r>
              <w:rPr>
                <w:color w:val="auto"/>
                <w:sz w:val="24"/>
                <w:szCs w:val="20"/>
              </w:rPr>
              <w:drawing>
                <wp:inline distT="0" distB="0" distL="0" distR="0">
                  <wp:extent cx="2590800" cy="390525"/>
                  <wp:effectExtent l="0" t="0" r="0" b="0"/>
                  <wp:docPr id="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90800" cy="390525"/>
                          </a:xfrm>
                          <a:prstGeom prst="rect">
                            <a:avLst/>
                          </a:prstGeom>
                          <a:noFill/>
                          <a:ln>
                            <a:noFill/>
                          </a:ln>
                        </pic:spPr>
                      </pic:pic>
                    </a:graphicData>
                  </a:graphic>
                </wp:inline>
              </w:drawing>
            </w:r>
          </w:p>
          <w:p>
            <w:pPr>
              <w:spacing w:line="360" w:lineRule="auto"/>
              <w:ind w:firstLine="480" w:firstLineChars="200"/>
              <w:rPr>
                <w:color w:val="auto"/>
                <w:sz w:val="24"/>
                <w:szCs w:val="20"/>
              </w:rPr>
            </w:pPr>
            <w:r>
              <w:rPr>
                <w:color w:val="auto"/>
                <w:sz w:val="24"/>
                <w:szCs w:val="20"/>
              </w:rPr>
              <w:t>式中：</w:t>
            </w:r>
          </w:p>
          <w:p>
            <w:pPr>
              <w:spacing w:line="360" w:lineRule="auto"/>
              <w:ind w:firstLine="480" w:firstLineChars="200"/>
              <w:rPr>
                <w:color w:val="auto"/>
                <w:sz w:val="24"/>
                <w:szCs w:val="20"/>
              </w:rPr>
            </w:pPr>
            <w:r>
              <w:rPr>
                <w:color w:val="auto"/>
                <w:sz w:val="24"/>
                <w:szCs w:val="20"/>
              </w:rPr>
              <w:t>t</w:t>
            </w:r>
            <w:r>
              <w:rPr>
                <w:color w:val="auto"/>
                <w:sz w:val="24"/>
                <w:szCs w:val="20"/>
                <w:vertAlign w:val="subscript"/>
              </w:rPr>
              <w:t>j</w:t>
            </w:r>
            <w:r>
              <w:rPr>
                <w:color w:val="auto"/>
                <w:sz w:val="24"/>
                <w:szCs w:val="20"/>
              </w:rPr>
              <w:t>：在T时间内j声源工作时间，s；</w:t>
            </w:r>
          </w:p>
          <w:p>
            <w:pPr>
              <w:spacing w:line="360" w:lineRule="auto"/>
              <w:ind w:firstLine="480" w:firstLineChars="200"/>
              <w:rPr>
                <w:color w:val="auto"/>
                <w:sz w:val="24"/>
                <w:szCs w:val="20"/>
              </w:rPr>
            </w:pPr>
            <w:r>
              <w:rPr>
                <w:color w:val="auto"/>
                <w:sz w:val="24"/>
                <w:szCs w:val="20"/>
              </w:rPr>
              <w:t>t</w:t>
            </w:r>
            <w:r>
              <w:rPr>
                <w:color w:val="auto"/>
                <w:sz w:val="24"/>
                <w:szCs w:val="20"/>
                <w:vertAlign w:val="subscript"/>
              </w:rPr>
              <w:t>i</w:t>
            </w:r>
            <w:r>
              <w:rPr>
                <w:color w:val="auto"/>
                <w:sz w:val="24"/>
                <w:szCs w:val="20"/>
              </w:rPr>
              <w:t>：在T时间内i声源工作时间，s；</w:t>
            </w:r>
          </w:p>
          <w:p>
            <w:pPr>
              <w:spacing w:line="360" w:lineRule="auto"/>
              <w:ind w:firstLine="480" w:firstLineChars="200"/>
              <w:rPr>
                <w:color w:val="auto"/>
                <w:sz w:val="24"/>
                <w:szCs w:val="20"/>
              </w:rPr>
            </w:pPr>
            <w:r>
              <w:rPr>
                <w:color w:val="auto"/>
                <w:sz w:val="24"/>
                <w:szCs w:val="20"/>
              </w:rPr>
              <w:t>T：用于计算等效声级的时间，s；</w:t>
            </w:r>
          </w:p>
          <w:p>
            <w:pPr>
              <w:spacing w:line="360" w:lineRule="auto"/>
              <w:ind w:firstLine="480" w:firstLineChars="200"/>
              <w:rPr>
                <w:color w:val="auto"/>
                <w:sz w:val="24"/>
                <w:szCs w:val="20"/>
              </w:rPr>
            </w:pPr>
            <w:r>
              <w:rPr>
                <w:color w:val="auto"/>
                <w:sz w:val="24"/>
                <w:szCs w:val="20"/>
              </w:rPr>
              <w:t>N；室外声源个数；</w:t>
            </w:r>
          </w:p>
          <w:p>
            <w:pPr>
              <w:spacing w:line="360" w:lineRule="auto"/>
              <w:ind w:firstLine="480" w:firstLineChars="200"/>
              <w:jc w:val="left"/>
              <w:rPr>
                <w:color w:val="auto"/>
                <w:sz w:val="24"/>
              </w:rPr>
            </w:pPr>
            <w:r>
              <w:rPr>
                <w:color w:val="auto"/>
                <w:sz w:val="24"/>
              </w:rPr>
              <w:t>M：等效室外声源个数。</w:t>
            </w:r>
          </w:p>
          <w:p>
            <w:pPr>
              <w:spacing w:line="360" w:lineRule="auto"/>
              <w:ind w:firstLine="480" w:firstLineChars="200"/>
              <w:jc w:val="left"/>
              <w:rPr>
                <w:color w:val="auto"/>
                <w:sz w:val="24"/>
              </w:rPr>
            </w:pPr>
            <w:r>
              <w:rPr>
                <w:color w:val="auto"/>
                <w:sz w:val="24"/>
              </w:rPr>
              <w:fldChar w:fldCharType="begin"/>
            </w:r>
            <w:r>
              <w:rPr>
                <w:color w:val="auto"/>
                <w:sz w:val="24"/>
              </w:rPr>
              <w:instrText xml:space="preserve"> = 6 \* GB3 </w:instrText>
            </w:r>
            <w:r>
              <w:rPr>
                <w:color w:val="auto"/>
                <w:sz w:val="24"/>
              </w:rPr>
              <w:fldChar w:fldCharType="separate"/>
            </w:r>
            <w:r>
              <w:rPr>
                <w:rFonts w:hint="eastAsia"/>
                <w:color w:val="auto"/>
                <w:sz w:val="24"/>
              </w:rPr>
              <w:t>⑥</w:t>
            </w:r>
            <w:r>
              <w:rPr>
                <w:color w:val="auto"/>
                <w:sz w:val="24"/>
              </w:rPr>
              <w:fldChar w:fldCharType="end"/>
            </w:r>
            <w:r>
              <w:rPr>
                <w:color w:val="auto"/>
                <w:sz w:val="24"/>
              </w:rPr>
              <w:t>预测因子、预测时段、预测方案</w:t>
            </w:r>
          </w:p>
          <w:p>
            <w:pPr>
              <w:spacing w:line="360" w:lineRule="auto"/>
              <w:ind w:firstLine="480" w:firstLineChars="200"/>
              <w:jc w:val="left"/>
              <w:rPr>
                <w:color w:val="auto"/>
                <w:sz w:val="24"/>
              </w:rPr>
            </w:pPr>
            <w:r>
              <w:rPr>
                <w:rFonts w:hint="eastAsia" w:ascii="宋体" w:hAnsi="宋体" w:cs="宋体"/>
                <w:color w:val="auto"/>
                <w:sz w:val="24"/>
              </w:rPr>
              <w:t>a、</w:t>
            </w:r>
            <w:r>
              <w:rPr>
                <w:color w:val="auto"/>
                <w:sz w:val="24"/>
              </w:rPr>
              <w:t>预测因子：等效连续A声级Leq（A）。</w:t>
            </w:r>
          </w:p>
          <w:p>
            <w:pPr>
              <w:spacing w:line="360" w:lineRule="auto"/>
              <w:ind w:firstLine="480" w:firstLineChars="200"/>
              <w:jc w:val="left"/>
              <w:rPr>
                <w:color w:val="auto"/>
                <w:sz w:val="24"/>
              </w:rPr>
            </w:pPr>
            <w:r>
              <w:rPr>
                <w:rFonts w:hint="eastAsia" w:ascii="宋体" w:hAnsi="宋体" w:cs="宋体"/>
                <w:color w:val="auto"/>
                <w:sz w:val="24"/>
              </w:rPr>
              <w:t>b、</w:t>
            </w:r>
            <w:r>
              <w:rPr>
                <w:color w:val="auto"/>
                <w:sz w:val="24"/>
              </w:rPr>
              <w:t>预测时段：固定声源投产运行期。</w:t>
            </w:r>
          </w:p>
          <w:p>
            <w:pPr>
              <w:spacing w:line="360" w:lineRule="auto"/>
              <w:ind w:firstLine="480" w:firstLineChars="200"/>
              <w:jc w:val="left"/>
              <w:rPr>
                <w:color w:val="auto"/>
                <w:sz w:val="24"/>
              </w:rPr>
            </w:pPr>
            <w:r>
              <w:rPr>
                <w:rFonts w:hint="eastAsia" w:ascii="宋体" w:hAnsi="宋体" w:cs="宋体"/>
                <w:color w:val="auto"/>
                <w:sz w:val="24"/>
              </w:rPr>
              <w:t>c、</w:t>
            </w:r>
            <w:r>
              <w:rPr>
                <w:color w:val="auto"/>
                <w:sz w:val="24"/>
              </w:rPr>
              <w:t>预测方案：预测本项目投产后，</w:t>
            </w:r>
            <w:r>
              <w:rPr>
                <w:rFonts w:hint="eastAsia"/>
                <w:color w:val="auto"/>
                <w:sz w:val="24"/>
              </w:rPr>
              <w:t>项目各</w:t>
            </w:r>
            <w:r>
              <w:rPr>
                <w:color w:val="auto"/>
                <w:sz w:val="24"/>
              </w:rPr>
              <w:t>厂界噪声达标情况。</w:t>
            </w:r>
          </w:p>
          <w:p>
            <w:pPr>
              <w:spacing w:line="360" w:lineRule="auto"/>
              <w:ind w:firstLine="480" w:firstLineChars="200"/>
              <w:jc w:val="left"/>
              <w:rPr>
                <w:color w:val="auto"/>
                <w:sz w:val="24"/>
              </w:rPr>
            </w:pPr>
            <w:r>
              <w:rPr>
                <w:rFonts w:hint="eastAsia"/>
                <w:color w:val="auto"/>
                <w:sz w:val="24"/>
              </w:rPr>
              <w:t>各噪声源中心点与各厂界之间的距离见表4-16。</w:t>
            </w:r>
          </w:p>
          <w:p>
            <w:pPr>
              <w:widowControl/>
              <w:jc w:val="center"/>
              <w:rPr>
                <w:rFonts w:hAnsi="宋体"/>
                <w:b/>
                <w:color w:val="auto"/>
                <w:kern w:val="0"/>
                <w:sz w:val="24"/>
                <w:szCs w:val="20"/>
              </w:rPr>
            </w:pPr>
            <w:r>
              <w:rPr>
                <w:rFonts w:hAnsi="宋体"/>
                <w:b/>
                <w:color w:val="auto"/>
                <w:kern w:val="0"/>
                <w:sz w:val="24"/>
                <w:szCs w:val="20"/>
              </w:rPr>
              <w:t>表</w:t>
            </w:r>
            <w:r>
              <w:rPr>
                <w:rFonts w:hint="eastAsia" w:hAnsi="宋体"/>
                <w:b/>
                <w:color w:val="auto"/>
                <w:kern w:val="0"/>
                <w:sz w:val="24"/>
                <w:szCs w:val="20"/>
              </w:rPr>
              <w:t>4-16</w:t>
            </w:r>
            <w:r>
              <w:rPr>
                <w:rFonts w:hAnsi="宋体"/>
                <w:b/>
                <w:color w:val="auto"/>
                <w:kern w:val="0"/>
                <w:sz w:val="24"/>
                <w:szCs w:val="20"/>
              </w:rPr>
              <w:t xml:space="preserve"> </w:t>
            </w:r>
            <w:r>
              <w:rPr>
                <w:rFonts w:hint="eastAsia" w:hAnsi="宋体"/>
                <w:b/>
                <w:color w:val="auto"/>
                <w:kern w:val="0"/>
                <w:sz w:val="24"/>
                <w:szCs w:val="20"/>
              </w:rPr>
              <w:t xml:space="preserve"> </w:t>
            </w:r>
            <w:r>
              <w:rPr>
                <w:rFonts w:hAnsi="宋体"/>
                <w:b/>
                <w:color w:val="auto"/>
                <w:kern w:val="0"/>
                <w:sz w:val="24"/>
                <w:szCs w:val="20"/>
              </w:rPr>
              <w:t xml:space="preserve"> 项目主要噪声源强及源强中心点至各厂界</w:t>
            </w:r>
            <w:r>
              <w:rPr>
                <w:rFonts w:hint="eastAsia" w:hAnsi="宋体"/>
                <w:b/>
                <w:color w:val="auto"/>
                <w:kern w:val="0"/>
                <w:sz w:val="24"/>
                <w:szCs w:val="20"/>
              </w:rPr>
              <w:t>与敏感点</w:t>
            </w:r>
            <w:r>
              <w:rPr>
                <w:rFonts w:hAnsi="宋体"/>
                <w:b/>
                <w:color w:val="auto"/>
                <w:kern w:val="0"/>
                <w:sz w:val="24"/>
                <w:szCs w:val="20"/>
              </w:rPr>
              <w:t>距离</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autofit"/>
              <w:tblCellMar>
                <w:top w:w="0" w:type="dxa"/>
                <w:left w:w="0" w:type="dxa"/>
                <w:bottom w:w="0" w:type="dxa"/>
                <w:right w:w="0" w:type="dxa"/>
              </w:tblCellMar>
            </w:tblPr>
            <w:tblGrid>
              <w:gridCol w:w="1311"/>
              <w:gridCol w:w="1135"/>
              <w:gridCol w:w="709"/>
              <w:gridCol w:w="849"/>
              <w:gridCol w:w="851"/>
              <w:gridCol w:w="851"/>
              <w:gridCol w:w="851"/>
              <w:gridCol w:w="851"/>
              <w:gridCol w:w="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PrEx>
              <w:trPr>
                <w:trHeight w:val="369" w:hRule="atLeast"/>
                <w:jc w:val="center"/>
              </w:trPr>
              <w:tc>
                <w:tcPr>
                  <w:tcW w:w="808" w:type="pct"/>
                  <w:vMerge w:val="restart"/>
                  <w:vAlign w:val="center"/>
                </w:tcPr>
                <w:p>
                  <w:pPr>
                    <w:snapToGrid w:val="0"/>
                    <w:jc w:val="center"/>
                    <w:rPr>
                      <w:color w:val="auto"/>
                      <w:szCs w:val="21"/>
                    </w:rPr>
                  </w:pPr>
                  <w:r>
                    <w:rPr>
                      <w:color w:val="auto"/>
                      <w:szCs w:val="21"/>
                    </w:rPr>
                    <w:t>噪声源</w:t>
                  </w:r>
                </w:p>
              </w:tc>
              <w:tc>
                <w:tcPr>
                  <w:tcW w:w="699" w:type="pct"/>
                  <w:vMerge w:val="restart"/>
                  <w:vAlign w:val="center"/>
                </w:tcPr>
                <w:p>
                  <w:pPr>
                    <w:snapToGrid w:val="0"/>
                    <w:spacing w:line="276" w:lineRule="auto"/>
                    <w:jc w:val="center"/>
                    <w:rPr>
                      <w:color w:val="auto"/>
                      <w:szCs w:val="21"/>
                    </w:rPr>
                  </w:pPr>
                  <w:r>
                    <w:rPr>
                      <w:color w:val="auto"/>
                      <w:szCs w:val="21"/>
                    </w:rPr>
                    <w:t>采取降噪措施后各声源叠加值dB（A）</w:t>
                  </w:r>
                </w:p>
              </w:tc>
              <w:tc>
                <w:tcPr>
                  <w:tcW w:w="3493" w:type="pct"/>
                  <w:gridSpan w:val="7"/>
                  <w:vAlign w:val="center"/>
                </w:tcPr>
                <w:p>
                  <w:pPr>
                    <w:snapToGrid w:val="0"/>
                    <w:jc w:val="center"/>
                    <w:rPr>
                      <w:color w:val="auto"/>
                      <w:szCs w:val="21"/>
                    </w:rPr>
                  </w:pPr>
                  <w:r>
                    <w:rPr>
                      <w:color w:val="auto"/>
                      <w:szCs w:val="21"/>
                    </w:rPr>
                    <w:t>噪声源中心点与各厂界之间的距离（m）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69" w:hRule="atLeast"/>
                <w:jc w:val="center"/>
              </w:trPr>
              <w:tc>
                <w:tcPr>
                  <w:tcW w:w="808" w:type="pct"/>
                  <w:vMerge w:val="continue"/>
                  <w:vAlign w:val="center"/>
                </w:tcPr>
                <w:p>
                  <w:pPr>
                    <w:snapToGrid w:val="0"/>
                    <w:jc w:val="center"/>
                    <w:rPr>
                      <w:color w:val="auto"/>
                      <w:szCs w:val="21"/>
                    </w:rPr>
                  </w:pPr>
                </w:p>
              </w:tc>
              <w:tc>
                <w:tcPr>
                  <w:tcW w:w="699" w:type="pct"/>
                  <w:vMerge w:val="continue"/>
                  <w:vAlign w:val="center"/>
                </w:tcPr>
                <w:p>
                  <w:pPr>
                    <w:snapToGrid w:val="0"/>
                    <w:jc w:val="center"/>
                    <w:rPr>
                      <w:color w:val="auto"/>
                      <w:szCs w:val="21"/>
                    </w:rPr>
                  </w:pPr>
                </w:p>
              </w:tc>
              <w:tc>
                <w:tcPr>
                  <w:tcW w:w="437" w:type="pct"/>
                  <w:vAlign w:val="center"/>
                </w:tcPr>
                <w:p>
                  <w:pPr>
                    <w:snapToGrid w:val="0"/>
                    <w:jc w:val="center"/>
                    <w:rPr>
                      <w:color w:val="auto"/>
                      <w:szCs w:val="21"/>
                    </w:rPr>
                  </w:pPr>
                  <w:r>
                    <w:rPr>
                      <w:color w:val="auto"/>
                      <w:szCs w:val="21"/>
                    </w:rPr>
                    <w:t>东厂界</w:t>
                  </w:r>
                </w:p>
              </w:tc>
              <w:tc>
                <w:tcPr>
                  <w:tcW w:w="523" w:type="pct"/>
                  <w:vAlign w:val="center"/>
                </w:tcPr>
                <w:p>
                  <w:pPr>
                    <w:snapToGrid w:val="0"/>
                    <w:jc w:val="center"/>
                    <w:rPr>
                      <w:color w:val="auto"/>
                      <w:szCs w:val="21"/>
                    </w:rPr>
                  </w:pPr>
                  <w:r>
                    <w:rPr>
                      <w:color w:val="auto"/>
                      <w:szCs w:val="21"/>
                    </w:rPr>
                    <w:t>南厂界</w:t>
                  </w:r>
                </w:p>
              </w:tc>
              <w:tc>
                <w:tcPr>
                  <w:tcW w:w="524" w:type="pct"/>
                  <w:vAlign w:val="center"/>
                </w:tcPr>
                <w:p>
                  <w:pPr>
                    <w:snapToGrid w:val="0"/>
                    <w:jc w:val="center"/>
                    <w:rPr>
                      <w:color w:val="auto"/>
                      <w:szCs w:val="21"/>
                    </w:rPr>
                  </w:pPr>
                  <w:r>
                    <w:rPr>
                      <w:color w:val="auto"/>
                      <w:szCs w:val="21"/>
                    </w:rPr>
                    <w:t>西厂界</w:t>
                  </w:r>
                </w:p>
              </w:tc>
              <w:tc>
                <w:tcPr>
                  <w:tcW w:w="524" w:type="pct"/>
                  <w:vAlign w:val="center"/>
                </w:tcPr>
                <w:p>
                  <w:pPr>
                    <w:snapToGrid w:val="0"/>
                    <w:jc w:val="center"/>
                    <w:rPr>
                      <w:color w:val="auto"/>
                      <w:szCs w:val="21"/>
                    </w:rPr>
                  </w:pPr>
                  <w:r>
                    <w:rPr>
                      <w:color w:val="auto"/>
                      <w:szCs w:val="21"/>
                    </w:rPr>
                    <w:t>北厂界</w:t>
                  </w:r>
                </w:p>
              </w:tc>
              <w:tc>
                <w:tcPr>
                  <w:tcW w:w="524" w:type="pct"/>
                  <w:vAlign w:val="center"/>
                </w:tcPr>
                <w:p>
                  <w:pPr>
                    <w:snapToGrid w:val="0"/>
                    <w:jc w:val="center"/>
                    <w:rPr>
                      <w:color w:val="auto"/>
                      <w:szCs w:val="21"/>
                    </w:rPr>
                  </w:pPr>
                  <w:r>
                    <w:rPr>
                      <w:color w:val="auto"/>
                      <w:szCs w:val="21"/>
                    </w:rPr>
                    <w:t>姚家村</w:t>
                  </w:r>
                </w:p>
              </w:tc>
              <w:tc>
                <w:tcPr>
                  <w:tcW w:w="524" w:type="pct"/>
                  <w:vAlign w:val="center"/>
                </w:tcPr>
                <w:p>
                  <w:pPr>
                    <w:snapToGrid w:val="0"/>
                    <w:jc w:val="center"/>
                    <w:rPr>
                      <w:color w:val="auto"/>
                      <w:szCs w:val="21"/>
                    </w:rPr>
                  </w:pPr>
                  <w:r>
                    <w:rPr>
                      <w:color w:val="auto"/>
                      <w:szCs w:val="21"/>
                    </w:rPr>
                    <w:t>赵家堡</w:t>
                  </w:r>
                </w:p>
              </w:tc>
              <w:tc>
                <w:tcPr>
                  <w:tcW w:w="437" w:type="pct"/>
                  <w:vAlign w:val="center"/>
                </w:tcPr>
                <w:p>
                  <w:pPr>
                    <w:snapToGrid w:val="0"/>
                    <w:jc w:val="center"/>
                    <w:rPr>
                      <w:color w:val="auto"/>
                      <w:szCs w:val="21"/>
                    </w:rPr>
                  </w:pPr>
                  <w:r>
                    <w:rPr>
                      <w:color w:val="auto"/>
                      <w:szCs w:val="21"/>
                    </w:rPr>
                    <w:t>黄家村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PrEx>
              <w:trPr>
                <w:trHeight w:val="369" w:hRule="atLeast"/>
                <w:jc w:val="center"/>
              </w:trPr>
              <w:tc>
                <w:tcPr>
                  <w:tcW w:w="808" w:type="pct"/>
                  <w:vAlign w:val="center"/>
                </w:tcPr>
                <w:p>
                  <w:pPr>
                    <w:widowControl/>
                    <w:jc w:val="center"/>
                    <w:rPr>
                      <w:color w:val="auto"/>
                      <w:kern w:val="0"/>
                      <w:szCs w:val="21"/>
                    </w:rPr>
                  </w:pPr>
                  <w:r>
                    <w:rPr>
                      <w:color w:val="auto"/>
                      <w:szCs w:val="21"/>
                    </w:rPr>
                    <w:t>输送系统</w:t>
                  </w:r>
                </w:p>
              </w:tc>
              <w:tc>
                <w:tcPr>
                  <w:tcW w:w="699" w:type="pct"/>
                  <w:vAlign w:val="center"/>
                </w:tcPr>
                <w:p>
                  <w:pPr>
                    <w:jc w:val="center"/>
                    <w:rPr>
                      <w:color w:val="auto"/>
                    </w:rPr>
                  </w:pPr>
                  <w:r>
                    <w:rPr>
                      <w:rFonts w:hint="eastAsia"/>
                      <w:color w:val="auto"/>
                    </w:rPr>
                    <w:t>48</w:t>
                  </w:r>
                </w:p>
              </w:tc>
              <w:tc>
                <w:tcPr>
                  <w:tcW w:w="437" w:type="pct"/>
                  <w:vAlign w:val="center"/>
                </w:tcPr>
                <w:p>
                  <w:pPr>
                    <w:jc w:val="center"/>
                    <w:rPr>
                      <w:color w:val="auto"/>
                      <w:szCs w:val="21"/>
                    </w:rPr>
                  </w:pPr>
                  <w:r>
                    <w:rPr>
                      <w:color w:val="auto"/>
                      <w:szCs w:val="21"/>
                    </w:rPr>
                    <w:t>16</w:t>
                  </w:r>
                </w:p>
              </w:tc>
              <w:tc>
                <w:tcPr>
                  <w:tcW w:w="523" w:type="pct"/>
                  <w:vAlign w:val="center"/>
                </w:tcPr>
                <w:p>
                  <w:pPr>
                    <w:jc w:val="center"/>
                    <w:rPr>
                      <w:color w:val="auto"/>
                      <w:szCs w:val="21"/>
                    </w:rPr>
                  </w:pPr>
                  <w:r>
                    <w:rPr>
                      <w:color w:val="auto"/>
                      <w:szCs w:val="21"/>
                    </w:rPr>
                    <w:t>117</w:t>
                  </w:r>
                </w:p>
              </w:tc>
              <w:tc>
                <w:tcPr>
                  <w:tcW w:w="524" w:type="pct"/>
                  <w:vAlign w:val="center"/>
                </w:tcPr>
                <w:p>
                  <w:pPr>
                    <w:jc w:val="center"/>
                    <w:rPr>
                      <w:color w:val="auto"/>
                      <w:szCs w:val="21"/>
                    </w:rPr>
                  </w:pPr>
                  <w:r>
                    <w:rPr>
                      <w:color w:val="auto"/>
                      <w:szCs w:val="21"/>
                    </w:rPr>
                    <w:t>177</w:t>
                  </w:r>
                </w:p>
              </w:tc>
              <w:tc>
                <w:tcPr>
                  <w:tcW w:w="524" w:type="pct"/>
                  <w:vAlign w:val="center"/>
                </w:tcPr>
                <w:p>
                  <w:pPr>
                    <w:jc w:val="center"/>
                    <w:rPr>
                      <w:color w:val="auto"/>
                      <w:szCs w:val="21"/>
                    </w:rPr>
                  </w:pPr>
                  <w:r>
                    <w:rPr>
                      <w:color w:val="auto"/>
                      <w:szCs w:val="21"/>
                    </w:rPr>
                    <w:t>9</w:t>
                  </w:r>
                </w:p>
              </w:tc>
              <w:tc>
                <w:tcPr>
                  <w:tcW w:w="524" w:type="pct"/>
                  <w:vAlign w:val="center"/>
                </w:tcPr>
                <w:p>
                  <w:pPr>
                    <w:jc w:val="center"/>
                    <w:rPr>
                      <w:color w:val="auto"/>
                      <w:szCs w:val="21"/>
                    </w:rPr>
                  </w:pPr>
                  <w:r>
                    <w:rPr>
                      <w:color w:val="auto"/>
                      <w:szCs w:val="21"/>
                    </w:rPr>
                    <w:t>183</w:t>
                  </w:r>
                </w:p>
              </w:tc>
              <w:tc>
                <w:tcPr>
                  <w:tcW w:w="524" w:type="pct"/>
                  <w:vAlign w:val="center"/>
                </w:tcPr>
                <w:p>
                  <w:pPr>
                    <w:jc w:val="center"/>
                    <w:rPr>
                      <w:color w:val="auto"/>
                      <w:szCs w:val="21"/>
                    </w:rPr>
                  </w:pPr>
                  <w:r>
                    <w:rPr>
                      <w:color w:val="auto"/>
                      <w:szCs w:val="21"/>
                    </w:rPr>
                    <w:t>123</w:t>
                  </w:r>
                </w:p>
              </w:tc>
              <w:tc>
                <w:tcPr>
                  <w:tcW w:w="437" w:type="pct"/>
                  <w:vAlign w:val="center"/>
                </w:tcPr>
                <w:p>
                  <w:pPr>
                    <w:jc w:val="center"/>
                    <w:rPr>
                      <w:color w:val="auto"/>
                      <w:szCs w:val="21"/>
                    </w:rPr>
                  </w:pPr>
                  <w:r>
                    <w:rPr>
                      <w:color w:val="auto"/>
                      <w:szCs w:val="21"/>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PrEx>
              <w:trPr>
                <w:trHeight w:val="369" w:hRule="atLeast"/>
                <w:jc w:val="center"/>
              </w:trPr>
              <w:tc>
                <w:tcPr>
                  <w:tcW w:w="808" w:type="pct"/>
                  <w:vAlign w:val="center"/>
                </w:tcPr>
                <w:p>
                  <w:pPr>
                    <w:widowControl/>
                    <w:jc w:val="center"/>
                    <w:rPr>
                      <w:color w:val="auto"/>
                      <w:szCs w:val="21"/>
                    </w:rPr>
                  </w:pPr>
                  <w:r>
                    <w:rPr>
                      <w:rFonts w:hint="eastAsia"/>
                      <w:color w:val="auto"/>
                      <w:szCs w:val="21"/>
                    </w:rPr>
                    <w:t>辅料提升系统</w:t>
                  </w:r>
                </w:p>
              </w:tc>
              <w:tc>
                <w:tcPr>
                  <w:tcW w:w="699" w:type="pct"/>
                  <w:vAlign w:val="center"/>
                </w:tcPr>
                <w:p>
                  <w:pPr>
                    <w:jc w:val="center"/>
                    <w:rPr>
                      <w:color w:val="auto"/>
                    </w:rPr>
                  </w:pPr>
                  <w:r>
                    <w:rPr>
                      <w:rFonts w:hint="eastAsia"/>
                      <w:color w:val="auto"/>
                    </w:rPr>
                    <w:t>48</w:t>
                  </w:r>
                </w:p>
              </w:tc>
              <w:tc>
                <w:tcPr>
                  <w:tcW w:w="437" w:type="pct"/>
                  <w:vAlign w:val="center"/>
                </w:tcPr>
                <w:p>
                  <w:pPr>
                    <w:jc w:val="center"/>
                    <w:rPr>
                      <w:color w:val="auto"/>
                      <w:szCs w:val="21"/>
                    </w:rPr>
                  </w:pPr>
                  <w:r>
                    <w:rPr>
                      <w:color w:val="auto"/>
                      <w:szCs w:val="21"/>
                    </w:rPr>
                    <w:t>16</w:t>
                  </w:r>
                </w:p>
              </w:tc>
              <w:tc>
                <w:tcPr>
                  <w:tcW w:w="523" w:type="pct"/>
                  <w:vAlign w:val="center"/>
                </w:tcPr>
                <w:p>
                  <w:pPr>
                    <w:jc w:val="center"/>
                    <w:rPr>
                      <w:color w:val="auto"/>
                      <w:szCs w:val="21"/>
                    </w:rPr>
                  </w:pPr>
                  <w:r>
                    <w:rPr>
                      <w:color w:val="auto"/>
                      <w:szCs w:val="21"/>
                    </w:rPr>
                    <w:t>117</w:t>
                  </w:r>
                </w:p>
              </w:tc>
              <w:tc>
                <w:tcPr>
                  <w:tcW w:w="524" w:type="pct"/>
                  <w:vAlign w:val="center"/>
                </w:tcPr>
                <w:p>
                  <w:pPr>
                    <w:jc w:val="center"/>
                    <w:rPr>
                      <w:color w:val="auto"/>
                      <w:szCs w:val="21"/>
                    </w:rPr>
                  </w:pPr>
                  <w:r>
                    <w:rPr>
                      <w:color w:val="auto"/>
                      <w:szCs w:val="21"/>
                    </w:rPr>
                    <w:t>177</w:t>
                  </w:r>
                </w:p>
              </w:tc>
              <w:tc>
                <w:tcPr>
                  <w:tcW w:w="524" w:type="pct"/>
                  <w:vAlign w:val="center"/>
                </w:tcPr>
                <w:p>
                  <w:pPr>
                    <w:jc w:val="center"/>
                    <w:rPr>
                      <w:color w:val="auto"/>
                      <w:szCs w:val="21"/>
                    </w:rPr>
                  </w:pPr>
                  <w:r>
                    <w:rPr>
                      <w:color w:val="auto"/>
                      <w:szCs w:val="21"/>
                    </w:rPr>
                    <w:t>9</w:t>
                  </w:r>
                </w:p>
              </w:tc>
              <w:tc>
                <w:tcPr>
                  <w:tcW w:w="524" w:type="pct"/>
                  <w:vAlign w:val="center"/>
                </w:tcPr>
                <w:p>
                  <w:pPr>
                    <w:jc w:val="center"/>
                    <w:rPr>
                      <w:color w:val="auto"/>
                      <w:szCs w:val="21"/>
                    </w:rPr>
                  </w:pPr>
                  <w:r>
                    <w:rPr>
                      <w:color w:val="auto"/>
                      <w:szCs w:val="21"/>
                    </w:rPr>
                    <w:t>183</w:t>
                  </w:r>
                </w:p>
              </w:tc>
              <w:tc>
                <w:tcPr>
                  <w:tcW w:w="524" w:type="pct"/>
                  <w:vAlign w:val="center"/>
                </w:tcPr>
                <w:p>
                  <w:pPr>
                    <w:jc w:val="center"/>
                    <w:rPr>
                      <w:color w:val="auto"/>
                      <w:szCs w:val="21"/>
                    </w:rPr>
                  </w:pPr>
                  <w:r>
                    <w:rPr>
                      <w:color w:val="auto"/>
                      <w:szCs w:val="21"/>
                    </w:rPr>
                    <w:t>123</w:t>
                  </w:r>
                </w:p>
              </w:tc>
              <w:tc>
                <w:tcPr>
                  <w:tcW w:w="437" w:type="pct"/>
                  <w:vAlign w:val="center"/>
                </w:tcPr>
                <w:p>
                  <w:pPr>
                    <w:jc w:val="center"/>
                    <w:rPr>
                      <w:color w:val="auto"/>
                      <w:szCs w:val="21"/>
                    </w:rPr>
                  </w:pPr>
                  <w:r>
                    <w:rPr>
                      <w:color w:val="auto"/>
                      <w:szCs w:val="21"/>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PrEx>
              <w:trPr>
                <w:trHeight w:val="369" w:hRule="atLeast"/>
                <w:jc w:val="center"/>
              </w:trPr>
              <w:tc>
                <w:tcPr>
                  <w:tcW w:w="808" w:type="pct"/>
                  <w:vAlign w:val="center"/>
                </w:tcPr>
                <w:p>
                  <w:pPr>
                    <w:jc w:val="center"/>
                    <w:rPr>
                      <w:rFonts w:hAnsi="宋体"/>
                      <w:color w:val="auto"/>
                      <w:kern w:val="0"/>
                      <w:szCs w:val="21"/>
                    </w:rPr>
                  </w:pPr>
                  <w:r>
                    <w:rPr>
                      <w:rFonts w:hint="eastAsia" w:hAnsi="宋体"/>
                      <w:color w:val="auto"/>
                      <w:kern w:val="0"/>
                      <w:szCs w:val="21"/>
                    </w:rPr>
                    <w:t>外加剂输送系统</w:t>
                  </w:r>
                </w:p>
              </w:tc>
              <w:tc>
                <w:tcPr>
                  <w:tcW w:w="699" w:type="pct"/>
                  <w:vAlign w:val="center"/>
                </w:tcPr>
                <w:p>
                  <w:pPr>
                    <w:jc w:val="center"/>
                    <w:rPr>
                      <w:color w:val="auto"/>
                    </w:rPr>
                  </w:pPr>
                  <w:r>
                    <w:rPr>
                      <w:rFonts w:hint="eastAsia"/>
                      <w:color w:val="auto"/>
                    </w:rPr>
                    <w:t>43</w:t>
                  </w:r>
                </w:p>
              </w:tc>
              <w:tc>
                <w:tcPr>
                  <w:tcW w:w="437" w:type="pct"/>
                  <w:vAlign w:val="center"/>
                </w:tcPr>
                <w:p>
                  <w:pPr>
                    <w:jc w:val="center"/>
                    <w:rPr>
                      <w:color w:val="auto"/>
                      <w:szCs w:val="21"/>
                    </w:rPr>
                  </w:pPr>
                  <w:r>
                    <w:rPr>
                      <w:color w:val="auto"/>
                      <w:szCs w:val="21"/>
                    </w:rPr>
                    <w:t>16</w:t>
                  </w:r>
                </w:p>
              </w:tc>
              <w:tc>
                <w:tcPr>
                  <w:tcW w:w="523" w:type="pct"/>
                  <w:vAlign w:val="center"/>
                </w:tcPr>
                <w:p>
                  <w:pPr>
                    <w:jc w:val="center"/>
                    <w:rPr>
                      <w:color w:val="auto"/>
                      <w:szCs w:val="21"/>
                    </w:rPr>
                  </w:pPr>
                  <w:r>
                    <w:rPr>
                      <w:color w:val="auto"/>
                      <w:szCs w:val="21"/>
                    </w:rPr>
                    <w:t>117</w:t>
                  </w:r>
                </w:p>
              </w:tc>
              <w:tc>
                <w:tcPr>
                  <w:tcW w:w="524" w:type="pct"/>
                  <w:vAlign w:val="center"/>
                </w:tcPr>
                <w:p>
                  <w:pPr>
                    <w:jc w:val="center"/>
                    <w:rPr>
                      <w:color w:val="auto"/>
                      <w:szCs w:val="21"/>
                    </w:rPr>
                  </w:pPr>
                  <w:r>
                    <w:rPr>
                      <w:color w:val="auto"/>
                      <w:szCs w:val="21"/>
                    </w:rPr>
                    <w:t>177</w:t>
                  </w:r>
                </w:p>
              </w:tc>
              <w:tc>
                <w:tcPr>
                  <w:tcW w:w="524" w:type="pct"/>
                  <w:vAlign w:val="center"/>
                </w:tcPr>
                <w:p>
                  <w:pPr>
                    <w:jc w:val="center"/>
                    <w:rPr>
                      <w:color w:val="auto"/>
                      <w:szCs w:val="21"/>
                    </w:rPr>
                  </w:pPr>
                  <w:r>
                    <w:rPr>
                      <w:color w:val="auto"/>
                      <w:szCs w:val="21"/>
                    </w:rPr>
                    <w:t>9</w:t>
                  </w:r>
                </w:p>
              </w:tc>
              <w:tc>
                <w:tcPr>
                  <w:tcW w:w="524" w:type="pct"/>
                  <w:vAlign w:val="center"/>
                </w:tcPr>
                <w:p>
                  <w:pPr>
                    <w:jc w:val="center"/>
                    <w:rPr>
                      <w:color w:val="auto"/>
                      <w:szCs w:val="21"/>
                    </w:rPr>
                  </w:pPr>
                  <w:r>
                    <w:rPr>
                      <w:color w:val="auto"/>
                      <w:szCs w:val="21"/>
                    </w:rPr>
                    <w:t>183</w:t>
                  </w:r>
                </w:p>
              </w:tc>
              <w:tc>
                <w:tcPr>
                  <w:tcW w:w="524" w:type="pct"/>
                  <w:vAlign w:val="center"/>
                </w:tcPr>
                <w:p>
                  <w:pPr>
                    <w:jc w:val="center"/>
                    <w:rPr>
                      <w:color w:val="auto"/>
                      <w:szCs w:val="21"/>
                    </w:rPr>
                  </w:pPr>
                  <w:r>
                    <w:rPr>
                      <w:color w:val="auto"/>
                      <w:szCs w:val="21"/>
                    </w:rPr>
                    <w:t>123</w:t>
                  </w:r>
                </w:p>
              </w:tc>
              <w:tc>
                <w:tcPr>
                  <w:tcW w:w="437" w:type="pct"/>
                  <w:vAlign w:val="center"/>
                </w:tcPr>
                <w:p>
                  <w:pPr>
                    <w:jc w:val="center"/>
                    <w:rPr>
                      <w:color w:val="auto"/>
                      <w:szCs w:val="21"/>
                    </w:rPr>
                  </w:pPr>
                  <w:r>
                    <w:rPr>
                      <w:color w:val="auto"/>
                      <w:szCs w:val="21"/>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PrEx>
              <w:trPr>
                <w:trHeight w:val="369" w:hRule="atLeast"/>
                <w:jc w:val="center"/>
              </w:trPr>
              <w:tc>
                <w:tcPr>
                  <w:tcW w:w="808" w:type="pct"/>
                  <w:vAlign w:val="center"/>
                </w:tcPr>
                <w:p>
                  <w:pPr>
                    <w:widowControl/>
                    <w:jc w:val="center"/>
                    <w:rPr>
                      <w:color w:val="auto"/>
                      <w:kern w:val="0"/>
                      <w:szCs w:val="21"/>
                    </w:rPr>
                  </w:pPr>
                  <w:r>
                    <w:rPr>
                      <w:rFonts w:hint="eastAsia"/>
                      <w:color w:val="auto"/>
                      <w:kern w:val="0"/>
                      <w:szCs w:val="21"/>
                    </w:rPr>
                    <w:t>混合搅拌装置</w:t>
                  </w:r>
                </w:p>
              </w:tc>
              <w:tc>
                <w:tcPr>
                  <w:tcW w:w="699" w:type="pct"/>
                  <w:vAlign w:val="center"/>
                </w:tcPr>
                <w:p>
                  <w:pPr>
                    <w:jc w:val="center"/>
                    <w:rPr>
                      <w:color w:val="auto"/>
                    </w:rPr>
                  </w:pPr>
                  <w:r>
                    <w:rPr>
                      <w:rFonts w:hint="eastAsia"/>
                      <w:color w:val="auto"/>
                    </w:rPr>
                    <w:t>48</w:t>
                  </w:r>
                </w:p>
              </w:tc>
              <w:tc>
                <w:tcPr>
                  <w:tcW w:w="437" w:type="pct"/>
                  <w:vAlign w:val="center"/>
                </w:tcPr>
                <w:p>
                  <w:pPr>
                    <w:jc w:val="center"/>
                    <w:rPr>
                      <w:color w:val="auto"/>
                      <w:szCs w:val="21"/>
                    </w:rPr>
                  </w:pPr>
                  <w:r>
                    <w:rPr>
                      <w:color w:val="auto"/>
                      <w:szCs w:val="21"/>
                    </w:rPr>
                    <w:t>16</w:t>
                  </w:r>
                </w:p>
              </w:tc>
              <w:tc>
                <w:tcPr>
                  <w:tcW w:w="523" w:type="pct"/>
                  <w:vAlign w:val="center"/>
                </w:tcPr>
                <w:p>
                  <w:pPr>
                    <w:jc w:val="center"/>
                    <w:rPr>
                      <w:color w:val="auto"/>
                      <w:szCs w:val="21"/>
                    </w:rPr>
                  </w:pPr>
                  <w:r>
                    <w:rPr>
                      <w:color w:val="auto"/>
                      <w:szCs w:val="21"/>
                    </w:rPr>
                    <w:t>117</w:t>
                  </w:r>
                </w:p>
              </w:tc>
              <w:tc>
                <w:tcPr>
                  <w:tcW w:w="524" w:type="pct"/>
                  <w:vAlign w:val="center"/>
                </w:tcPr>
                <w:p>
                  <w:pPr>
                    <w:jc w:val="center"/>
                    <w:rPr>
                      <w:color w:val="auto"/>
                      <w:szCs w:val="21"/>
                    </w:rPr>
                  </w:pPr>
                  <w:r>
                    <w:rPr>
                      <w:color w:val="auto"/>
                      <w:szCs w:val="21"/>
                    </w:rPr>
                    <w:t>177</w:t>
                  </w:r>
                </w:p>
              </w:tc>
              <w:tc>
                <w:tcPr>
                  <w:tcW w:w="524" w:type="pct"/>
                  <w:vAlign w:val="center"/>
                </w:tcPr>
                <w:p>
                  <w:pPr>
                    <w:jc w:val="center"/>
                    <w:rPr>
                      <w:color w:val="auto"/>
                      <w:szCs w:val="21"/>
                    </w:rPr>
                  </w:pPr>
                  <w:r>
                    <w:rPr>
                      <w:color w:val="auto"/>
                      <w:szCs w:val="21"/>
                    </w:rPr>
                    <w:t>9</w:t>
                  </w:r>
                </w:p>
              </w:tc>
              <w:tc>
                <w:tcPr>
                  <w:tcW w:w="524" w:type="pct"/>
                  <w:vAlign w:val="center"/>
                </w:tcPr>
                <w:p>
                  <w:pPr>
                    <w:jc w:val="center"/>
                    <w:rPr>
                      <w:color w:val="auto"/>
                      <w:szCs w:val="21"/>
                    </w:rPr>
                  </w:pPr>
                  <w:r>
                    <w:rPr>
                      <w:color w:val="auto"/>
                      <w:szCs w:val="21"/>
                    </w:rPr>
                    <w:t>183</w:t>
                  </w:r>
                </w:p>
              </w:tc>
              <w:tc>
                <w:tcPr>
                  <w:tcW w:w="524" w:type="pct"/>
                  <w:vAlign w:val="center"/>
                </w:tcPr>
                <w:p>
                  <w:pPr>
                    <w:jc w:val="center"/>
                    <w:rPr>
                      <w:color w:val="auto"/>
                      <w:szCs w:val="21"/>
                    </w:rPr>
                  </w:pPr>
                  <w:r>
                    <w:rPr>
                      <w:color w:val="auto"/>
                      <w:szCs w:val="21"/>
                    </w:rPr>
                    <w:t>123</w:t>
                  </w:r>
                </w:p>
              </w:tc>
              <w:tc>
                <w:tcPr>
                  <w:tcW w:w="437" w:type="pct"/>
                  <w:vAlign w:val="center"/>
                </w:tcPr>
                <w:p>
                  <w:pPr>
                    <w:jc w:val="center"/>
                    <w:rPr>
                      <w:color w:val="auto"/>
                      <w:szCs w:val="21"/>
                    </w:rPr>
                  </w:pPr>
                  <w:r>
                    <w:rPr>
                      <w:color w:val="auto"/>
                      <w:szCs w:val="21"/>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PrEx>
              <w:trPr>
                <w:trHeight w:val="369" w:hRule="atLeast"/>
                <w:jc w:val="center"/>
              </w:trPr>
              <w:tc>
                <w:tcPr>
                  <w:tcW w:w="808" w:type="pct"/>
                  <w:vAlign w:val="center"/>
                </w:tcPr>
                <w:p>
                  <w:pPr>
                    <w:widowControl/>
                    <w:jc w:val="center"/>
                    <w:rPr>
                      <w:color w:val="auto"/>
                      <w:szCs w:val="21"/>
                    </w:rPr>
                  </w:pPr>
                  <w:r>
                    <w:rPr>
                      <w:rFonts w:hint="eastAsia"/>
                      <w:color w:val="auto"/>
                      <w:szCs w:val="21"/>
                    </w:rPr>
                    <w:t>除尘系统风机</w:t>
                  </w:r>
                </w:p>
              </w:tc>
              <w:tc>
                <w:tcPr>
                  <w:tcW w:w="699" w:type="pct"/>
                  <w:vAlign w:val="center"/>
                </w:tcPr>
                <w:p>
                  <w:pPr>
                    <w:jc w:val="center"/>
                    <w:rPr>
                      <w:color w:val="auto"/>
                    </w:rPr>
                  </w:pPr>
                  <w:r>
                    <w:rPr>
                      <w:rFonts w:hint="eastAsia"/>
                      <w:color w:val="auto"/>
                    </w:rPr>
                    <w:t>48</w:t>
                  </w:r>
                </w:p>
              </w:tc>
              <w:tc>
                <w:tcPr>
                  <w:tcW w:w="437" w:type="pct"/>
                  <w:vAlign w:val="center"/>
                </w:tcPr>
                <w:p>
                  <w:pPr>
                    <w:jc w:val="center"/>
                    <w:rPr>
                      <w:color w:val="auto"/>
                      <w:szCs w:val="21"/>
                    </w:rPr>
                  </w:pPr>
                  <w:r>
                    <w:rPr>
                      <w:color w:val="auto"/>
                      <w:szCs w:val="21"/>
                    </w:rPr>
                    <w:t>16</w:t>
                  </w:r>
                </w:p>
              </w:tc>
              <w:tc>
                <w:tcPr>
                  <w:tcW w:w="523" w:type="pct"/>
                  <w:vAlign w:val="center"/>
                </w:tcPr>
                <w:p>
                  <w:pPr>
                    <w:jc w:val="center"/>
                    <w:rPr>
                      <w:color w:val="auto"/>
                      <w:szCs w:val="21"/>
                    </w:rPr>
                  </w:pPr>
                  <w:r>
                    <w:rPr>
                      <w:color w:val="auto"/>
                      <w:szCs w:val="21"/>
                    </w:rPr>
                    <w:t>117</w:t>
                  </w:r>
                </w:p>
              </w:tc>
              <w:tc>
                <w:tcPr>
                  <w:tcW w:w="524" w:type="pct"/>
                  <w:vAlign w:val="center"/>
                </w:tcPr>
                <w:p>
                  <w:pPr>
                    <w:jc w:val="center"/>
                    <w:rPr>
                      <w:color w:val="auto"/>
                      <w:szCs w:val="21"/>
                    </w:rPr>
                  </w:pPr>
                  <w:r>
                    <w:rPr>
                      <w:color w:val="auto"/>
                      <w:szCs w:val="21"/>
                    </w:rPr>
                    <w:t>177</w:t>
                  </w:r>
                </w:p>
              </w:tc>
              <w:tc>
                <w:tcPr>
                  <w:tcW w:w="524" w:type="pct"/>
                  <w:vAlign w:val="center"/>
                </w:tcPr>
                <w:p>
                  <w:pPr>
                    <w:jc w:val="center"/>
                    <w:rPr>
                      <w:color w:val="auto"/>
                      <w:szCs w:val="21"/>
                    </w:rPr>
                  </w:pPr>
                  <w:r>
                    <w:rPr>
                      <w:color w:val="auto"/>
                      <w:szCs w:val="21"/>
                    </w:rPr>
                    <w:t>9</w:t>
                  </w:r>
                </w:p>
              </w:tc>
              <w:tc>
                <w:tcPr>
                  <w:tcW w:w="524" w:type="pct"/>
                  <w:vAlign w:val="center"/>
                </w:tcPr>
                <w:p>
                  <w:pPr>
                    <w:jc w:val="center"/>
                    <w:rPr>
                      <w:color w:val="auto"/>
                      <w:szCs w:val="21"/>
                    </w:rPr>
                  </w:pPr>
                  <w:r>
                    <w:rPr>
                      <w:color w:val="auto"/>
                      <w:szCs w:val="21"/>
                    </w:rPr>
                    <w:t>183</w:t>
                  </w:r>
                </w:p>
              </w:tc>
              <w:tc>
                <w:tcPr>
                  <w:tcW w:w="524" w:type="pct"/>
                  <w:vAlign w:val="center"/>
                </w:tcPr>
                <w:p>
                  <w:pPr>
                    <w:jc w:val="center"/>
                    <w:rPr>
                      <w:color w:val="auto"/>
                      <w:szCs w:val="21"/>
                    </w:rPr>
                  </w:pPr>
                  <w:r>
                    <w:rPr>
                      <w:color w:val="auto"/>
                      <w:szCs w:val="21"/>
                    </w:rPr>
                    <w:t>123</w:t>
                  </w:r>
                </w:p>
              </w:tc>
              <w:tc>
                <w:tcPr>
                  <w:tcW w:w="437" w:type="pct"/>
                  <w:vAlign w:val="center"/>
                </w:tcPr>
                <w:p>
                  <w:pPr>
                    <w:jc w:val="center"/>
                    <w:rPr>
                      <w:color w:val="auto"/>
                      <w:szCs w:val="21"/>
                    </w:rPr>
                  </w:pPr>
                  <w:r>
                    <w:rPr>
                      <w:color w:val="auto"/>
                      <w:szCs w:val="21"/>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PrEx>
              <w:trPr>
                <w:trHeight w:val="369" w:hRule="atLeast"/>
                <w:jc w:val="center"/>
              </w:trPr>
              <w:tc>
                <w:tcPr>
                  <w:tcW w:w="808" w:type="pct"/>
                  <w:tcMar>
                    <w:left w:w="0" w:type="dxa"/>
                    <w:right w:w="0" w:type="dxa"/>
                  </w:tcMar>
                  <w:vAlign w:val="center"/>
                </w:tcPr>
                <w:p>
                  <w:pPr>
                    <w:jc w:val="center"/>
                    <w:rPr>
                      <w:color w:val="auto"/>
                      <w:szCs w:val="21"/>
                    </w:rPr>
                  </w:pPr>
                  <w:r>
                    <w:rPr>
                      <w:color w:val="auto"/>
                      <w:szCs w:val="21"/>
                    </w:rPr>
                    <w:t>缝线包装系统</w:t>
                  </w:r>
                </w:p>
              </w:tc>
              <w:tc>
                <w:tcPr>
                  <w:tcW w:w="699" w:type="pct"/>
                  <w:vAlign w:val="center"/>
                </w:tcPr>
                <w:p>
                  <w:pPr>
                    <w:jc w:val="center"/>
                    <w:rPr>
                      <w:color w:val="auto"/>
                    </w:rPr>
                  </w:pPr>
                  <w:r>
                    <w:rPr>
                      <w:rFonts w:hint="eastAsia"/>
                      <w:color w:val="auto"/>
                    </w:rPr>
                    <w:t>48</w:t>
                  </w:r>
                </w:p>
              </w:tc>
              <w:tc>
                <w:tcPr>
                  <w:tcW w:w="437" w:type="pct"/>
                  <w:vAlign w:val="center"/>
                </w:tcPr>
                <w:p>
                  <w:pPr>
                    <w:jc w:val="center"/>
                    <w:rPr>
                      <w:color w:val="auto"/>
                      <w:szCs w:val="21"/>
                    </w:rPr>
                  </w:pPr>
                  <w:r>
                    <w:rPr>
                      <w:color w:val="auto"/>
                      <w:szCs w:val="21"/>
                    </w:rPr>
                    <w:t>16</w:t>
                  </w:r>
                </w:p>
              </w:tc>
              <w:tc>
                <w:tcPr>
                  <w:tcW w:w="523" w:type="pct"/>
                  <w:vAlign w:val="center"/>
                </w:tcPr>
                <w:p>
                  <w:pPr>
                    <w:jc w:val="center"/>
                    <w:rPr>
                      <w:color w:val="auto"/>
                      <w:szCs w:val="21"/>
                    </w:rPr>
                  </w:pPr>
                  <w:r>
                    <w:rPr>
                      <w:color w:val="auto"/>
                      <w:szCs w:val="21"/>
                    </w:rPr>
                    <w:t>117</w:t>
                  </w:r>
                </w:p>
              </w:tc>
              <w:tc>
                <w:tcPr>
                  <w:tcW w:w="524" w:type="pct"/>
                  <w:vAlign w:val="center"/>
                </w:tcPr>
                <w:p>
                  <w:pPr>
                    <w:jc w:val="center"/>
                    <w:rPr>
                      <w:color w:val="auto"/>
                      <w:szCs w:val="21"/>
                    </w:rPr>
                  </w:pPr>
                  <w:r>
                    <w:rPr>
                      <w:color w:val="auto"/>
                      <w:szCs w:val="21"/>
                    </w:rPr>
                    <w:t>177</w:t>
                  </w:r>
                </w:p>
              </w:tc>
              <w:tc>
                <w:tcPr>
                  <w:tcW w:w="524" w:type="pct"/>
                  <w:vAlign w:val="center"/>
                </w:tcPr>
                <w:p>
                  <w:pPr>
                    <w:jc w:val="center"/>
                    <w:rPr>
                      <w:color w:val="auto"/>
                      <w:szCs w:val="21"/>
                    </w:rPr>
                  </w:pPr>
                  <w:r>
                    <w:rPr>
                      <w:color w:val="auto"/>
                      <w:szCs w:val="21"/>
                    </w:rPr>
                    <w:t>9</w:t>
                  </w:r>
                </w:p>
              </w:tc>
              <w:tc>
                <w:tcPr>
                  <w:tcW w:w="524" w:type="pct"/>
                  <w:vAlign w:val="center"/>
                </w:tcPr>
                <w:p>
                  <w:pPr>
                    <w:jc w:val="center"/>
                    <w:rPr>
                      <w:color w:val="auto"/>
                      <w:szCs w:val="21"/>
                    </w:rPr>
                  </w:pPr>
                  <w:r>
                    <w:rPr>
                      <w:color w:val="auto"/>
                      <w:szCs w:val="21"/>
                    </w:rPr>
                    <w:t>183</w:t>
                  </w:r>
                </w:p>
              </w:tc>
              <w:tc>
                <w:tcPr>
                  <w:tcW w:w="524" w:type="pct"/>
                  <w:vAlign w:val="center"/>
                </w:tcPr>
                <w:p>
                  <w:pPr>
                    <w:jc w:val="center"/>
                    <w:rPr>
                      <w:color w:val="auto"/>
                      <w:szCs w:val="21"/>
                    </w:rPr>
                  </w:pPr>
                  <w:r>
                    <w:rPr>
                      <w:color w:val="auto"/>
                      <w:szCs w:val="21"/>
                    </w:rPr>
                    <w:t>123</w:t>
                  </w:r>
                </w:p>
              </w:tc>
              <w:tc>
                <w:tcPr>
                  <w:tcW w:w="437" w:type="pct"/>
                  <w:vAlign w:val="center"/>
                </w:tcPr>
                <w:p>
                  <w:pPr>
                    <w:jc w:val="center"/>
                    <w:rPr>
                      <w:color w:val="auto"/>
                      <w:szCs w:val="21"/>
                    </w:rPr>
                  </w:pPr>
                  <w:r>
                    <w:rPr>
                      <w:color w:val="auto"/>
                      <w:szCs w:val="21"/>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69" w:hRule="atLeast"/>
                <w:jc w:val="center"/>
              </w:trPr>
              <w:tc>
                <w:tcPr>
                  <w:tcW w:w="808" w:type="pct"/>
                  <w:tcMar>
                    <w:left w:w="0" w:type="dxa"/>
                    <w:right w:w="0" w:type="dxa"/>
                  </w:tcMar>
                  <w:vAlign w:val="center"/>
                </w:tcPr>
                <w:p>
                  <w:pPr>
                    <w:jc w:val="center"/>
                    <w:rPr>
                      <w:color w:val="auto"/>
                      <w:szCs w:val="21"/>
                    </w:rPr>
                  </w:pPr>
                  <w:r>
                    <w:rPr>
                      <w:color w:val="auto"/>
                      <w:szCs w:val="21"/>
                    </w:rPr>
                    <w:t>码垛和缠膜系统</w:t>
                  </w:r>
                </w:p>
              </w:tc>
              <w:tc>
                <w:tcPr>
                  <w:tcW w:w="699" w:type="pct"/>
                  <w:vAlign w:val="center"/>
                </w:tcPr>
                <w:p>
                  <w:pPr>
                    <w:jc w:val="center"/>
                    <w:rPr>
                      <w:color w:val="auto"/>
                    </w:rPr>
                  </w:pPr>
                  <w:r>
                    <w:rPr>
                      <w:rFonts w:hint="eastAsia"/>
                      <w:color w:val="auto"/>
                    </w:rPr>
                    <w:t>48</w:t>
                  </w:r>
                </w:p>
              </w:tc>
              <w:tc>
                <w:tcPr>
                  <w:tcW w:w="437" w:type="pct"/>
                  <w:vAlign w:val="center"/>
                </w:tcPr>
                <w:p>
                  <w:pPr>
                    <w:jc w:val="center"/>
                    <w:rPr>
                      <w:color w:val="auto"/>
                      <w:szCs w:val="21"/>
                    </w:rPr>
                  </w:pPr>
                  <w:r>
                    <w:rPr>
                      <w:color w:val="auto"/>
                      <w:szCs w:val="21"/>
                    </w:rPr>
                    <w:t>16</w:t>
                  </w:r>
                </w:p>
              </w:tc>
              <w:tc>
                <w:tcPr>
                  <w:tcW w:w="523" w:type="pct"/>
                  <w:vAlign w:val="center"/>
                </w:tcPr>
                <w:p>
                  <w:pPr>
                    <w:jc w:val="center"/>
                    <w:rPr>
                      <w:color w:val="auto"/>
                      <w:szCs w:val="21"/>
                    </w:rPr>
                  </w:pPr>
                  <w:r>
                    <w:rPr>
                      <w:color w:val="auto"/>
                      <w:szCs w:val="21"/>
                    </w:rPr>
                    <w:t>117</w:t>
                  </w:r>
                </w:p>
              </w:tc>
              <w:tc>
                <w:tcPr>
                  <w:tcW w:w="524" w:type="pct"/>
                  <w:vAlign w:val="center"/>
                </w:tcPr>
                <w:p>
                  <w:pPr>
                    <w:jc w:val="center"/>
                    <w:rPr>
                      <w:color w:val="auto"/>
                      <w:szCs w:val="21"/>
                    </w:rPr>
                  </w:pPr>
                  <w:r>
                    <w:rPr>
                      <w:color w:val="auto"/>
                      <w:szCs w:val="21"/>
                    </w:rPr>
                    <w:t>177</w:t>
                  </w:r>
                </w:p>
              </w:tc>
              <w:tc>
                <w:tcPr>
                  <w:tcW w:w="524" w:type="pct"/>
                  <w:vAlign w:val="center"/>
                </w:tcPr>
                <w:p>
                  <w:pPr>
                    <w:jc w:val="center"/>
                    <w:rPr>
                      <w:color w:val="auto"/>
                      <w:szCs w:val="21"/>
                    </w:rPr>
                  </w:pPr>
                  <w:r>
                    <w:rPr>
                      <w:color w:val="auto"/>
                      <w:szCs w:val="21"/>
                    </w:rPr>
                    <w:t>9</w:t>
                  </w:r>
                </w:p>
              </w:tc>
              <w:tc>
                <w:tcPr>
                  <w:tcW w:w="524" w:type="pct"/>
                  <w:vAlign w:val="center"/>
                </w:tcPr>
                <w:p>
                  <w:pPr>
                    <w:jc w:val="center"/>
                    <w:rPr>
                      <w:color w:val="auto"/>
                      <w:szCs w:val="21"/>
                    </w:rPr>
                  </w:pPr>
                  <w:r>
                    <w:rPr>
                      <w:color w:val="auto"/>
                      <w:szCs w:val="21"/>
                    </w:rPr>
                    <w:t>183</w:t>
                  </w:r>
                </w:p>
              </w:tc>
              <w:tc>
                <w:tcPr>
                  <w:tcW w:w="524" w:type="pct"/>
                  <w:vAlign w:val="center"/>
                </w:tcPr>
                <w:p>
                  <w:pPr>
                    <w:jc w:val="center"/>
                    <w:rPr>
                      <w:color w:val="auto"/>
                      <w:szCs w:val="21"/>
                    </w:rPr>
                  </w:pPr>
                  <w:r>
                    <w:rPr>
                      <w:color w:val="auto"/>
                      <w:szCs w:val="21"/>
                    </w:rPr>
                    <w:t>123</w:t>
                  </w:r>
                </w:p>
              </w:tc>
              <w:tc>
                <w:tcPr>
                  <w:tcW w:w="437" w:type="pct"/>
                  <w:vAlign w:val="center"/>
                </w:tcPr>
                <w:p>
                  <w:pPr>
                    <w:jc w:val="center"/>
                    <w:rPr>
                      <w:color w:val="auto"/>
                      <w:szCs w:val="21"/>
                    </w:rPr>
                  </w:pPr>
                  <w:r>
                    <w:rPr>
                      <w:color w:val="auto"/>
                      <w:szCs w:val="21"/>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69" w:hRule="atLeast"/>
                <w:jc w:val="center"/>
              </w:trPr>
              <w:tc>
                <w:tcPr>
                  <w:tcW w:w="808" w:type="pct"/>
                  <w:tcMar>
                    <w:left w:w="0" w:type="dxa"/>
                    <w:right w:w="0" w:type="dxa"/>
                  </w:tcMar>
                  <w:vAlign w:val="center"/>
                </w:tcPr>
                <w:p>
                  <w:pPr>
                    <w:jc w:val="center"/>
                    <w:rPr>
                      <w:color w:val="auto"/>
                      <w:szCs w:val="21"/>
                    </w:rPr>
                  </w:pPr>
                  <w:r>
                    <w:rPr>
                      <w:color w:val="auto"/>
                      <w:szCs w:val="21"/>
                    </w:rPr>
                    <w:t>升降机</w:t>
                  </w:r>
                </w:p>
              </w:tc>
              <w:tc>
                <w:tcPr>
                  <w:tcW w:w="699" w:type="pct"/>
                  <w:vAlign w:val="center"/>
                </w:tcPr>
                <w:p>
                  <w:pPr>
                    <w:jc w:val="center"/>
                    <w:rPr>
                      <w:color w:val="auto"/>
                    </w:rPr>
                  </w:pPr>
                  <w:r>
                    <w:rPr>
                      <w:rFonts w:hint="eastAsia"/>
                      <w:color w:val="auto"/>
                    </w:rPr>
                    <w:t>43</w:t>
                  </w:r>
                </w:p>
              </w:tc>
              <w:tc>
                <w:tcPr>
                  <w:tcW w:w="437" w:type="pct"/>
                  <w:vAlign w:val="center"/>
                </w:tcPr>
                <w:p>
                  <w:pPr>
                    <w:jc w:val="center"/>
                    <w:rPr>
                      <w:color w:val="auto"/>
                      <w:szCs w:val="21"/>
                    </w:rPr>
                  </w:pPr>
                  <w:r>
                    <w:rPr>
                      <w:color w:val="auto"/>
                      <w:szCs w:val="21"/>
                    </w:rPr>
                    <w:t>16</w:t>
                  </w:r>
                </w:p>
              </w:tc>
              <w:tc>
                <w:tcPr>
                  <w:tcW w:w="523" w:type="pct"/>
                  <w:vAlign w:val="center"/>
                </w:tcPr>
                <w:p>
                  <w:pPr>
                    <w:jc w:val="center"/>
                    <w:rPr>
                      <w:color w:val="auto"/>
                      <w:szCs w:val="21"/>
                    </w:rPr>
                  </w:pPr>
                  <w:r>
                    <w:rPr>
                      <w:color w:val="auto"/>
                      <w:szCs w:val="21"/>
                    </w:rPr>
                    <w:t>117</w:t>
                  </w:r>
                </w:p>
              </w:tc>
              <w:tc>
                <w:tcPr>
                  <w:tcW w:w="524" w:type="pct"/>
                  <w:vAlign w:val="center"/>
                </w:tcPr>
                <w:p>
                  <w:pPr>
                    <w:jc w:val="center"/>
                    <w:rPr>
                      <w:color w:val="auto"/>
                      <w:szCs w:val="21"/>
                    </w:rPr>
                  </w:pPr>
                  <w:r>
                    <w:rPr>
                      <w:color w:val="auto"/>
                      <w:szCs w:val="21"/>
                    </w:rPr>
                    <w:t>177</w:t>
                  </w:r>
                </w:p>
              </w:tc>
              <w:tc>
                <w:tcPr>
                  <w:tcW w:w="524" w:type="pct"/>
                  <w:vAlign w:val="center"/>
                </w:tcPr>
                <w:p>
                  <w:pPr>
                    <w:jc w:val="center"/>
                    <w:rPr>
                      <w:color w:val="auto"/>
                      <w:szCs w:val="21"/>
                    </w:rPr>
                  </w:pPr>
                  <w:r>
                    <w:rPr>
                      <w:color w:val="auto"/>
                      <w:szCs w:val="21"/>
                    </w:rPr>
                    <w:t>9</w:t>
                  </w:r>
                </w:p>
              </w:tc>
              <w:tc>
                <w:tcPr>
                  <w:tcW w:w="524" w:type="pct"/>
                  <w:vAlign w:val="center"/>
                </w:tcPr>
                <w:p>
                  <w:pPr>
                    <w:jc w:val="center"/>
                    <w:rPr>
                      <w:color w:val="auto"/>
                      <w:szCs w:val="21"/>
                    </w:rPr>
                  </w:pPr>
                  <w:r>
                    <w:rPr>
                      <w:color w:val="auto"/>
                      <w:szCs w:val="21"/>
                    </w:rPr>
                    <w:t>183</w:t>
                  </w:r>
                </w:p>
              </w:tc>
              <w:tc>
                <w:tcPr>
                  <w:tcW w:w="524" w:type="pct"/>
                  <w:vAlign w:val="center"/>
                </w:tcPr>
                <w:p>
                  <w:pPr>
                    <w:jc w:val="center"/>
                    <w:rPr>
                      <w:color w:val="auto"/>
                      <w:szCs w:val="21"/>
                    </w:rPr>
                  </w:pPr>
                  <w:r>
                    <w:rPr>
                      <w:color w:val="auto"/>
                      <w:szCs w:val="21"/>
                    </w:rPr>
                    <w:t>123</w:t>
                  </w:r>
                </w:p>
              </w:tc>
              <w:tc>
                <w:tcPr>
                  <w:tcW w:w="437" w:type="pct"/>
                  <w:vAlign w:val="center"/>
                </w:tcPr>
                <w:p>
                  <w:pPr>
                    <w:jc w:val="center"/>
                    <w:rPr>
                      <w:color w:val="auto"/>
                      <w:szCs w:val="21"/>
                    </w:rPr>
                  </w:pPr>
                  <w:r>
                    <w:rPr>
                      <w:color w:val="auto"/>
                      <w:szCs w:val="21"/>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0" w:type="dxa"/>
                  <w:bottom w:w="0" w:type="dxa"/>
                  <w:right w:w="0" w:type="dxa"/>
                </w:tblCellMar>
              </w:tblPrEx>
              <w:trPr>
                <w:trHeight w:val="369" w:hRule="atLeast"/>
                <w:jc w:val="center"/>
              </w:trPr>
              <w:tc>
                <w:tcPr>
                  <w:tcW w:w="808" w:type="pct"/>
                  <w:tcMar>
                    <w:left w:w="0" w:type="dxa"/>
                    <w:right w:w="0" w:type="dxa"/>
                  </w:tcMar>
                  <w:vAlign w:val="center"/>
                </w:tcPr>
                <w:p>
                  <w:pPr>
                    <w:jc w:val="center"/>
                    <w:rPr>
                      <w:color w:val="auto"/>
                      <w:szCs w:val="21"/>
                    </w:rPr>
                  </w:pPr>
                  <w:r>
                    <w:rPr>
                      <w:color w:val="auto"/>
                      <w:szCs w:val="21"/>
                    </w:rPr>
                    <w:t>叉车</w:t>
                  </w:r>
                </w:p>
              </w:tc>
              <w:tc>
                <w:tcPr>
                  <w:tcW w:w="699" w:type="pct"/>
                  <w:vAlign w:val="center"/>
                </w:tcPr>
                <w:p>
                  <w:pPr>
                    <w:jc w:val="center"/>
                    <w:rPr>
                      <w:color w:val="auto"/>
                    </w:rPr>
                  </w:pPr>
                  <w:r>
                    <w:rPr>
                      <w:rFonts w:hint="eastAsia"/>
                      <w:color w:val="auto"/>
                    </w:rPr>
                    <w:t>57</w:t>
                  </w:r>
                </w:p>
              </w:tc>
              <w:tc>
                <w:tcPr>
                  <w:tcW w:w="437" w:type="pct"/>
                  <w:vAlign w:val="center"/>
                </w:tcPr>
                <w:p>
                  <w:pPr>
                    <w:jc w:val="center"/>
                    <w:rPr>
                      <w:color w:val="auto"/>
                      <w:szCs w:val="21"/>
                    </w:rPr>
                  </w:pPr>
                  <w:r>
                    <w:rPr>
                      <w:color w:val="auto"/>
                      <w:szCs w:val="21"/>
                    </w:rPr>
                    <w:t>16</w:t>
                  </w:r>
                </w:p>
              </w:tc>
              <w:tc>
                <w:tcPr>
                  <w:tcW w:w="523" w:type="pct"/>
                  <w:vAlign w:val="center"/>
                </w:tcPr>
                <w:p>
                  <w:pPr>
                    <w:jc w:val="center"/>
                    <w:rPr>
                      <w:color w:val="auto"/>
                      <w:szCs w:val="21"/>
                    </w:rPr>
                  </w:pPr>
                  <w:r>
                    <w:rPr>
                      <w:color w:val="auto"/>
                      <w:szCs w:val="21"/>
                    </w:rPr>
                    <w:t>117</w:t>
                  </w:r>
                </w:p>
              </w:tc>
              <w:tc>
                <w:tcPr>
                  <w:tcW w:w="524" w:type="pct"/>
                  <w:vAlign w:val="center"/>
                </w:tcPr>
                <w:p>
                  <w:pPr>
                    <w:jc w:val="center"/>
                    <w:rPr>
                      <w:color w:val="auto"/>
                      <w:szCs w:val="21"/>
                    </w:rPr>
                  </w:pPr>
                  <w:r>
                    <w:rPr>
                      <w:color w:val="auto"/>
                      <w:szCs w:val="21"/>
                    </w:rPr>
                    <w:t>177</w:t>
                  </w:r>
                </w:p>
              </w:tc>
              <w:tc>
                <w:tcPr>
                  <w:tcW w:w="524" w:type="pct"/>
                  <w:vAlign w:val="center"/>
                </w:tcPr>
                <w:p>
                  <w:pPr>
                    <w:jc w:val="center"/>
                    <w:rPr>
                      <w:color w:val="auto"/>
                      <w:szCs w:val="21"/>
                    </w:rPr>
                  </w:pPr>
                  <w:r>
                    <w:rPr>
                      <w:color w:val="auto"/>
                      <w:szCs w:val="21"/>
                    </w:rPr>
                    <w:t>9</w:t>
                  </w:r>
                </w:p>
              </w:tc>
              <w:tc>
                <w:tcPr>
                  <w:tcW w:w="524" w:type="pct"/>
                  <w:vAlign w:val="center"/>
                </w:tcPr>
                <w:p>
                  <w:pPr>
                    <w:jc w:val="center"/>
                    <w:rPr>
                      <w:color w:val="auto"/>
                      <w:szCs w:val="21"/>
                    </w:rPr>
                  </w:pPr>
                  <w:r>
                    <w:rPr>
                      <w:color w:val="auto"/>
                      <w:szCs w:val="21"/>
                    </w:rPr>
                    <w:t>183</w:t>
                  </w:r>
                </w:p>
              </w:tc>
              <w:tc>
                <w:tcPr>
                  <w:tcW w:w="524" w:type="pct"/>
                  <w:vAlign w:val="center"/>
                </w:tcPr>
                <w:p>
                  <w:pPr>
                    <w:jc w:val="center"/>
                    <w:rPr>
                      <w:color w:val="auto"/>
                      <w:szCs w:val="21"/>
                    </w:rPr>
                  </w:pPr>
                  <w:r>
                    <w:rPr>
                      <w:color w:val="auto"/>
                      <w:szCs w:val="21"/>
                    </w:rPr>
                    <w:t>123</w:t>
                  </w:r>
                </w:p>
              </w:tc>
              <w:tc>
                <w:tcPr>
                  <w:tcW w:w="437" w:type="pct"/>
                  <w:vAlign w:val="center"/>
                </w:tcPr>
                <w:p>
                  <w:pPr>
                    <w:jc w:val="center"/>
                    <w:rPr>
                      <w:color w:val="auto"/>
                      <w:szCs w:val="21"/>
                    </w:rPr>
                  </w:pPr>
                  <w:r>
                    <w:rPr>
                      <w:color w:val="auto"/>
                      <w:szCs w:val="21"/>
                    </w:rPr>
                    <w:t>53</w:t>
                  </w:r>
                </w:p>
              </w:tc>
            </w:tr>
          </w:tbl>
          <w:p>
            <w:pPr>
              <w:spacing w:before="120" w:beforeLines="50" w:line="360" w:lineRule="auto"/>
              <w:ind w:firstLine="480" w:firstLineChars="200"/>
              <w:rPr>
                <w:color w:val="auto"/>
                <w:sz w:val="24"/>
                <w:szCs w:val="20"/>
              </w:rPr>
            </w:pPr>
            <w:r>
              <w:rPr>
                <w:color w:val="auto"/>
                <w:sz w:val="24"/>
                <w:szCs w:val="20"/>
              </w:rPr>
              <w:fldChar w:fldCharType="begin"/>
            </w:r>
            <w:r>
              <w:rPr>
                <w:color w:val="auto"/>
                <w:sz w:val="24"/>
                <w:szCs w:val="20"/>
              </w:rPr>
              <w:instrText xml:space="preserve"> </w:instrText>
            </w:r>
            <w:r>
              <w:rPr>
                <w:rFonts w:hint="eastAsia"/>
                <w:color w:val="auto"/>
                <w:sz w:val="24"/>
                <w:szCs w:val="20"/>
              </w:rPr>
              <w:instrText xml:space="preserve">= 7 \* GB3</w:instrText>
            </w:r>
            <w:r>
              <w:rPr>
                <w:color w:val="auto"/>
                <w:sz w:val="24"/>
                <w:szCs w:val="20"/>
              </w:rPr>
              <w:instrText xml:space="preserve"> </w:instrText>
            </w:r>
            <w:r>
              <w:rPr>
                <w:color w:val="auto"/>
                <w:sz w:val="24"/>
                <w:szCs w:val="20"/>
              </w:rPr>
              <w:fldChar w:fldCharType="separate"/>
            </w:r>
            <w:r>
              <w:rPr>
                <w:rFonts w:hint="eastAsia"/>
                <w:color w:val="auto"/>
                <w:sz w:val="24"/>
                <w:szCs w:val="20"/>
              </w:rPr>
              <w:t>⑦</w:t>
            </w:r>
            <w:r>
              <w:rPr>
                <w:color w:val="auto"/>
                <w:sz w:val="24"/>
                <w:szCs w:val="20"/>
              </w:rPr>
              <w:fldChar w:fldCharType="end"/>
            </w:r>
            <w:r>
              <w:rPr>
                <w:color w:val="auto"/>
                <w:sz w:val="24"/>
                <w:szCs w:val="20"/>
              </w:rPr>
              <w:t>预测结果</w:t>
            </w:r>
          </w:p>
          <w:p>
            <w:pPr>
              <w:spacing w:line="360" w:lineRule="auto"/>
              <w:ind w:firstLine="480" w:firstLineChars="200"/>
              <w:jc w:val="left"/>
              <w:rPr>
                <w:color w:val="auto"/>
                <w:sz w:val="24"/>
              </w:rPr>
            </w:pPr>
            <w:r>
              <w:rPr>
                <w:rFonts w:hint="eastAsia"/>
                <w:color w:val="auto"/>
                <w:sz w:val="24"/>
              </w:rPr>
              <w:t>本项目噪声</w:t>
            </w:r>
            <w:r>
              <w:rPr>
                <w:color w:val="auto"/>
                <w:sz w:val="24"/>
              </w:rPr>
              <w:t>预测结果见表</w:t>
            </w:r>
            <w:r>
              <w:rPr>
                <w:rFonts w:hint="eastAsia"/>
                <w:color w:val="auto"/>
                <w:sz w:val="24"/>
              </w:rPr>
              <w:t>4-17</w:t>
            </w:r>
            <w:r>
              <w:rPr>
                <w:color w:val="auto"/>
                <w:sz w:val="24"/>
              </w:rPr>
              <w:t>。</w:t>
            </w:r>
          </w:p>
          <w:p>
            <w:pPr>
              <w:widowControl/>
              <w:jc w:val="center"/>
              <w:rPr>
                <w:rFonts w:hAnsi="宋体"/>
                <w:b/>
                <w:color w:val="auto"/>
                <w:kern w:val="0"/>
                <w:sz w:val="24"/>
                <w:szCs w:val="20"/>
              </w:rPr>
            </w:pPr>
            <w:r>
              <w:rPr>
                <w:rFonts w:hAnsi="宋体"/>
                <w:b/>
                <w:color w:val="auto"/>
                <w:kern w:val="0"/>
                <w:sz w:val="24"/>
                <w:szCs w:val="20"/>
              </w:rPr>
              <w:t>表</w:t>
            </w:r>
            <w:r>
              <w:rPr>
                <w:rFonts w:hint="eastAsia" w:hAnsi="宋体"/>
                <w:b/>
                <w:color w:val="auto"/>
                <w:kern w:val="0"/>
                <w:sz w:val="24"/>
                <w:szCs w:val="20"/>
              </w:rPr>
              <w:t>4-17</w:t>
            </w:r>
            <w:r>
              <w:rPr>
                <w:rFonts w:hAnsi="宋体"/>
                <w:b/>
                <w:color w:val="auto"/>
                <w:kern w:val="0"/>
                <w:sz w:val="24"/>
                <w:szCs w:val="20"/>
              </w:rPr>
              <w:t xml:space="preserve"> </w:t>
            </w:r>
            <w:r>
              <w:rPr>
                <w:rFonts w:hint="eastAsia" w:hAnsi="宋体"/>
                <w:b/>
                <w:color w:val="auto"/>
                <w:kern w:val="0"/>
                <w:sz w:val="24"/>
                <w:szCs w:val="20"/>
              </w:rPr>
              <w:t xml:space="preserve"> </w:t>
            </w:r>
            <w:r>
              <w:rPr>
                <w:rFonts w:hAnsi="宋体"/>
                <w:b/>
                <w:color w:val="auto"/>
                <w:kern w:val="0"/>
                <w:sz w:val="24"/>
                <w:szCs w:val="20"/>
              </w:rPr>
              <w:t xml:space="preserve"> 项目噪声预测结果    单位：dB（A）</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384"/>
              <w:gridCol w:w="842"/>
              <w:gridCol w:w="843"/>
              <w:gridCol w:w="843"/>
              <w:gridCol w:w="844"/>
              <w:gridCol w:w="843"/>
              <w:gridCol w:w="844"/>
              <w:gridCol w:w="843"/>
              <w:gridCol w:w="83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53" w:type="pct"/>
                  <w:vMerge w:val="restart"/>
                  <w:vAlign w:val="center"/>
                </w:tcPr>
                <w:p>
                  <w:pPr>
                    <w:spacing w:line="320" w:lineRule="exact"/>
                    <w:jc w:val="center"/>
                    <w:rPr>
                      <w:color w:val="auto"/>
                      <w:szCs w:val="21"/>
                    </w:rPr>
                  </w:pPr>
                  <w:r>
                    <w:rPr>
                      <w:color w:val="auto"/>
                      <w:szCs w:val="21"/>
                    </w:rPr>
                    <w:t>预测点</w:t>
                  </w:r>
                </w:p>
              </w:tc>
              <w:tc>
                <w:tcPr>
                  <w:tcW w:w="1038" w:type="pct"/>
                  <w:gridSpan w:val="2"/>
                  <w:vAlign w:val="center"/>
                </w:tcPr>
                <w:p>
                  <w:pPr>
                    <w:spacing w:line="320" w:lineRule="exact"/>
                    <w:jc w:val="center"/>
                    <w:rPr>
                      <w:color w:val="auto"/>
                      <w:szCs w:val="21"/>
                    </w:rPr>
                  </w:pPr>
                  <w:r>
                    <w:rPr>
                      <w:color w:val="auto"/>
                      <w:szCs w:val="21"/>
                    </w:rPr>
                    <w:t>贡献值dB（A）</w:t>
                  </w:r>
                </w:p>
              </w:tc>
              <w:tc>
                <w:tcPr>
                  <w:tcW w:w="1039" w:type="pct"/>
                  <w:gridSpan w:val="2"/>
                  <w:vAlign w:val="center"/>
                </w:tcPr>
                <w:p>
                  <w:pPr>
                    <w:spacing w:line="320" w:lineRule="exact"/>
                    <w:jc w:val="center"/>
                    <w:rPr>
                      <w:color w:val="auto"/>
                      <w:szCs w:val="21"/>
                    </w:rPr>
                  </w:pPr>
                  <w:r>
                    <w:rPr>
                      <w:color w:val="auto"/>
                      <w:szCs w:val="21"/>
                    </w:rPr>
                    <w:t>背景值dB（A）</w:t>
                  </w:r>
                </w:p>
              </w:tc>
              <w:tc>
                <w:tcPr>
                  <w:tcW w:w="1039" w:type="pct"/>
                  <w:gridSpan w:val="2"/>
                  <w:vAlign w:val="center"/>
                </w:tcPr>
                <w:p>
                  <w:pPr>
                    <w:spacing w:line="320" w:lineRule="exact"/>
                    <w:jc w:val="center"/>
                    <w:rPr>
                      <w:color w:val="auto"/>
                      <w:szCs w:val="21"/>
                    </w:rPr>
                  </w:pPr>
                  <w:r>
                    <w:rPr>
                      <w:color w:val="auto"/>
                      <w:szCs w:val="21"/>
                    </w:rPr>
                    <w:t>预测值dB（A）</w:t>
                  </w:r>
                </w:p>
              </w:tc>
              <w:tc>
                <w:tcPr>
                  <w:tcW w:w="1031" w:type="pct"/>
                  <w:gridSpan w:val="2"/>
                  <w:vAlign w:val="center"/>
                </w:tcPr>
                <w:p>
                  <w:pPr>
                    <w:spacing w:line="320" w:lineRule="exact"/>
                    <w:jc w:val="center"/>
                    <w:rPr>
                      <w:color w:val="auto"/>
                      <w:szCs w:val="21"/>
                    </w:rPr>
                  </w:pPr>
                  <w:r>
                    <w:rPr>
                      <w:color w:val="auto"/>
                      <w:szCs w:val="21"/>
                    </w:rPr>
                    <w:t>达标情况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53" w:type="pct"/>
                  <w:vMerge w:val="continue"/>
                  <w:vAlign w:val="center"/>
                </w:tcPr>
                <w:p>
                  <w:pPr>
                    <w:spacing w:line="320" w:lineRule="exact"/>
                    <w:jc w:val="center"/>
                    <w:rPr>
                      <w:color w:val="auto"/>
                      <w:szCs w:val="21"/>
                    </w:rPr>
                  </w:pPr>
                </w:p>
              </w:tc>
              <w:tc>
                <w:tcPr>
                  <w:tcW w:w="519" w:type="pct"/>
                  <w:vAlign w:val="center"/>
                </w:tcPr>
                <w:p>
                  <w:pPr>
                    <w:spacing w:line="320" w:lineRule="exact"/>
                    <w:jc w:val="center"/>
                    <w:rPr>
                      <w:color w:val="auto"/>
                      <w:szCs w:val="21"/>
                    </w:rPr>
                  </w:pPr>
                  <w:r>
                    <w:rPr>
                      <w:color w:val="auto"/>
                      <w:szCs w:val="21"/>
                    </w:rPr>
                    <w:t>昼间</w:t>
                  </w:r>
                </w:p>
              </w:tc>
              <w:tc>
                <w:tcPr>
                  <w:tcW w:w="519" w:type="pct"/>
                  <w:vAlign w:val="center"/>
                </w:tcPr>
                <w:p>
                  <w:pPr>
                    <w:spacing w:line="320" w:lineRule="exact"/>
                    <w:jc w:val="center"/>
                    <w:rPr>
                      <w:color w:val="auto"/>
                      <w:szCs w:val="21"/>
                    </w:rPr>
                  </w:pPr>
                  <w:r>
                    <w:rPr>
                      <w:color w:val="auto"/>
                      <w:szCs w:val="21"/>
                    </w:rPr>
                    <w:t>夜间</w:t>
                  </w:r>
                </w:p>
              </w:tc>
              <w:tc>
                <w:tcPr>
                  <w:tcW w:w="519" w:type="pct"/>
                  <w:vAlign w:val="center"/>
                </w:tcPr>
                <w:p>
                  <w:pPr>
                    <w:spacing w:line="320" w:lineRule="exact"/>
                    <w:jc w:val="center"/>
                    <w:rPr>
                      <w:color w:val="auto"/>
                      <w:szCs w:val="21"/>
                    </w:rPr>
                  </w:pPr>
                  <w:r>
                    <w:rPr>
                      <w:color w:val="auto"/>
                      <w:szCs w:val="21"/>
                    </w:rPr>
                    <w:t>昼间</w:t>
                  </w:r>
                </w:p>
              </w:tc>
              <w:tc>
                <w:tcPr>
                  <w:tcW w:w="520" w:type="pct"/>
                  <w:vAlign w:val="center"/>
                </w:tcPr>
                <w:p>
                  <w:pPr>
                    <w:spacing w:line="320" w:lineRule="exact"/>
                    <w:jc w:val="center"/>
                    <w:rPr>
                      <w:color w:val="auto"/>
                      <w:szCs w:val="21"/>
                    </w:rPr>
                  </w:pPr>
                  <w:r>
                    <w:rPr>
                      <w:color w:val="auto"/>
                      <w:szCs w:val="21"/>
                    </w:rPr>
                    <w:t>夜间</w:t>
                  </w:r>
                </w:p>
              </w:tc>
              <w:tc>
                <w:tcPr>
                  <w:tcW w:w="519" w:type="pct"/>
                  <w:vAlign w:val="center"/>
                </w:tcPr>
                <w:p>
                  <w:pPr>
                    <w:spacing w:line="320" w:lineRule="exact"/>
                    <w:jc w:val="center"/>
                    <w:rPr>
                      <w:color w:val="auto"/>
                      <w:szCs w:val="21"/>
                    </w:rPr>
                  </w:pPr>
                  <w:r>
                    <w:rPr>
                      <w:color w:val="auto"/>
                      <w:szCs w:val="21"/>
                    </w:rPr>
                    <w:t>昼间</w:t>
                  </w:r>
                </w:p>
              </w:tc>
              <w:tc>
                <w:tcPr>
                  <w:tcW w:w="520" w:type="pct"/>
                  <w:vAlign w:val="center"/>
                </w:tcPr>
                <w:p>
                  <w:pPr>
                    <w:spacing w:line="320" w:lineRule="exact"/>
                    <w:jc w:val="center"/>
                    <w:rPr>
                      <w:color w:val="auto"/>
                      <w:szCs w:val="21"/>
                    </w:rPr>
                  </w:pPr>
                  <w:r>
                    <w:rPr>
                      <w:color w:val="auto"/>
                      <w:szCs w:val="21"/>
                    </w:rPr>
                    <w:t>夜间</w:t>
                  </w:r>
                </w:p>
              </w:tc>
              <w:tc>
                <w:tcPr>
                  <w:tcW w:w="519" w:type="pct"/>
                  <w:vAlign w:val="center"/>
                </w:tcPr>
                <w:p>
                  <w:pPr>
                    <w:spacing w:line="320" w:lineRule="exact"/>
                    <w:jc w:val="center"/>
                    <w:rPr>
                      <w:color w:val="auto"/>
                      <w:szCs w:val="21"/>
                    </w:rPr>
                  </w:pPr>
                  <w:r>
                    <w:rPr>
                      <w:color w:val="auto"/>
                      <w:szCs w:val="21"/>
                    </w:rPr>
                    <w:t>昼间</w:t>
                  </w:r>
                </w:p>
              </w:tc>
              <w:tc>
                <w:tcPr>
                  <w:tcW w:w="512" w:type="pct"/>
                  <w:vAlign w:val="center"/>
                </w:tcPr>
                <w:p>
                  <w:pPr>
                    <w:spacing w:line="320" w:lineRule="exact"/>
                    <w:jc w:val="center"/>
                    <w:rPr>
                      <w:color w:val="auto"/>
                      <w:szCs w:val="21"/>
                    </w:rPr>
                  </w:pPr>
                  <w:r>
                    <w:rPr>
                      <w:color w:val="auto"/>
                      <w:szCs w:val="21"/>
                    </w:rPr>
                    <w:t>夜间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853" w:type="pct"/>
                  <w:vAlign w:val="center"/>
                </w:tcPr>
                <w:p>
                  <w:pPr>
                    <w:widowControl/>
                    <w:spacing w:line="320" w:lineRule="exact"/>
                    <w:jc w:val="center"/>
                    <w:rPr>
                      <w:color w:val="auto"/>
                      <w:kern w:val="0"/>
                      <w:szCs w:val="21"/>
                    </w:rPr>
                  </w:pPr>
                  <w:r>
                    <w:rPr>
                      <w:color w:val="auto"/>
                      <w:szCs w:val="21"/>
                    </w:rPr>
                    <w:t>东厂界</w:t>
                  </w:r>
                </w:p>
              </w:tc>
              <w:tc>
                <w:tcPr>
                  <w:tcW w:w="519" w:type="pct"/>
                  <w:vAlign w:val="center"/>
                </w:tcPr>
                <w:p>
                  <w:pPr>
                    <w:jc w:val="center"/>
                    <w:rPr>
                      <w:color w:val="auto"/>
                      <w:szCs w:val="21"/>
                    </w:rPr>
                  </w:pPr>
                  <w:r>
                    <w:rPr>
                      <w:rFonts w:hint="eastAsia"/>
                      <w:color w:val="auto"/>
                      <w:szCs w:val="21"/>
                    </w:rPr>
                    <w:t>38</w:t>
                  </w:r>
                </w:p>
              </w:tc>
              <w:tc>
                <w:tcPr>
                  <w:tcW w:w="519" w:type="pct"/>
                  <w:vAlign w:val="center"/>
                </w:tcPr>
                <w:p>
                  <w:pPr>
                    <w:jc w:val="center"/>
                    <w:rPr>
                      <w:color w:val="auto"/>
                      <w:szCs w:val="21"/>
                    </w:rPr>
                  </w:pPr>
                  <w:r>
                    <w:rPr>
                      <w:rFonts w:hint="eastAsia"/>
                      <w:color w:val="auto"/>
                      <w:szCs w:val="21"/>
                    </w:rPr>
                    <w:t>38</w:t>
                  </w:r>
                </w:p>
              </w:tc>
              <w:tc>
                <w:tcPr>
                  <w:tcW w:w="519" w:type="pct"/>
                  <w:vAlign w:val="center"/>
                </w:tcPr>
                <w:p>
                  <w:pPr>
                    <w:autoSpaceDE w:val="0"/>
                    <w:jc w:val="center"/>
                    <w:rPr>
                      <w:color w:val="auto"/>
                      <w:szCs w:val="21"/>
                    </w:rPr>
                  </w:pPr>
                  <w:r>
                    <w:rPr>
                      <w:rFonts w:hint="eastAsia"/>
                      <w:color w:val="auto"/>
                      <w:szCs w:val="21"/>
                    </w:rPr>
                    <w:t>49</w:t>
                  </w:r>
                </w:p>
              </w:tc>
              <w:tc>
                <w:tcPr>
                  <w:tcW w:w="520" w:type="pct"/>
                  <w:vAlign w:val="center"/>
                </w:tcPr>
                <w:p>
                  <w:pPr>
                    <w:autoSpaceDE w:val="0"/>
                    <w:jc w:val="center"/>
                    <w:rPr>
                      <w:color w:val="auto"/>
                      <w:szCs w:val="21"/>
                    </w:rPr>
                  </w:pPr>
                  <w:r>
                    <w:rPr>
                      <w:rFonts w:hint="eastAsia"/>
                      <w:color w:val="auto"/>
                      <w:szCs w:val="21"/>
                    </w:rPr>
                    <w:t>41</w:t>
                  </w:r>
                </w:p>
              </w:tc>
              <w:tc>
                <w:tcPr>
                  <w:tcW w:w="519" w:type="pct"/>
                  <w:vAlign w:val="center"/>
                </w:tcPr>
                <w:p>
                  <w:pPr>
                    <w:jc w:val="center"/>
                    <w:rPr>
                      <w:color w:val="auto"/>
                      <w:szCs w:val="21"/>
                    </w:rPr>
                  </w:pPr>
                  <w:r>
                    <w:rPr>
                      <w:rFonts w:hint="eastAsia"/>
                      <w:color w:val="auto"/>
                      <w:szCs w:val="21"/>
                    </w:rPr>
                    <w:t>38</w:t>
                  </w:r>
                </w:p>
              </w:tc>
              <w:tc>
                <w:tcPr>
                  <w:tcW w:w="520" w:type="pct"/>
                  <w:vAlign w:val="center"/>
                </w:tcPr>
                <w:p>
                  <w:pPr>
                    <w:jc w:val="center"/>
                    <w:rPr>
                      <w:color w:val="auto"/>
                      <w:szCs w:val="21"/>
                    </w:rPr>
                  </w:pPr>
                  <w:r>
                    <w:rPr>
                      <w:rFonts w:hint="eastAsia"/>
                      <w:color w:val="auto"/>
                      <w:szCs w:val="21"/>
                    </w:rPr>
                    <w:t>38</w:t>
                  </w:r>
                </w:p>
              </w:tc>
              <w:tc>
                <w:tcPr>
                  <w:tcW w:w="519" w:type="pct"/>
                  <w:vAlign w:val="center"/>
                </w:tcPr>
                <w:p>
                  <w:pPr>
                    <w:spacing w:line="320" w:lineRule="exact"/>
                    <w:jc w:val="center"/>
                    <w:rPr>
                      <w:color w:val="auto"/>
                      <w:kern w:val="0"/>
                      <w:szCs w:val="21"/>
                    </w:rPr>
                  </w:pPr>
                  <w:r>
                    <w:rPr>
                      <w:color w:val="auto"/>
                      <w:kern w:val="0"/>
                      <w:szCs w:val="21"/>
                    </w:rPr>
                    <w:t>达标</w:t>
                  </w:r>
                </w:p>
              </w:tc>
              <w:tc>
                <w:tcPr>
                  <w:tcW w:w="512" w:type="pct"/>
                  <w:vAlign w:val="center"/>
                </w:tcPr>
                <w:p>
                  <w:pPr>
                    <w:spacing w:line="320" w:lineRule="exact"/>
                    <w:jc w:val="center"/>
                    <w:rPr>
                      <w:color w:val="auto"/>
                      <w:szCs w:val="21"/>
                    </w:rPr>
                  </w:pPr>
                  <w:r>
                    <w:rPr>
                      <w:color w:val="auto"/>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53" w:type="pct"/>
                  <w:vAlign w:val="center"/>
                </w:tcPr>
                <w:p>
                  <w:pPr>
                    <w:widowControl/>
                    <w:spacing w:line="320" w:lineRule="exact"/>
                    <w:jc w:val="center"/>
                    <w:rPr>
                      <w:color w:val="auto"/>
                      <w:kern w:val="0"/>
                      <w:szCs w:val="21"/>
                    </w:rPr>
                  </w:pPr>
                  <w:r>
                    <w:rPr>
                      <w:color w:val="auto"/>
                      <w:szCs w:val="21"/>
                    </w:rPr>
                    <w:t>南厂界</w:t>
                  </w:r>
                </w:p>
              </w:tc>
              <w:tc>
                <w:tcPr>
                  <w:tcW w:w="519" w:type="pct"/>
                  <w:vAlign w:val="center"/>
                </w:tcPr>
                <w:p>
                  <w:pPr>
                    <w:jc w:val="center"/>
                    <w:rPr>
                      <w:color w:val="auto"/>
                      <w:szCs w:val="21"/>
                    </w:rPr>
                  </w:pPr>
                  <w:r>
                    <w:rPr>
                      <w:rFonts w:hint="eastAsia"/>
                      <w:color w:val="auto"/>
                      <w:szCs w:val="21"/>
                    </w:rPr>
                    <w:t>21</w:t>
                  </w:r>
                </w:p>
              </w:tc>
              <w:tc>
                <w:tcPr>
                  <w:tcW w:w="519" w:type="pct"/>
                  <w:vAlign w:val="center"/>
                </w:tcPr>
                <w:p>
                  <w:pPr>
                    <w:jc w:val="center"/>
                    <w:rPr>
                      <w:color w:val="auto"/>
                      <w:szCs w:val="21"/>
                    </w:rPr>
                  </w:pPr>
                  <w:r>
                    <w:rPr>
                      <w:rFonts w:hint="eastAsia"/>
                      <w:color w:val="auto"/>
                      <w:szCs w:val="21"/>
                    </w:rPr>
                    <w:t>21</w:t>
                  </w:r>
                </w:p>
              </w:tc>
              <w:tc>
                <w:tcPr>
                  <w:tcW w:w="519" w:type="pct"/>
                  <w:vAlign w:val="center"/>
                </w:tcPr>
                <w:p>
                  <w:pPr>
                    <w:autoSpaceDE w:val="0"/>
                    <w:jc w:val="center"/>
                    <w:rPr>
                      <w:color w:val="auto"/>
                      <w:szCs w:val="21"/>
                    </w:rPr>
                  </w:pPr>
                  <w:r>
                    <w:rPr>
                      <w:rFonts w:hint="eastAsia"/>
                      <w:color w:val="auto"/>
                      <w:szCs w:val="21"/>
                    </w:rPr>
                    <w:t>52</w:t>
                  </w:r>
                </w:p>
              </w:tc>
              <w:tc>
                <w:tcPr>
                  <w:tcW w:w="520" w:type="pct"/>
                  <w:vAlign w:val="center"/>
                </w:tcPr>
                <w:p>
                  <w:pPr>
                    <w:autoSpaceDE w:val="0"/>
                    <w:jc w:val="center"/>
                    <w:rPr>
                      <w:color w:val="auto"/>
                      <w:szCs w:val="21"/>
                    </w:rPr>
                  </w:pPr>
                  <w:r>
                    <w:rPr>
                      <w:rFonts w:hint="eastAsia"/>
                      <w:color w:val="auto"/>
                      <w:szCs w:val="21"/>
                    </w:rPr>
                    <w:t>41</w:t>
                  </w:r>
                </w:p>
              </w:tc>
              <w:tc>
                <w:tcPr>
                  <w:tcW w:w="519" w:type="pct"/>
                  <w:vAlign w:val="center"/>
                </w:tcPr>
                <w:p>
                  <w:pPr>
                    <w:jc w:val="center"/>
                    <w:rPr>
                      <w:color w:val="auto"/>
                      <w:szCs w:val="21"/>
                    </w:rPr>
                  </w:pPr>
                  <w:r>
                    <w:rPr>
                      <w:rFonts w:hint="eastAsia"/>
                      <w:color w:val="auto"/>
                      <w:szCs w:val="21"/>
                    </w:rPr>
                    <w:t>21</w:t>
                  </w:r>
                </w:p>
              </w:tc>
              <w:tc>
                <w:tcPr>
                  <w:tcW w:w="520" w:type="pct"/>
                  <w:vAlign w:val="center"/>
                </w:tcPr>
                <w:p>
                  <w:pPr>
                    <w:jc w:val="center"/>
                    <w:rPr>
                      <w:color w:val="auto"/>
                      <w:szCs w:val="21"/>
                    </w:rPr>
                  </w:pPr>
                  <w:r>
                    <w:rPr>
                      <w:rFonts w:hint="eastAsia"/>
                      <w:color w:val="auto"/>
                      <w:szCs w:val="21"/>
                    </w:rPr>
                    <w:t>21</w:t>
                  </w:r>
                </w:p>
              </w:tc>
              <w:tc>
                <w:tcPr>
                  <w:tcW w:w="519" w:type="pct"/>
                  <w:vAlign w:val="center"/>
                </w:tcPr>
                <w:p>
                  <w:pPr>
                    <w:spacing w:line="320" w:lineRule="exact"/>
                    <w:jc w:val="center"/>
                    <w:rPr>
                      <w:color w:val="auto"/>
                      <w:kern w:val="0"/>
                      <w:szCs w:val="21"/>
                    </w:rPr>
                  </w:pPr>
                  <w:r>
                    <w:rPr>
                      <w:color w:val="auto"/>
                      <w:kern w:val="0"/>
                      <w:szCs w:val="21"/>
                    </w:rPr>
                    <w:t>达标</w:t>
                  </w:r>
                </w:p>
              </w:tc>
              <w:tc>
                <w:tcPr>
                  <w:tcW w:w="512" w:type="pct"/>
                  <w:vAlign w:val="center"/>
                </w:tcPr>
                <w:p>
                  <w:pPr>
                    <w:spacing w:line="320" w:lineRule="exact"/>
                    <w:jc w:val="center"/>
                    <w:rPr>
                      <w:color w:val="auto"/>
                      <w:szCs w:val="21"/>
                    </w:rPr>
                  </w:pPr>
                  <w:r>
                    <w:rPr>
                      <w:color w:val="auto"/>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53" w:type="pct"/>
                  <w:vAlign w:val="center"/>
                </w:tcPr>
                <w:p>
                  <w:pPr>
                    <w:widowControl/>
                    <w:spacing w:line="320" w:lineRule="exact"/>
                    <w:jc w:val="center"/>
                    <w:rPr>
                      <w:color w:val="auto"/>
                      <w:kern w:val="0"/>
                      <w:szCs w:val="21"/>
                    </w:rPr>
                  </w:pPr>
                  <w:r>
                    <w:rPr>
                      <w:color w:val="auto"/>
                      <w:szCs w:val="21"/>
                    </w:rPr>
                    <w:t>西厂界</w:t>
                  </w:r>
                </w:p>
              </w:tc>
              <w:tc>
                <w:tcPr>
                  <w:tcW w:w="519" w:type="pct"/>
                  <w:vAlign w:val="center"/>
                </w:tcPr>
                <w:p>
                  <w:pPr>
                    <w:jc w:val="center"/>
                    <w:rPr>
                      <w:color w:val="auto"/>
                      <w:szCs w:val="21"/>
                    </w:rPr>
                  </w:pPr>
                  <w:r>
                    <w:rPr>
                      <w:rFonts w:hint="eastAsia"/>
                      <w:color w:val="auto"/>
                      <w:szCs w:val="21"/>
                    </w:rPr>
                    <w:t>18</w:t>
                  </w:r>
                </w:p>
              </w:tc>
              <w:tc>
                <w:tcPr>
                  <w:tcW w:w="519" w:type="pct"/>
                  <w:vAlign w:val="center"/>
                </w:tcPr>
                <w:p>
                  <w:pPr>
                    <w:jc w:val="center"/>
                    <w:rPr>
                      <w:color w:val="auto"/>
                      <w:szCs w:val="21"/>
                    </w:rPr>
                  </w:pPr>
                  <w:r>
                    <w:rPr>
                      <w:rFonts w:hint="eastAsia"/>
                      <w:color w:val="auto"/>
                      <w:szCs w:val="21"/>
                    </w:rPr>
                    <w:t>18</w:t>
                  </w:r>
                </w:p>
              </w:tc>
              <w:tc>
                <w:tcPr>
                  <w:tcW w:w="519" w:type="pct"/>
                  <w:vAlign w:val="center"/>
                </w:tcPr>
                <w:p>
                  <w:pPr>
                    <w:autoSpaceDE w:val="0"/>
                    <w:jc w:val="center"/>
                    <w:rPr>
                      <w:color w:val="auto"/>
                      <w:szCs w:val="21"/>
                    </w:rPr>
                  </w:pPr>
                  <w:r>
                    <w:rPr>
                      <w:rFonts w:hint="eastAsia"/>
                      <w:color w:val="auto"/>
                      <w:szCs w:val="21"/>
                    </w:rPr>
                    <w:t>51</w:t>
                  </w:r>
                </w:p>
              </w:tc>
              <w:tc>
                <w:tcPr>
                  <w:tcW w:w="520" w:type="pct"/>
                  <w:vAlign w:val="center"/>
                </w:tcPr>
                <w:p>
                  <w:pPr>
                    <w:autoSpaceDE w:val="0"/>
                    <w:jc w:val="center"/>
                    <w:rPr>
                      <w:color w:val="auto"/>
                      <w:szCs w:val="21"/>
                    </w:rPr>
                  </w:pPr>
                  <w:r>
                    <w:rPr>
                      <w:rFonts w:hint="eastAsia"/>
                      <w:color w:val="auto"/>
                      <w:szCs w:val="21"/>
                    </w:rPr>
                    <w:t>42</w:t>
                  </w:r>
                </w:p>
              </w:tc>
              <w:tc>
                <w:tcPr>
                  <w:tcW w:w="519" w:type="pct"/>
                  <w:vAlign w:val="center"/>
                </w:tcPr>
                <w:p>
                  <w:pPr>
                    <w:jc w:val="center"/>
                    <w:rPr>
                      <w:color w:val="auto"/>
                      <w:szCs w:val="21"/>
                    </w:rPr>
                  </w:pPr>
                  <w:r>
                    <w:rPr>
                      <w:rFonts w:hint="eastAsia"/>
                      <w:color w:val="auto"/>
                      <w:szCs w:val="21"/>
                    </w:rPr>
                    <w:t>18</w:t>
                  </w:r>
                </w:p>
              </w:tc>
              <w:tc>
                <w:tcPr>
                  <w:tcW w:w="520" w:type="pct"/>
                  <w:vAlign w:val="center"/>
                </w:tcPr>
                <w:p>
                  <w:pPr>
                    <w:jc w:val="center"/>
                    <w:rPr>
                      <w:color w:val="auto"/>
                      <w:szCs w:val="21"/>
                    </w:rPr>
                  </w:pPr>
                  <w:r>
                    <w:rPr>
                      <w:rFonts w:hint="eastAsia"/>
                      <w:color w:val="auto"/>
                      <w:szCs w:val="21"/>
                    </w:rPr>
                    <w:t>18</w:t>
                  </w:r>
                </w:p>
              </w:tc>
              <w:tc>
                <w:tcPr>
                  <w:tcW w:w="519" w:type="pct"/>
                  <w:vAlign w:val="center"/>
                </w:tcPr>
                <w:p>
                  <w:pPr>
                    <w:spacing w:line="320" w:lineRule="exact"/>
                    <w:jc w:val="center"/>
                    <w:rPr>
                      <w:color w:val="auto"/>
                      <w:kern w:val="0"/>
                      <w:szCs w:val="21"/>
                    </w:rPr>
                  </w:pPr>
                  <w:r>
                    <w:rPr>
                      <w:color w:val="auto"/>
                      <w:kern w:val="0"/>
                      <w:szCs w:val="21"/>
                    </w:rPr>
                    <w:t>达标</w:t>
                  </w:r>
                </w:p>
              </w:tc>
              <w:tc>
                <w:tcPr>
                  <w:tcW w:w="512" w:type="pct"/>
                  <w:vAlign w:val="center"/>
                </w:tcPr>
                <w:p>
                  <w:pPr>
                    <w:spacing w:line="320" w:lineRule="exact"/>
                    <w:jc w:val="center"/>
                    <w:rPr>
                      <w:color w:val="auto"/>
                      <w:szCs w:val="21"/>
                    </w:rPr>
                  </w:pPr>
                  <w:r>
                    <w:rPr>
                      <w:color w:val="auto"/>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853" w:type="pct"/>
                  <w:vAlign w:val="center"/>
                </w:tcPr>
                <w:p>
                  <w:pPr>
                    <w:widowControl/>
                    <w:spacing w:line="320" w:lineRule="exact"/>
                    <w:jc w:val="center"/>
                    <w:rPr>
                      <w:color w:val="auto"/>
                      <w:kern w:val="0"/>
                      <w:szCs w:val="21"/>
                    </w:rPr>
                  </w:pPr>
                  <w:r>
                    <w:rPr>
                      <w:color w:val="auto"/>
                      <w:szCs w:val="21"/>
                    </w:rPr>
                    <w:t>北厂界</w:t>
                  </w:r>
                </w:p>
              </w:tc>
              <w:tc>
                <w:tcPr>
                  <w:tcW w:w="519" w:type="pct"/>
                  <w:vAlign w:val="center"/>
                </w:tcPr>
                <w:p>
                  <w:pPr>
                    <w:jc w:val="center"/>
                    <w:rPr>
                      <w:color w:val="auto"/>
                      <w:szCs w:val="21"/>
                    </w:rPr>
                  </w:pPr>
                  <w:r>
                    <w:rPr>
                      <w:rFonts w:hint="eastAsia"/>
                      <w:color w:val="auto"/>
                      <w:szCs w:val="21"/>
                    </w:rPr>
                    <w:t>43</w:t>
                  </w:r>
                </w:p>
              </w:tc>
              <w:tc>
                <w:tcPr>
                  <w:tcW w:w="519" w:type="pct"/>
                  <w:vAlign w:val="center"/>
                </w:tcPr>
                <w:p>
                  <w:pPr>
                    <w:jc w:val="center"/>
                    <w:rPr>
                      <w:color w:val="auto"/>
                      <w:szCs w:val="21"/>
                    </w:rPr>
                  </w:pPr>
                  <w:r>
                    <w:rPr>
                      <w:rFonts w:hint="eastAsia"/>
                      <w:color w:val="auto"/>
                      <w:szCs w:val="21"/>
                    </w:rPr>
                    <w:t>43</w:t>
                  </w:r>
                </w:p>
              </w:tc>
              <w:tc>
                <w:tcPr>
                  <w:tcW w:w="519" w:type="pct"/>
                  <w:vAlign w:val="center"/>
                </w:tcPr>
                <w:p>
                  <w:pPr>
                    <w:autoSpaceDE w:val="0"/>
                    <w:jc w:val="center"/>
                    <w:rPr>
                      <w:color w:val="auto"/>
                      <w:szCs w:val="21"/>
                    </w:rPr>
                  </w:pPr>
                  <w:r>
                    <w:rPr>
                      <w:rFonts w:hint="eastAsia"/>
                      <w:color w:val="auto"/>
                      <w:szCs w:val="21"/>
                    </w:rPr>
                    <w:t>52</w:t>
                  </w:r>
                </w:p>
              </w:tc>
              <w:tc>
                <w:tcPr>
                  <w:tcW w:w="520" w:type="pct"/>
                  <w:vAlign w:val="center"/>
                </w:tcPr>
                <w:p>
                  <w:pPr>
                    <w:autoSpaceDE w:val="0"/>
                    <w:jc w:val="center"/>
                    <w:rPr>
                      <w:color w:val="auto"/>
                      <w:szCs w:val="21"/>
                    </w:rPr>
                  </w:pPr>
                  <w:r>
                    <w:rPr>
                      <w:rFonts w:hint="eastAsia"/>
                      <w:color w:val="auto"/>
                      <w:szCs w:val="21"/>
                    </w:rPr>
                    <w:t>42</w:t>
                  </w:r>
                </w:p>
              </w:tc>
              <w:tc>
                <w:tcPr>
                  <w:tcW w:w="519" w:type="pct"/>
                  <w:vAlign w:val="center"/>
                </w:tcPr>
                <w:p>
                  <w:pPr>
                    <w:jc w:val="center"/>
                    <w:rPr>
                      <w:color w:val="auto"/>
                      <w:szCs w:val="21"/>
                    </w:rPr>
                  </w:pPr>
                  <w:r>
                    <w:rPr>
                      <w:rFonts w:hint="eastAsia"/>
                      <w:color w:val="auto"/>
                      <w:szCs w:val="21"/>
                    </w:rPr>
                    <w:t>43</w:t>
                  </w:r>
                </w:p>
              </w:tc>
              <w:tc>
                <w:tcPr>
                  <w:tcW w:w="520" w:type="pct"/>
                  <w:vAlign w:val="center"/>
                </w:tcPr>
                <w:p>
                  <w:pPr>
                    <w:jc w:val="center"/>
                    <w:rPr>
                      <w:color w:val="auto"/>
                      <w:szCs w:val="21"/>
                    </w:rPr>
                  </w:pPr>
                  <w:r>
                    <w:rPr>
                      <w:rFonts w:hint="eastAsia"/>
                      <w:color w:val="auto"/>
                      <w:szCs w:val="21"/>
                    </w:rPr>
                    <w:t>43</w:t>
                  </w:r>
                </w:p>
              </w:tc>
              <w:tc>
                <w:tcPr>
                  <w:tcW w:w="519" w:type="pct"/>
                  <w:vAlign w:val="center"/>
                </w:tcPr>
                <w:p>
                  <w:pPr>
                    <w:spacing w:line="320" w:lineRule="exact"/>
                    <w:jc w:val="center"/>
                    <w:rPr>
                      <w:color w:val="auto"/>
                      <w:kern w:val="0"/>
                      <w:szCs w:val="21"/>
                    </w:rPr>
                  </w:pPr>
                  <w:r>
                    <w:rPr>
                      <w:color w:val="auto"/>
                      <w:kern w:val="0"/>
                      <w:szCs w:val="21"/>
                    </w:rPr>
                    <w:t>达标</w:t>
                  </w:r>
                </w:p>
              </w:tc>
              <w:tc>
                <w:tcPr>
                  <w:tcW w:w="512" w:type="pct"/>
                  <w:vAlign w:val="center"/>
                </w:tcPr>
                <w:p>
                  <w:pPr>
                    <w:spacing w:line="320" w:lineRule="exact"/>
                    <w:jc w:val="center"/>
                    <w:rPr>
                      <w:color w:val="auto"/>
                      <w:szCs w:val="21"/>
                    </w:rPr>
                  </w:pPr>
                  <w:r>
                    <w:rPr>
                      <w:color w:val="auto"/>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53" w:type="pct"/>
                  <w:vAlign w:val="center"/>
                </w:tcPr>
                <w:p>
                  <w:pPr>
                    <w:widowControl/>
                    <w:spacing w:line="320" w:lineRule="exact"/>
                    <w:jc w:val="center"/>
                    <w:rPr>
                      <w:color w:val="auto"/>
                      <w:szCs w:val="21"/>
                    </w:rPr>
                  </w:pPr>
                  <w:r>
                    <w:rPr>
                      <w:color w:val="auto"/>
                      <w:szCs w:val="21"/>
                    </w:rPr>
                    <w:t>姚家村</w:t>
                  </w:r>
                </w:p>
              </w:tc>
              <w:tc>
                <w:tcPr>
                  <w:tcW w:w="519" w:type="pct"/>
                  <w:vAlign w:val="center"/>
                </w:tcPr>
                <w:p>
                  <w:pPr>
                    <w:jc w:val="center"/>
                    <w:rPr>
                      <w:color w:val="auto"/>
                      <w:szCs w:val="21"/>
                    </w:rPr>
                  </w:pPr>
                  <w:r>
                    <w:rPr>
                      <w:rFonts w:hint="eastAsia"/>
                      <w:color w:val="auto"/>
                      <w:szCs w:val="21"/>
                    </w:rPr>
                    <w:t>16</w:t>
                  </w:r>
                </w:p>
              </w:tc>
              <w:tc>
                <w:tcPr>
                  <w:tcW w:w="519" w:type="pct"/>
                  <w:vAlign w:val="center"/>
                </w:tcPr>
                <w:p>
                  <w:pPr>
                    <w:jc w:val="center"/>
                    <w:rPr>
                      <w:color w:val="auto"/>
                      <w:szCs w:val="21"/>
                    </w:rPr>
                  </w:pPr>
                  <w:r>
                    <w:rPr>
                      <w:rFonts w:hint="eastAsia"/>
                      <w:color w:val="auto"/>
                      <w:szCs w:val="21"/>
                    </w:rPr>
                    <w:t>16</w:t>
                  </w:r>
                </w:p>
              </w:tc>
              <w:tc>
                <w:tcPr>
                  <w:tcW w:w="519" w:type="pct"/>
                  <w:vAlign w:val="center"/>
                </w:tcPr>
                <w:p>
                  <w:pPr>
                    <w:autoSpaceDE w:val="0"/>
                    <w:jc w:val="center"/>
                    <w:rPr>
                      <w:color w:val="auto"/>
                      <w:szCs w:val="21"/>
                    </w:rPr>
                  </w:pPr>
                  <w:r>
                    <w:rPr>
                      <w:rFonts w:hint="eastAsia"/>
                      <w:color w:val="auto"/>
                      <w:szCs w:val="21"/>
                    </w:rPr>
                    <w:t>49</w:t>
                  </w:r>
                </w:p>
              </w:tc>
              <w:tc>
                <w:tcPr>
                  <w:tcW w:w="520" w:type="pct"/>
                  <w:vAlign w:val="center"/>
                </w:tcPr>
                <w:p>
                  <w:pPr>
                    <w:autoSpaceDE w:val="0"/>
                    <w:jc w:val="center"/>
                    <w:rPr>
                      <w:color w:val="auto"/>
                      <w:szCs w:val="21"/>
                    </w:rPr>
                  </w:pPr>
                  <w:r>
                    <w:rPr>
                      <w:rFonts w:hint="eastAsia"/>
                      <w:color w:val="auto"/>
                      <w:szCs w:val="21"/>
                    </w:rPr>
                    <w:t>41</w:t>
                  </w:r>
                </w:p>
              </w:tc>
              <w:tc>
                <w:tcPr>
                  <w:tcW w:w="519" w:type="pct"/>
                  <w:vAlign w:val="center"/>
                </w:tcPr>
                <w:p>
                  <w:pPr>
                    <w:jc w:val="center"/>
                    <w:rPr>
                      <w:color w:val="auto"/>
                      <w:szCs w:val="21"/>
                    </w:rPr>
                  </w:pPr>
                  <w:r>
                    <w:rPr>
                      <w:rFonts w:hint="eastAsia"/>
                      <w:color w:val="auto"/>
                      <w:szCs w:val="21"/>
                    </w:rPr>
                    <w:t>49</w:t>
                  </w:r>
                </w:p>
              </w:tc>
              <w:tc>
                <w:tcPr>
                  <w:tcW w:w="520" w:type="pct"/>
                  <w:vAlign w:val="center"/>
                </w:tcPr>
                <w:p>
                  <w:pPr>
                    <w:jc w:val="center"/>
                    <w:rPr>
                      <w:color w:val="auto"/>
                      <w:szCs w:val="21"/>
                    </w:rPr>
                  </w:pPr>
                  <w:r>
                    <w:rPr>
                      <w:rFonts w:hint="eastAsia"/>
                      <w:color w:val="auto"/>
                      <w:szCs w:val="21"/>
                    </w:rPr>
                    <w:t>41</w:t>
                  </w:r>
                </w:p>
              </w:tc>
              <w:tc>
                <w:tcPr>
                  <w:tcW w:w="519" w:type="pct"/>
                  <w:vAlign w:val="center"/>
                </w:tcPr>
                <w:p>
                  <w:pPr>
                    <w:spacing w:line="320" w:lineRule="exact"/>
                    <w:jc w:val="center"/>
                    <w:rPr>
                      <w:color w:val="auto"/>
                      <w:kern w:val="0"/>
                      <w:szCs w:val="21"/>
                    </w:rPr>
                  </w:pPr>
                  <w:r>
                    <w:rPr>
                      <w:color w:val="auto"/>
                      <w:kern w:val="0"/>
                      <w:szCs w:val="21"/>
                    </w:rPr>
                    <w:t>达标</w:t>
                  </w:r>
                </w:p>
              </w:tc>
              <w:tc>
                <w:tcPr>
                  <w:tcW w:w="512" w:type="pct"/>
                  <w:vAlign w:val="center"/>
                </w:tcPr>
                <w:p>
                  <w:pPr>
                    <w:spacing w:line="320" w:lineRule="exact"/>
                    <w:jc w:val="center"/>
                    <w:rPr>
                      <w:color w:val="auto"/>
                      <w:szCs w:val="21"/>
                    </w:rPr>
                  </w:pPr>
                  <w:r>
                    <w:rPr>
                      <w:color w:val="auto"/>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53" w:type="pct"/>
                  <w:vAlign w:val="center"/>
                </w:tcPr>
                <w:p>
                  <w:pPr>
                    <w:widowControl/>
                    <w:spacing w:line="320" w:lineRule="exact"/>
                    <w:jc w:val="center"/>
                    <w:rPr>
                      <w:color w:val="auto"/>
                      <w:szCs w:val="21"/>
                    </w:rPr>
                  </w:pPr>
                  <w:r>
                    <w:rPr>
                      <w:color w:val="auto"/>
                      <w:szCs w:val="21"/>
                    </w:rPr>
                    <w:t>赵家堡</w:t>
                  </w:r>
                </w:p>
              </w:tc>
              <w:tc>
                <w:tcPr>
                  <w:tcW w:w="519" w:type="pct"/>
                  <w:vAlign w:val="center"/>
                </w:tcPr>
                <w:p>
                  <w:pPr>
                    <w:jc w:val="center"/>
                    <w:rPr>
                      <w:color w:val="auto"/>
                      <w:szCs w:val="21"/>
                    </w:rPr>
                  </w:pPr>
                  <w:r>
                    <w:rPr>
                      <w:rFonts w:hint="eastAsia"/>
                      <w:color w:val="auto"/>
                      <w:szCs w:val="21"/>
                    </w:rPr>
                    <w:t>21</w:t>
                  </w:r>
                </w:p>
              </w:tc>
              <w:tc>
                <w:tcPr>
                  <w:tcW w:w="519" w:type="pct"/>
                  <w:vAlign w:val="center"/>
                </w:tcPr>
                <w:p>
                  <w:pPr>
                    <w:jc w:val="center"/>
                    <w:rPr>
                      <w:color w:val="auto"/>
                      <w:szCs w:val="21"/>
                    </w:rPr>
                  </w:pPr>
                  <w:r>
                    <w:rPr>
                      <w:rFonts w:hint="eastAsia"/>
                      <w:color w:val="auto"/>
                      <w:szCs w:val="21"/>
                    </w:rPr>
                    <w:t>21</w:t>
                  </w:r>
                </w:p>
              </w:tc>
              <w:tc>
                <w:tcPr>
                  <w:tcW w:w="519" w:type="pct"/>
                  <w:vAlign w:val="center"/>
                </w:tcPr>
                <w:p>
                  <w:pPr>
                    <w:autoSpaceDE w:val="0"/>
                    <w:jc w:val="center"/>
                    <w:rPr>
                      <w:color w:val="auto"/>
                      <w:szCs w:val="21"/>
                    </w:rPr>
                  </w:pPr>
                  <w:r>
                    <w:rPr>
                      <w:rFonts w:hint="eastAsia"/>
                      <w:color w:val="auto"/>
                      <w:szCs w:val="21"/>
                    </w:rPr>
                    <w:t>47</w:t>
                  </w:r>
                </w:p>
              </w:tc>
              <w:tc>
                <w:tcPr>
                  <w:tcW w:w="520" w:type="pct"/>
                  <w:vAlign w:val="center"/>
                </w:tcPr>
                <w:p>
                  <w:pPr>
                    <w:autoSpaceDE w:val="0"/>
                    <w:jc w:val="center"/>
                    <w:rPr>
                      <w:color w:val="auto"/>
                      <w:szCs w:val="21"/>
                    </w:rPr>
                  </w:pPr>
                  <w:r>
                    <w:rPr>
                      <w:rFonts w:hint="eastAsia"/>
                      <w:color w:val="auto"/>
                      <w:szCs w:val="21"/>
                    </w:rPr>
                    <w:t>40</w:t>
                  </w:r>
                </w:p>
              </w:tc>
              <w:tc>
                <w:tcPr>
                  <w:tcW w:w="519" w:type="pct"/>
                  <w:vAlign w:val="center"/>
                </w:tcPr>
                <w:p>
                  <w:pPr>
                    <w:jc w:val="center"/>
                    <w:rPr>
                      <w:color w:val="auto"/>
                      <w:szCs w:val="21"/>
                    </w:rPr>
                  </w:pPr>
                  <w:r>
                    <w:rPr>
                      <w:rFonts w:hint="eastAsia"/>
                      <w:color w:val="auto"/>
                      <w:szCs w:val="21"/>
                    </w:rPr>
                    <w:t>56</w:t>
                  </w:r>
                </w:p>
              </w:tc>
              <w:tc>
                <w:tcPr>
                  <w:tcW w:w="520" w:type="pct"/>
                  <w:vAlign w:val="center"/>
                </w:tcPr>
                <w:p>
                  <w:pPr>
                    <w:jc w:val="center"/>
                    <w:rPr>
                      <w:color w:val="auto"/>
                      <w:szCs w:val="21"/>
                    </w:rPr>
                  </w:pPr>
                  <w:r>
                    <w:rPr>
                      <w:rFonts w:hint="eastAsia"/>
                      <w:color w:val="auto"/>
                      <w:szCs w:val="21"/>
                    </w:rPr>
                    <w:t>55</w:t>
                  </w:r>
                </w:p>
              </w:tc>
              <w:tc>
                <w:tcPr>
                  <w:tcW w:w="519" w:type="pct"/>
                  <w:vAlign w:val="center"/>
                </w:tcPr>
                <w:p>
                  <w:pPr>
                    <w:spacing w:line="320" w:lineRule="exact"/>
                    <w:jc w:val="center"/>
                    <w:rPr>
                      <w:color w:val="auto"/>
                      <w:kern w:val="0"/>
                      <w:szCs w:val="21"/>
                    </w:rPr>
                  </w:pPr>
                  <w:r>
                    <w:rPr>
                      <w:color w:val="auto"/>
                      <w:kern w:val="0"/>
                      <w:szCs w:val="21"/>
                    </w:rPr>
                    <w:t>达标</w:t>
                  </w:r>
                </w:p>
              </w:tc>
              <w:tc>
                <w:tcPr>
                  <w:tcW w:w="512" w:type="pct"/>
                  <w:vAlign w:val="center"/>
                </w:tcPr>
                <w:p>
                  <w:pPr>
                    <w:spacing w:line="320" w:lineRule="exact"/>
                    <w:jc w:val="center"/>
                    <w:rPr>
                      <w:color w:val="auto"/>
                      <w:szCs w:val="21"/>
                    </w:rPr>
                  </w:pPr>
                  <w:r>
                    <w:rPr>
                      <w:color w:val="auto"/>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853" w:type="pct"/>
                  <w:vAlign w:val="center"/>
                </w:tcPr>
                <w:p>
                  <w:pPr>
                    <w:widowControl/>
                    <w:spacing w:line="320" w:lineRule="exact"/>
                    <w:jc w:val="center"/>
                    <w:rPr>
                      <w:color w:val="auto"/>
                      <w:szCs w:val="21"/>
                    </w:rPr>
                  </w:pPr>
                  <w:r>
                    <w:rPr>
                      <w:color w:val="auto"/>
                      <w:szCs w:val="21"/>
                    </w:rPr>
                    <w:t>黄家村</w:t>
                  </w:r>
                </w:p>
              </w:tc>
              <w:tc>
                <w:tcPr>
                  <w:tcW w:w="519" w:type="pct"/>
                  <w:vAlign w:val="center"/>
                </w:tcPr>
                <w:p>
                  <w:pPr>
                    <w:jc w:val="center"/>
                    <w:rPr>
                      <w:color w:val="auto"/>
                      <w:szCs w:val="21"/>
                    </w:rPr>
                  </w:pPr>
                  <w:r>
                    <w:rPr>
                      <w:rFonts w:hint="eastAsia"/>
                      <w:color w:val="auto"/>
                      <w:szCs w:val="21"/>
                    </w:rPr>
                    <w:t>25</w:t>
                  </w:r>
                </w:p>
              </w:tc>
              <w:tc>
                <w:tcPr>
                  <w:tcW w:w="519" w:type="pct"/>
                  <w:vAlign w:val="center"/>
                </w:tcPr>
                <w:p>
                  <w:pPr>
                    <w:jc w:val="center"/>
                    <w:rPr>
                      <w:color w:val="auto"/>
                      <w:szCs w:val="21"/>
                    </w:rPr>
                  </w:pPr>
                  <w:r>
                    <w:rPr>
                      <w:rFonts w:hint="eastAsia"/>
                      <w:color w:val="auto"/>
                      <w:szCs w:val="21"/>
                    </w:rPr>
                    <w:t>25</w:t>
                  </w:r>
                </w:p>
              </w:tc>
              <w:tc>
                <w:tcPr>
                  <w:tcW w:w="519" w:type="pct"/>
                  <w:vAlign w:val="center"/>
                </w:tcPr>
                <w:p>
                  <w:pPr>
                    <w:autoSpaceDE w:val="0"/>
                    <w:jc w:val="center"/>
                    <w:rPr>
                      <w:color w:val="auto"/>
                      <w:szCs w:val="21"/>
                    </w:rPr>
                  </w:pPr>
                  <w:r>
                    <w:rPr>
                      <w:rFonts w:hint="eastAsia"/>
                      <w:color w:val="auto"/>
                      <w:szCs w:val="21"/>
                    </w:rPr>
                    <w:t>50</w:t>
                  </w:r>
                </w:p>
              </w:tc>
              <w:tc>
                <w:tcPr>
                  <w:tcW w:w="520" w:type="pct"/>
                  <w:vAlign w:val="center"/>
                </w:tcPr>
                <w:p>
                  <w:pPr>
                    <w:autoSpaceDE w:val="0"/>
                    <w:jc w:val="center"/>
                    <w:rPr>
                      <w:color w:val="auto"/>
                      <w:szCs w:val="21"/>
                    </w:rPr>
                  </w:pPr>
                  <w:r>
                    <w:rPr>
                      <w:rFonts w:hint="eastAsia"/>
                      <w:color w:val="auto"/>
                      <w:szCs w:val="21"/>
                    </w:rPr>
                    <w:t>42</w:t>
                  </w:r>
                </w:p>
              </w:tc>
              <w:tc>
                <w:tcPr>
                  <w:tcW w:w="519" w:type="pct"/>
                  <w:vAlign w:val="center"/>
                </w:tcPr>
                <w:p>
                  <w:pPr>
                    <w:jc w:val="center"/>
                    <w:rPr>
                      <w:color w:val="auto"/>
                      <w:szCs w:val="21"/>
                    </w:rPr>
                  </w:pPr>
                  <w:r>
                    <w:rPr>
                      <w:rFonts w:hint="eastAsia"/>
                      <w:color w:val="auto"/>
                      <w:szCs w:val="21"/>
                    </w:rPr>
                    <w:t>50</w:t>
                  </w:r>
                </w:p>
              </w:tc>
              <w:tc>
                <w:tcPr>
                  <w:tcW w:w="520" w:type="pct"/>
                  <w:vAlign w:val="center"/>
                </w:tcPr>
                <w:p>
                  <w:pPr>
                    <w:jc w:val="center"/>
                    <w:rPr>
                      <w:color w:val="auto"/>
                      <w:szCs w:val="21"/>
                    </w:rPr>
                  </w:pPr>
                  <w:r>
                    <w:rPr>
                      <w:rFonts w:hint="eastAsia"/>
                      <w:color w:val="auto"/>
                      <w:szCs w:val="21"/>
                    </w:rPr>
                    <w:t>42</w:t>
                  </w:r>
                </w:p>
              </w:tc>
              <w:tc>
                <w:tcPr>
                  <w:tcW w:w="519" w:type="pct"/>
                  <w:vAlign w:val="center"/>
                </w:tcPr>
                <w:p>
                  <w:pPr>
                    <w:spacing w:line="320" w:lineRule="exact"/>
                    <w:jc w:val="center"/>
                    <w:rPr>
                      <w:color w:val="auto"/>
                      <w:kern w:val="0"/>
                      <w:szCs w:val="21"/>
                    </w:rPr>
                  </w:pPr>
                  <w:r>
                    <w:rPr>
                      <w:color w:val="auto"/>
                      <w:kern w:val="0"/>
                      <w:szCs w:val="21"/>
                    </w:rPr>
                    <w:t>达标</w:t>
                  </w:r>
                </w:p>
              </w:tc>
              <w:tc>
                <w:tcPr>
                  <w:tcW w:w="512" w:type="pct"/>
                  <w:vAlign w:val="center"/>
                </w:tcPr>
                <w:p>
                  <w:pPr>
                    <w:spacing w:line="320" w:lineRule="exact"/>
                    <w:jc w:val="center"/>
                    <w:rPr>
                      <w:color w:val="auto"/>
                      <w:szCs w:val="21"/>
                    </w:rPr>
                  </w:pPr>
                  <w:r>
                    <w:rPr>
                      <w:color w:val="auto"/>
                      <w:kern w:val="0"/>
                      <w:szCs w:val="21"/>
                    </w:rPr>
                    <w:t>达标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853" w:type="pct"/>
                  <w:vAlign w:val="center"/>
                </w:tcPr>
                <w:p>
                  <w:pPr>
                    <w:widowControl/>
                    <w:spacing w:line="320" w:lineRule="exact"/>
                    <w:jc w:val="center"/>
                    <w:rPr>
                      <w:color w:val="auto"/>
                      <w:kern w:val="0"/>
                      <w:szCs w:val="21"/>
                    </w:rPr>
                  </w:pPr>
                  <w:r>
                    <w:rPr>
                      <w:color w:val="auto"/>
                      <w:kern w:val="0"/>
                      <w:szCs w:val="21"/>
                    </w:rPr>
                    <w:t>标准值</w:t>
                  </w:r>
                </w:p>
              </w:tc>
              <w:tc>
                <w:tcPr>
                  <w:tcW w:w="4147" w:type="pct"/>
                  <w:gridSpan w:val="8"/>
                  <w:vAlign w:val="center"/>
                </w:tcPr>
                <w:p>
                  <w:pPr>
                    <w:spacing w:line="320" w:lineRule="exact"/>
                    <w:jc w:val="center"/>
                    <w:rPr>
                      <w:color w:val="auto"/>
                      <w:szCs w:val="21"/>
                    </w:rPr>
                  </w:pPr>
                  <w:r>
                    <w:rPr>
                      <w:color w:val="auto"/>
                      <w:szCs w:val="21"/>
                    </w:rPr>
                    <w:t>昼间：60dB（A）；夜间：50dB（A）</w:t>
                  </w:r>
                </w:p>
              </w:tc>
            </w:tr>
          </w:tbl>
          <w:p>
            <w:pPr>
              <w:keepNext/>
              <w:keepLines/>
              <w:adjustRightInd w:val="0"/>
              <w:snapToGrid w:val="0"/>
              <w:spacing w:before="120" w:beforeLines="50" w:line="360" w:lineRule="auto"/>
              <w:ind w:firstLine="480" w:firstLineChars="200"/>
              <w:rPr>
                <w:color w:val="auto"/>
                <w:sz w:val="24"/>
                <w:szCs w:val="20"/>
              </w:rPr>
            </w:pPr>
            <w:r>
              <w:rPr>
                <w:rFonts w:hAnsi="宋体"/>
                <w:color w:val="auto"/>
                <w:sz w:val="24"/>
                <w:szCs w:val="20"/>
              </w:rPr>
              <w:t>根据预测结果，项目厂界</w:t>
            </w:r>
            <w:r>
              <w:rPr>
                <w:rFonts w:hint="eastAsia" w:hAnsi="宋体"/>
                <w:color w:val="auto"/>
                <w:sz w:val="24"/>
                <w:szCs w:val="20"/>
              </w:rPr>
              <w:t>处的</w:t>
            </w:r>
            <w:r>
              <w:rPr>
                <w:rFonts w:hAnsi="宋体"/>
                <w:color w:val="auto"/>
                <w:sz w:val="24"/>
                <w:szCs w:val="20"/>
              </w:rPr>
              <w:t>噪声</w:t>
            </w:r>
            <w:r>
              <w:rPr>
                <w:rFonts w:hint="eastAsia" w:hAnsi="宋体"/>
                <w:color w:val="auto"/>
                <w:sz w:val="24"/>
                <w:szCs w:val="20"/>
              </w:rPr>
              <w:t>预测排放值</w:t>
            </w:r>
            <w:r>
              <w:rPr>
                <w:rFonts w:hAnsi="宋体"/>
                <w:color w:val="auto"/>
                <w:sz w:val="24"/>
                <w:szCs w:val="20"/>
              </w:rPr>
              <w:t>均能满足《工业企业厂界环境噪声排放标准》</w:t>
            </w:r>
            <w:r>
              <w:rPr>
                <w:color w:val="auto"/>
                <w:sz w:val="24"/>
                <w:szCs w:val="20"/>
              </w:rPr>
              <w:t>GB12348-2008</w:t>
            </w:r>
            <w:r>
              <w:rPr>
                <w:rFonts w:hAnsi="宋体"/>
                <w:color w:val="auto"/>
                <w:sz w:val="24"/>
                <w:szCs w:val="20"/>
              </w:rPr>
              <w:t>中</w:t>
            </w:r>
            <w:r>
              <w:rPr>
                <w:rFonts w:hint="eastAsia" w:hAnsi="宋体"/>
                <w:color w:val="auto"/>
                <w:sz w:val="24"/>
                <w:szCs w:val="20"/>
              </w:rPr>
              <w:t>2</w:t>
            </w:r>
            <w:r>
              <w:rPr>
                <w:rFonts w:hAnsi="宋体"/>
                <w:color w:val="auto"/>
                <w:sz w:val="24"/>
                <w:szCs w:val="20"/>
              </w:rPr>
              <w:t>类标准要求</w:t>
            </w:r>
            <w:r>
              <w:rPr>
                <w:rFonts w:hint="eastAsia" w:hAnsi="宋体"/>
                <w:color w:val="auto"/>
                <w:sz w:val="24"/>
                <w:szCs w:val="20"/>
              </w:rPr>
              <w:t>，敏感点处的</w:t>
            </w:r>
            <w:r>
              <w:rPr>
                <w:rFonts w:hAnsi="宋体"/>
                <w:color w:val="auto"/>
                <w:sz w:val="24"/>
                <w:szCs w:val="20"/>
              </w:rPr>
              <w:t>噪声值均能满足《声环境质量标准》（</w:t>
            </w:r>
            <w:r>
              <w:rPr>
                <w:color w:val="auto"/>
                <w:sz w:val="24"/>
                <w:szCs w:val="20"/>
              </w:rPr>
              <w:t>GB</w:t>
            </w:r>
            <w:r>
              <w:rPr>
                <w:rFonts w:hint="eastAsia"/>
                <w:color w:val="auto"/>
                <w:sz w:val="24"/>
                <w:szCs w:val="20"/>
              </w:rPr>
              <w:t>3096</w:t>
            </w:r>
            <w:r>
              <w:rPr>
                <w:color w:val="auto"/>
                <w:sz w:val="24"/>
                <w:szCs w:val="20"/>
              </w:rPr>
              <w:t>-2008）</w:t>
            </w:r>
            <w:r>
              <w:rPr>
                <w:rFonts w:hAnsi="宋体"/>
                <w:color w:val="auto"/>
                <w:sz w:val="24"/>
                <w:szCs w:val="20"/>
              </w:rPr>
              <w:t>中</w:t>
            </w:r>
            <w:r>
              <w:rPr>
                <w:rFonts w:hint="eastAsia"/>
                <w:color w:val="auto"/>
                <w:sz w:val="24"/>
                <w:szCs w:val="20"/>
              </w:rPr>
              <w:t>2</w:t>
            </w:r>
            <w:r>
              <w:rPr>
                <w:rFonts w:hAnsi="宋体"/>
                <w:color w:val="auto"/>
                <w:sz w:val="24"/>
                <w:szCs w:val="20"/>
              </w:rPr>
              <w:t>类区标准要求</w:t>
            </w:r>
            <w:r>
              <w:rPr>
                <w:rFonts w:hint="eastAsia" w:hAnsi="宋体"/>
                <w:color w:val="auto"/>
                <w:sz w:val="24"/>
                <w:szCs w:val="20"/>
              </w:rPr>
              <w:t>，</w:t>
            </w:r>
            <w:r>
              <w:rPr>
                <w:rFonts w:hAnsi="宋体"/>
                <w:color w:val="auto"/>
                <w:sz w:val="24"/>
                <w:szCs w:val="20"/>
              </w:rPr>
              <w:t>表明项目运行对周围声环境影响较小。</w:t>
            </w:r>
          </w:p>
          <w:p>
            <w:pPr>
              <w:adjustRightInd w:val="0"/>
              <w:snapToGrid w:val="0"/>
              <w:spacing w:line="360" w:lineRule="auto"/>
              <w:ind w:firstLine="440" w:firstLineChars="200"/>
              <w:rPr>
                <w:bCs/>
                <w:color w:val="auto"/>
                <w:spacing w:val="-10"/>
                <w:sz w:val="24"/>
              </w:rPr>
            </w:pPr>
            <w:r>
              <w:rPr>
                <w:rFonts w:hint="eastAsia"/>
                <w:bCs/>
                <w:color w:val="auto"/>
                <w:spacing w:val="-10"/>
                <w:sz w:val="24"/>
              </w:rPr>
              <w:t>（3）监测计划</w:t>
            </w:r>
          </w:p>
          <w:p>
            <w:pPr>
              <w:spacing w:line="360" w:lineRule="auto"/>
              <w:ind w:firstLine="480" w:firstLineChars="200"/>
              <w:rPr>
                <w:color w:val="auto"/>
                <w:sz w:val="24"/>
                <w:szCs w:val="20"/>
              </w:rPr>
            </w:pPr>
            <w:r>
              <w:rPr>
                <w:rFonts w:hAnsi="宋体"/>
                <w:color w:val="auto"/>
                <w:sz w:val="24"/>
                <w:szCs w:val="20"/>
              </w:rPr>
              <w:t>根据《排污单位自行监测技术指南 总则》（HJ 819-2017），</w:t>
            </w:r>
            <w:r>
              <w:rPr>
                <w:rFonts w:hint="eastAsia"/>
                <w:color w:val="auto"/>
                <w:sz w:val="24"/>
                <w:szCs w:val="20"/>
              </w:rPr>
              <w:t>具体情况</w:t>
            </w:r>
            <w:r>
              <w:rPr>
                <w:color w:val="auto"/>
                <w:sz w:val="24"/>
                <w:szCs w:val="20"/>
              </w:rPr>
              <w:t>见表</w:t>
            </w:r>
            <w:r>
              <w:rPr>
                <w:rFonts w:hint="eastAsia"/>
                <w:color w:val="auto"/>
                <w:sz w:val="24"/>
                <w:szCs w:val="20"/>
              </w:rPr>
              <w:t>4-18</w:t>
            </w:r>
            <w:r>
              <w:rPr>
                <w:color w:val="auto"/>
                <w:sz w:val="24"/>
                <w:szCs w:val="20"/>
              </w:rPr>
              <w:t>。</w:t>
            </w:r>
          </w:p>
          <w:p>
            <w:pPr>
              <w:jc w:val="center"/>
              <w:rPr>
                <w:b/>
                <w:color w:val="auto"/>
                <w:sz w:val="24"/>
                <w:szCs w:val="20"/>
              </w:rPr>
            </w:pPr>
            <w:r>
              <w:rPr>
                <w:b/>
                <w:color w:val="auto"/>
                <w:sz w:val="24"/>
                <w:szCs w:val="20"/>
              </w:rPr>
              <w:t>表</w:t>
            </w:r>
            <w:r>
              <w:rPr>
                <w:rFonts w:hint="eastAsia"/>
                <w:b/>
                <w:color w:val="auto"/>
                <w:sz w:val="24"/>
                <w:szCs w:val="20"/>
              </w:rPr>
              <w:t>4-18</w:t>
            </w:r>
            <w:r>
              <w:rPr>
                <w:b/>
                <w:color w:val="auto"/>
                <w:sz w:val="24"/>
                <w:szCs w:val="20"/>
              </w:rPr>
              <w:t xml:space="preserve"> </w:t>
            </w:r>
            <w:r>
              <w:rPr>
                <w:rFonts w:hint="eastAsia"/>
                <w:b/>
                <w:color w:val="auto"/>
                <w:sz w:val="24"/>
                <w:szCs w:val="20"/>
              </w:rPr>
              <w:t xml:space="preserve"> </w:t>
            </w:r>
            <w:r>
              <w:rPr>
                <w:b/>
                <w:color w:val="auto"/>
                <w:sz w:val="24"/>
                <w:szCs w:val="20"/>
              </w:rPr>
              <w:t xml:space="preserve"> 环境监测内容及计划</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151"/>
              <w:gridCol w:w="1321"/>
              <w:gridCol w:w="1026"/>
              <w:gridCol w:w="1026"/>
              <w:gridCol w:w="35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709" w:type="pct"/>
                  <w:tcBorders>
                    <w:top w:val="single" w:color="auto" w:sz="12" w:space="0"/>
                  </w:tcBorders>
                  <w:tcMar>
                    <w:left w:w="28" w:type="dxa"/>
                    <w:right w:w="28" w:type="dxa"/>
                  </w:tcMar>
                  <w:vAlign w:val="center"/>
                </w:tcPr>
                <w:p>
                  <w:pPr>
                    <w:spacing w:line="276" w:lineRule="auto"/>
                    <w:jc w:val="center"/>
                    <w:rPr>
                      <w:bCs/>
                      <w:color w:val="auto"/>
                      <w:kern w:val="0"/>
                      <w:szCs w:val="21"/>
                    </w:rPr>
                  </w:pPr>
                  <w:r>
                    <w:rPr>
                      <w:bCs/>
                      <w:color w:val="auto"/>
                      <w:kern w:val="0"/>
                      <w:szCs w:val="21"/>
                    </w:rPr>
                    <w:t>监测项目</w:t>
                  </w:r>
                </w:p>
              </w:tc>
              <w:tc>
                <w:tcPr>
                  <w:tcW w:w="814" w:type="pct"/>
                  <w:tcBorders>
                    <w:top w:val="single" w:color="auto" w:sz="12" w:space="0"/>
                  </w:tcBorders>
                  <w:tcMar>
                    <w:left w:w="28" w:type="dxa"/>
                    <w:right w:w="28" w:type="dxa"/>
                  </w:tcMar>
                  <w:vAlign w:val="center"/>
                </w:tcPr>
                <w:p>
                  <w:pPr>
                    <w:spacing w:line="276" w:lineRule="auto"/>
                    <w:jc w:val="center"/>
                    <w:rPr>
                      <w:bCs/>
                      <w:color w:val="auto"/>
                      <w:kern w:val="0"/>
                      <w:szCs w:val="21"/>
                    </w:rPr>
                  </w:pPr>
                  <w:r>
                    <w:rPr>
                      <w:bCs/>
                      <w:color w:val="auto"/>
                      <w:kern w:val="0"/>
                      <w:szCs w:val="21"/>
                    </w:rPr>
                    <w:t>监测点位置</w:t>
                  </w:r>
                </w:p>
              </w:tc>
              <w:tc>
                <w:tcPr>
                  <w:tcW w:w="632" w:type="pct"/>
                  <w:tcBorders>
                    <w:top w:val="single" w:color="auto" w:sz="12" w:space="0"/>
                  </w:tcBorders>
                  <w:tcMar>
                    <w:left w:w="28" w:type="dxa"/>
                    <w:right w:w="28" w:type="dxa"/>
                  </w:tcMar>
                  <w:vAlign w:val="center"/>
                </w:tcPr>
                <w:p>
                  <w:pPr>
                    <w:spacing w:line="276" w:lineRule="auto"/>
                    <w:jc w:val="center"/>
                    <w:rPr>
                      <w:bCs/>
                      <w:color w:val="auto"/>
                      <w:kern w:val="0"/>
                      <w:szCs w:val="21"/>
                    </w:rPr>
                  </w:pPr>
                  <w:r>
                    <w:rPr>
                      <w:bCs/>
                      <w:color w:val="auto"/>
                      <w:kern w:val="0"/>
                      <w:szCs w:val="21"/>
                    </w:rPr>
                    <w:t>监测点数</w:t>
                  </w:r>
                </w:p>
              </w:tc>
              <w:tc>
                <w:tcPr>
                  <w:tcW w:w="632" w:type="pct"/>
                  <w:tcBorders>
                    <w:top w:val="single" w:color="auto" w:sz="12" w:space="0"/>
                    <w:bottom w:val="single" w:color="auto" w:sz="6" w:space="0"/>
                  </w:tcBorders>
                  <w:tcMar>
                    <w:left w:w="28" w:type="dxa"/>
                    <w:right w:w="28" w:type="dxa"/>
                  </w:tcMar>
                  <w:vAlign w:val="center"/>
                </w:tcPr>
                <w:p>
                  <w:pPr>
                    <w:spacing w:line="276" w:lineRule="auto"/>
                    <w:jc w:val="center"/>
                    <w:rPr>
                      <w:bCs/>
                      <w:color w:val="auto"/>
                      <w:kern w:val="0"/>
                      <w:szCs w:val="21"/>
                    </w:rPr>
                  </w:pPr>
                  <w:r>
                    <w:rPr>
                      <w:bCs/>
                      <w:color w:val="auto"/>
                      <w:kern w:val="0"/>
                      <w:szCs w:val="21"/>
                    </w:rPr>
                    <w:t>监测频率</w:t>
                  </w:r>
                </w:p>
              </w:tc>
              <w:tc>
                <w:tcPr>
                  <w:tcW w:w="2213" w:type="pct"/>
                  <w:tcBorders>
                    <w:top w:val="single" w:color="auto" w:sz="12" w:space="0"/>
                    <w:right w:val="single" w:color="auto" w:sz="12" w:space="0"/>
                  </w:tcBorders>
                  <w:tcMar>
                    <w:left w:w="28" w:type="dxa"/>
                    <w:right w:w="28" w:type="dxa"/>
                  </w:tcMar>
                  <w:vAlign w:val="center"/>
                </w:tcPr>
                <w:p>
                  <w:pPr>
                    <w:spacing w:line="276" w:lineRule="auto"/>
                    <w:jc w:val="center"/>
                    <w:rPr>
                      <w:bCs/>
                      <w:color w:val="auto"/>
                      <w:kern w:val="0"/>
                      <w:szCs w:val="21"/>
                    </w:rPr>
                  </w:pPr>
                  <w:r>
                    <w:rPr>
                      <w:bCs/>
                      <w:color w:val="auto"/>
                      <w:kern w:val="0"/>
                      <w:szCs w:val="21"/>
                    </w:rPr>
                    <w:t>控制指标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709" w:type="pct"/>
                  <w:vMerge w:val="restart"/>
                  <w:tcMar>
                    <w:left w:w="28" w:type="dxa"/>
                    <w:right w:w="28" w:type="dxa"/>
                  </w:tcMar>
                  <w:vAlign w:val="center"/>
                </w:tcPr>
                <w:p>
                  <w:pPr>
                    <w:jc w:val="center"/>
                    <w:rPr>
                      <w:color w:val="auto"/>
                      <w:szCs w:val="21"/>
                    </w:rPr>
                  </w:pPr>
                  <w:r>
                    <w:rPr>
                      <w:color w:val="auto"/>
                      <w:kern w:val="0"/>
                      <w:szCs w:val="21"/>
                    </w:rPr>
                    <w:t>Leq(A)</w:t>
                  </w:r>
                </w:p>
              </w:tc>
              <w:tc>
                <w:tcPr>
                  <w:tcW w:w="814" w:type="pct"/>
                  <w:tcMar>
                    <w:left w:w="28" w:type="dxa"/>
                    <w:right w:w="28" w:type="dxa"/>
                  </w:tcMar>
                  <w:vAlign w:val="center"/>
                </w:tcPr>
                <w:p>
                  <w:pPr>
                    <w:spacing w:line="276" w:lineRule="auto"/>
                    <w:jc w:val="center"/>
                    <w:rPr>
                      <w:bCs/>
                      <w:color w:val="auto"/>
                      <w:kern w:val="0"/>
                      <w:szCs w:val="21"/>
                    </w:rPr>
                  </w:pPr>
                  <w:r>
                    <w:rPr>
                      <w:rFonts w:hint="eastAsia"/>
                      <w:color w:val="auto"/>
                      <w:szCs w:val="21"/>
                    </w:rPr>
                    <w:t>厂界四周</w:t>
                  </w:r>
                </w:p>
              </w:tc>
              <w:tc>
                <w:tcPr>
                  <w:tcW w:w="632" w:type="pct"/>
                  <w:tcMar>
                    <w:left w:w="28" w:type="dxa"/>
                    <w:right w:w="28" w:type="dxa"/>
                  </w:tcMar>
                  <w:vAlign w:val="center"/>
                </w:tcPr>
                <w:p>
                  <w:pPr>
                    <w:jc w:val="center"/>
                    <w:rPr>
                      <w:color w:val="auto"/>
                      <w:kern w:val="0"/>
                      <w:szCs w:val="21"/>
                    </w:rPr>
                  </w:pPr>
                  <w:r>
                    <w:rPr>
                      <w:rFonts w:hint="eastAsia"/>
                      <w:color w:val="auto"/>
                      <w:kern w:val="0"/>
                      <w:szCs w:val="21"/>
                    </w:rPr>
                    <w:t>4</w:t>
                  </w:r>
                  <w:r>
                    <w:rPr>
                      <w:color w:val="auto"/>
                      <w:kern w:val="0"/>
                      <w:szCs w:val="21"/>
                    </w:rPr>
                    <w:t>个</w:t>
                  </w:r>
                </w:p>
              </w:tc>
              <w:tc>
                <w:tcPr>
                  <w:tcW w:w="632" w:type="pct"/>
                  <w:tcMar>
                    <w:left w:w="28" w:type="dxa"/>
                    <w:right w:w="28" w:type="dxa"/>
                  </w:tcMar>
                  <w:vAlign w:val="center"/>
                </w:tcPr>
                <w:p>
                  <w:pPr>
                    <w:jc w:val="center"/>
                    <w:rPr>
                      <w:color w:val="auto"/>
                      <w:kern w:val="0"/>
                      <w:szCs w:val="21"/>
                    </w:rPr>
                  </w:pPr>
                  <w:r>
                    <w:rPr>
                      <w:rFonts w:hint="eastAsia"/>
                      <w:color w:val="auto"/>
                      <w:kern w:val="0"/>
                      <w:szCs w:val="21"/>
                    </w:rPr>
                    <w:t>1次/季度</w:t>
                  </w:r>
                </w:p>
              </w:tc>
              <w:tc>
                <w:tcPr>
                  <w:tcW w:w="2213" w:type="pct"/>
                  <w:tcBorders>
                    <w:right w:val="single" w:color="auto" w:sz="12" w:space="0"/>
                  </w:tcBorders>
                  <w:tcMar>
                    <w:left w:w="28" w:type="dxa"/>
                    <w:right w:w="28" w:type="dxa"/>
                  </w:tcMar>
                  <w:vAlign w:val="center"/>
                </w:tcPr>
                <w:p>
                  <w:pPr>
                    <w:spacing w:line="276" w:lineRule="auto"/>
                    <w:jc w:val="center"/>
                    <w:rPr>
                      <w:bCs/>
                      <w:color w:val="auto"/>
                      <w:kern w:val="0"/>
                      <w:szCs w:val="21"/>
                    </w:rPr>
                  </w:pPr>
                  <w:r>
                    <w:rPr>
                      <w:rFonts w:hint="eastAsia"/>
                      <w:bCs/>
                      <w:color w:val="auto"/>
                      <w:kern w:val="0"/>
                      <w:szCs w:val="21"/>
                    </w:rPr>
                    <w:t>执行《工业企业厂界环境噪声排放标准》（GB12348-2008）2类标准要求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709" w:type="pct"/>
                  <w:vMerge w:val="continue"/>
                  <w:tcMar>
                    <w:left w:w="28" w:type="dxa"/>
                    <w:right w:w="28" w:type="dxa"/>
                  </w:tcMar>
                  <w:vAlign w:val="center"/>
                </w:tcPr>
                <w:p>
                  <w:pPr>
                    <w:jc w:val="center"/>
                    <w:rPr>
                      <w:color w:val="auto"/>
                      <w:kern w:val="0"/>
                      <w:szCs w:val="21"/>
                    </w:rPr>
                  </w:pPr>
                </w:p>
              </w:tc>
              <w:tc>
                <w:tcPr>
                  <w:tcW w:w="814" w:type="pct"/>
                  <w:tcMar>
                    <w:left w:w="28" w:type="dxa"/>
                    <w:right w:w="28" w:type="dxa"/>
                  </w:tcMar>
                  <w:vAlign w:val="center"/>
                </w:tcPr>
                <w:p>
                  <w:pPr>
                    <w:spacing w:line="276" w:lineRule="auto"/>
                    <w:jc w:val="center"/>
                    <w:rPr>
                      <w:color w:val="auto"/>
                      <w:szCs w:val="21"/>
                    </w:rPr>
                  </w:pPr>
                  <w:r>
                    <w:rPr>
                      <w:rFonts w:hint="eastAsia"/>
                      <w:color w:val="auto"/>
                      <w:szCs w:val="21"/>
                    </w:rPr>
                    <w:t>敏感点</w:t>
                  </w:r>
                </w:p>
              </w:tc>
              <w:tc>
                <w:tcPr>
                  <w:tcW w:w="632" w:type="pct"/>
                  <w:tcMar>
                    <w:left w:w="28" w:type="dxa"/>
                    <w:right w:w="28" w:type="dxa"/>
                  </w:tcMar>
                  <w:vAlign w:val="center"/>
                </w:tcPr>
                <w:p>
                  <w:pPr>
                    <w:jc w:val="center"/>
                    <w:rPr>
                      <w:color w:val="auto"/>
                      <w:kern w:val="0"/>
                      <w:szCs w:val="21"/>
                    </w:rPr>
                  </w:pPr>
                  <w:r>
                    <w:rPr>
                      <w:rFonts w:hint="eastAsia"/>
                      <w:color w:val="auto"/>
                      <w:kern w:val="0"/>
                      <w:szCs w:val="21"/>
                    </w:rPr>
                    <w:t>3个</w:t>
                  </w:r>
                </w:p>
              </w:tc>
              <w:tc>
                <w:tcPr>
                  <w:tcW w:w="632" w:type="pct"/>
                  <w:tcBorders>
                    <w:bottom w:val="single" w:color="auto" w:sz="12" w:space="0"/>
                  </w:tcBorders>
                  <w:tcMar>
                    <w:left w:w="28" w:type="dxa"/>
                    <w:right w:w="28" w:type="dxa"/>
                  </w:tcMar>
                  <w:vAlign w:val="center"/>
                </w:tcPr>
                <w:p>
                  <w:pPr>
                    <w:jc w:val="center"/>
                    <w:rPr>
                      <w:color w:val="auto"/>
                      <w:kern w:val="0"/>
                      <w:szCs w:val="21"/>
                    </w:rPr>
                  </w:pPr>
                  <w:r>
                    <w:rPr>
                      <w:rFonts w:hint="eastAsia"/>
                      <w:color w:val="auto"/>
                      <w:kern w:val="0"/>
                      <w:szCs w:val="21"/>
                    </w:rPr>
                    <w:t>1次/季度</w:t>
                  </w:r>
                </w:p>
              </w:tc>
              <w:tc>
                <w:tcPr>
                  <w:tcW w:w="2213" w:type="pct"/>
                  <w:tcBorders>
                    <w:right w:val="single" w:color="auto" w:sz="12" w:space="0"/>
                  </w:tcBorders>
                  <w:tcMar>
                    <w:left w:w="28" w:type="dxa"/>
                    <w:right w:w="28" w:type="dxa"/>
                  </w:tcMar>
                  <w:vAlign w:val="center"/>
                </w:tcPr>
                <w:p>
                  <w:pPr>
                    <w:spacing w:line="276" w:lineRule="auto"/>
                    <w:jc w:val="center"/>
                    <w:rPr>
                      <w:bCs/>
                      <w:color w:val="auto"/>
                      <w:kern w:val="0"/>
                      <w:szCs w:val="21"/>
                    </w:rPr>
                  </w:pPr>
                  <w:r>
                    <w:rPr>
                      <w:rFonts w:hint="eastAsia"/>
                      <w:color w:val="auto"/>
                      <w:szCs w:val="21"/>
                    </w:rPr>
                    <w:t>《声环境质量标准》（GB3096-2008）中的2类标准</w:t>
                  </w:r>
                </w:p>
              </w:tc>
            </w:tr>
          </w:tbl>
          <w:p>
            <w:pPr>
              <w:spacing w:before="120" w:beforeLines="50" w:line="360" w:lineRule="auto"/>
              <w:ind w:firstLine="482" w:firstLineChars="200"/>
              <w:jc w:val="left"/>
              <w:rPr>
                <w:b/>
                <w:color w:val="auto"/>
                <w:sz w:val="24"/>
              </w:rPr>
            </w:pPr>
            <w:bookmarkStart w:id="2" w:name="运营期固废环境影响分析"/>
            <w:r>
              <w:rPr>
                <w:rFonts w:hint="eastAsia"/>
                <w:b/>
                <w:color w:val="auto"/>
                <w:sz w:val="24"/>
              </w:rPr>
              <w:t>4、</w:t>
            </w:r>
            <w:r>
              <w:rPr>
                <w:b/>
                <w:color w:val="auto"/>
                <w:sz w:val="24"/>
              </w:rPr>
              <w:t>固体废物</w:t>
            </w:r>
            <w:bookmarkEnd w:id="2"/>
          </w:p>
          <w:p>
            <w:pPr>
              <w:spacing w:line="360" w:lineRule="auto"/>
              <w:ind w:firstLine="480" w:firstLineChars="200"/>
              <w:rPr>
                <w:color w:val="auto"/>
                <w:sz w:val="24"/>
              </w:rPr>
            </w:pPr>
            <w:r>
              <w:rPr>
                <w:rFonts w:hint="eastAsia"/>
                <w:color w:val="auto"/>
                <w:sz w:val="24"/>
              </w:rPr>
              <w:t>（1）固体废物产生情况及处置措施</w:t>
            </w:r>
          </w:p>
          <w:p>
            <w:pPr>
              <w:spacing w:line="360" w:lineRule="auto"/>
              <w:ind w:firstLine="480" w:firstLineChars="200"/>
              <w:rPr>
                <w:color w:val="auto"/>
                <w:sz w:val="24"/>
              </w:rPr>
            </w:pPr>
            <w:r>
              <w:rPr>
                <w:color w:val="auto"/>
                <w:sz w:val="24"/>
              </w:rPr>
              <w:t>项目运营期固体废物主要生活垃圾、</w:t>
            </w:r>
            <w:r>
              <w:rPr>
                <w:rFonts w:hint="eastAsia"/>
                <w:color w:val="auto"/>
                <w:sz w:val="24"/>
              </w:rPr>
              <w:t>一般工业固体废物和危险废物。一般工业固体废物主要为废包装材料、不合格品及除尘器收集的粉尘。危险废物主要为废润滑油。</w:t>
            </w:r>
          </w:p>
          <w:p>
            <w:pPr>
              <w:spacing w:line="360" w:lineRule="auto"/>
              <w:ind w:firstLine="480" w:firstLineChars="200"/>
              <w:rPr>
                <w:color w:val="auto"/>
                <w:sz w:val="24"/>
              </w:rPr>
            </w:pPr>
            <w:r>
              <w:rPr>
                <w:rFonts w:hint="eastAsia"/>
                <w:color w:val="auto"/>
                <w:sz w:val="24"/>
              </w:rPr>
              <w:t>①生活垃圾</w:t>
            </w:r>
          </w:p>
          <w:p>
            <w:pPr>
              <w:adjustRightInd w:val="0"/>
              <w:spacing w:line="360" w:lineRule="auto"/>
              <w:ind w:firstLine="360" w:firstLineChars="150"/>
              <w:rPr>
                <w:color w:val="auto"/>
                <w:sz w:val="24"/>
              </w:rPr>
            </w:pPr>
            <w:r>
              <w:rPr>
                <w:color w:val="auto"/>
                <w:sz w:val="24"/>
              </w:rPr>
              <w:t>项目职工</w:t>
            </w:r>
            <w:r>
              <w:rPr>
                <w:rFonts w:hint="eastAsia"/>
                <w:color w:val="auto"/>
                <w:sz w:val="24"/>
              </w:rPr>
              <w:t>90</w:t>
            </w:r>
            <w:r>
              <w:rPr>
                <w:color w:val="auto"/>
                <w:sz w:val="24"/>
              </w:rPr>
              <w:t>人，生活垃圾产生量以0.5kg/人·d计，年工作300天，则生活垃圾产生量约为</w:t>
            </w:r>
            <w:r>
              <w:rPr>
                <w:rFonts w:hint="eastAsia"/>
                <w:color w:val="auto"/>
                <w:sz w:val="24"/>
              </w:rPr>
              <w:t>13.5</w:t>
            </w:r>
            <w:r>
              <w:rPr>
                <w:color w:val="auto"/>
                <w:sz w:val="24"/>
              </w:rPr>
              <w:t>t/a。生活垃圾统一收集后交环卫部门处置。</w:t>
            </w:r>
          </w:p>
          <w:p>
            <w:pPr>
              <w:spacing w:line="360" w:lineRule="auto"/>
              <w:ind w:firstLine="480" w:firstLineChars="200"/>
              <w:rPr>
                <w:color w:val="auto"/>
                <w:sz w:val="24"/>
              </w:rPr>
            </w:pPr>
            <w:r>
              <w:rPr>
                <w:rFonts w:hint="eastAsia"/>
                <w:color w:val="auto"/>
                <w:sz w:val="24"/>
              </w:rPr>
              <w:t>②废包装材料</w:t>
            </w:r>
          </w:p>
          <w:p>
            <w:pPr>
              <w:spacing w:line="360" w:lineRule="auto"/>
              <w:ind w:firstLine="480" w:firstLineChars="200"/>
              <w:rPr>
                <w:color w:val="auto"/>
                <w:sz w:val="24"/>
              </w:rPr>
            </w:pPr>
            <w:r>
              <w:rPr>
                <w:rFonts w:hint="eastAsia"/>
                <w:color w:val="auto"/>
                <w:sz w:val="24"/>
              </w:rPr>
              <w:t>项目在拆包及包装工序会产生废包装材料，产生量约为0.5t/a，集中暂存至一般固废间，定期外售。</w:t>
            </w:r>
          </w:p>
          <w:p>
            <w:pPr>
              <w:spacing w:line="360" w:lineRule="auto"/>
              <w:ind w:firstLine="480" w:firstLineChars="200"/>
              <w:rPr>
                <w:color w:val="auto"/>
                <w:sz w:val="24"/>
              </w:rPr>
            </w:pPr>
            <w:r>
              <w:rPr>
                <w:rFonts w:hint="eastAsia"/>
                <w:color w:val="auto"/>
                <w:sz w:val="24"/>
              </w:rPr>
              <w:t>③不合格品</w:t>
            </w:r>
          </w:p>
          <w:p>
            <w:pPr>
              <w:spacing w:line="360" w:lineRule="auto"/>
              <w:ind w:firstLine="480" w:firstLineChars="200"/>
              <w:rPr>
                <w:color w:val="auto"/>
                <w:sz w:val="24"/>
              </w:rPr>
            </w:pPr>
            <w:r>
              <w:rPr>
                <w:rFonts w:hint="eastAsia"/>
                <w:color w:val="auto"/>
                <w:sz w:val="24"/>
              </w:rPr>
              <w:t>项目在成品检测工序会产生不合格产品，产生量约为100t/a，全部回用。</w:t>
            </w:r>
          </w:p>
          <w:p>
            <w:pPr>
              <w:spacing w:line="360" w:lineRule="auto"/>
              <w:ind w:firstLine="480" w:firstLineChars="200"/>
              <w:rPr>
                <w:color w:val="auto"/>
                <w:sz w:val="24"/>
                <w:highlight w:val="none"/>
              </w:rPr>
            </w:pPr>
            <w:r>
              <w:rPr>
                <w:rFonts w:hint="eastAsia"/>
                <w:color w:val="auto"/>
                <w:sz w:val="24"/>
                <w:highlight w:val="none"/>
              </w:rPr>
              <w:t>④除尘器收集的粉尘</w:t>
            </w:r>
          </w:p>
          <w:p>
            <w:pPr>
              <w:spacing w:line="360" w:lineRule="auto"/>
              <w:ind w:firstLine="480" w:firstLineChars="200"/>
              <w:rPr>
                <w:color w:val="auto"/>
                <w:sz w:val="24"/>
                <w:highlight w:val="none"/>
              </w:rPr>
            </w:pPr>
            <w:r>
              <w:rPr>
                <w:rFonts w:hint="eastAsia"/>
                <w:color w:val="auto"/>
                <w:sz w:val="24"/>
                <w:highlight w:val="none"/>
              </w:rPr>
              <w:t>项目产生含尘废气经脉冲布袋除尘器处理后达标排放，除尘器收集的粉尘总量为</w:t>
            </w:r>
            <w:r>
              <w:rPr>
                <w:color w:val="auto"/>
                <w:sz w:val="24"/>
                <w:highlight w:val="none"/>
              </w:rPr>
              <w:t>34.</w:t>
            </w:r>
            <w:r>
              <w:rPr>
                <w:rFonts w:hint="eastAsia"/>
                <w:color w:val="auto"/>
                <w:sz w:val="24"/>
                <w:highlight w:val="none"/>
                <w:lang w:val="en-US" w:eastAsia="zh-CN"/>
              </w:rPr>
              <w:t>25313</w:t>
            </w:r>
            <w:r>
              <w:rPr>
                <w:rFonts w:hint="eastAsia"/>
                <w:color w:val="auto"/>
                <w:sz w:val="24"/>
                <w:highlight w:val="none"/>
              </w:rPr>
              <w:t>t/a，全部回用。</w:t>
            </w:r>
          </w:p>
          <w:p>
            <w:pPr>
              <w:spacing w:line="360" w:lineRule="auto"/>
              <w:ind w:firstLine="480" w:firstLineChars="200"/>
              <w:rPr>
                <w:color w:val="auto"/>
                <w:sz w:val="24"/>
              </w:rPr>
            </w:pPr>
            <w:r>
              <w:rPr>
                <w:rFonts w:hint="eastAsia"/>
                <w:color w:val="auto"/>
                <w:sz w:val="24"/>
              </w:rPr>
              <w:t>⑤废润滑油</w:t>
            </w:r>
          </w:p>
          <w:p>
            <w:pPr>
              <w:spacing w:line="360" w:lineRule="auto"/>
              <w:ind w:firstLine="480" w:firstLineChars="200"/>
              <w:rPr>
                <w:color w:val="auto"/>
                <w:sz w:val="24"/>
              </w:rPr>
            </w:pPr>
            <w:r>
              <w:rPr>
                <w:rFonts w:hint="eastAsia"/>
                <w:color w:val="auto"/>
                <w:sz w:val="24"/>
              </w:rPr>
              <w:t>项目设备检修会产生废润滑油，废润滑油产生量为0.5t/a，属于危险废物，暂存厂内危废间，定期交由有资质单位处置。</w:t>
            </w:r>
          </w:p>
          <w:p>
            <w:pPr>
              <w:adjustRightInd w:val="0"/>
              <w:snapToGrid w:val="0"/>
              <w:spacing w:before="120" w:beforeLines="50" w:line="336" w:lineRule="auto"/>
              <w:ind w:firstLine="480" w:firstLineChars="200"/>
              <w:rPr>
                <w:color w:val="auto"/>
                <w:sz w:val="24"/>
                <w:szCs w:val="20"/>
              </w:rPr>
            </w:pPr>
            <w:r>
              <w:rPr>
                <w:rFonts w:hint="eastAsia"/>
                <w:color w:val="auto"/>
                <w:sz w:val="24"/>
                <w:szCs w:val="20"/>
              </w:rPr>
              <w:t>综上，各类固废产生量及处置措施见表4-19。</w:t>
            </w:r>
          </w:p>
          <w:p>
            <w:pPr>
              <w:jc w:val="center"/>
              <w:rPr>
                <w:rFonts w:hAnsi="宋体"/>
                <w:b/>
                <w:color w:val="auto"/>
                <w:sz w:val="24"/>
                <w:szCs w:val="20"/>
              </w:rPr>
            </w:pPr>
            <w:r>
              <w:rPr>
                <w:rFonts w:hAnsi="宋体"/>
                <w:b/>
                <w:color w:val="auto"/>
                <w:sz w:val="24"/>
                <w:szCs w:val="20"/>
                <w:lang w:val="zh-TW"/>
              </w:rPr>
              <w:t>表</w:t>
            </w:r>
            <w:r>
              <w:rPr>
                <w:rFonts w:hint="eastAsia"/>
                <w:b/>
                <w:color w:val="auto"/>
                <w:sz w:val="24"/>
                <w:szCs w:val="20"/>
              </w:rPr>
              <w:t>4-19</w:t>
            </w:r>
            <w:r>
              <w:rPr>
                <w:b/>
                <w:color w:val="auto"/>
                <w:sz w:val="24"/>
                <w:szCs w:val="20"/>
              </w:rPr>
              <w:t xml:space="preserve">   </w:t>
            </w:r>
            <w:r>
              <w:rPr>
                <w:rFonts w:hAnsi="宋体"/>
                <w:b/>
                <w:color w:val="auto"/>
                <w:sz w:val="24"/>
                <w:szCs w:val="20"/>
              </w:rPr>
              <w:t>项目固体废物排放量及处理措施</w:t>
            </w:r>
          </w:p>
          <w:tbl>
            <w:tblPr>
              <w:tblStyle w:val="18"/>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0" w:type="dxa"/>
                <w:bottom w:w="0" w:type="dxa"/>
                <w:right w:w="0" w:type="dxa"/>
              </w:tblCellMar>
            </w:tblPr>
            <w:tblGrid>
              <w:gridCol w:w="443"/>
              <w:gridCol w:w="869"/>
              <w:gridCol w:w="1143"/>
              <w:gridCol w:w="1005"/>
              <w:gridCol w:w="896"/>
              <w:gridCol w:w="896"/>
              <w:gridCol w:w="896"/>
              <w:gridCol w:w="196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69" w:hRule="atLeast"/>
                <w:jc w:val="center"/>
              </w:trPr>
              <w:tc>
                <w:tcPr>
                  <w:tcW w:w="273" w:type="pct"/>
                  <w:tcBorders>
                    <w:top w:val="single" w:color="auto" w:sz="12" w:space="0"/>
                    <w:left w:val="single" w:color="auto" w:sz="12" w:space="0"/>
                  </w:tcBorders>
                  <w:tcMar>
                    <w:left w:w="6" w:type="dxa"/>
                    <w:right w:w="6" w:type="dxa"/>
                  </w:tcMar>
                  <w:vAlign w:val="center"/>
                </w:tcPr>
                <w:p>
                  <w:pPr>
                    <w:spacing w:line="280" w:lineRule="exact"/>
                    <w:jc w:val="center"/>
                    <w:rPr>
                      <w:color w:val="auto"/>
                      <w:szCs w:val="21"/>
                    </w:rPr>
                  </w:pPr>
                  <w:r>
                    <w:rPr>
                      <w:rFonts w:hAnsi="宋体"/>
                      <w:color w:val="auto"/>
                      <w:szCs w:val="21"/>
                    </w:rPr>
                    <w:t>序号</w:t>
                  </w:r>
                </w:p>
              </w:tc>
              <w:tc>
                <w:tcPr>
                  <w:tcW w:w="535" w:type="pct"/>
                  <w:tcBorders>
                    <w:top w:val="single" w:color="auto" w:sz="12" w:space="0"/>
                  </w:tcBorders>
                  <w:tcMar>
                    <w:left w:w="6" w:type="dxa"/>
                    <w:right w:w="6" w:type="dxa"/>
                  </w:tcMar>
                  <w:vAlign w:val="center"/>
                </w:tcPr>
                <w:p>
                  <w:pPr>
                    <w:spacing w:line="280" w:lineRule="exact"/>
                    <w:jc w:val="center"/>
                    <w:rPr>
                      <w:color w:val="auto"/>
                      <w:szCs w:val="21"/>
                    </w:rPr>
                  </w:pPr>
                  <w:r>
                    <w:rPr>
                      <w:rFonts w:hint="eastAsia" w:hAnsi="宋体"/>
                      <w:color w:val="auto"/>
                      <w:szCs w:val="21"/>
                    </w:rPr>
                    <w:t>名称</w:t>
                  </w:r>
                </w:p>
              </w:tc>
              <w:tc>
                <w:tcPr>
                  <w:tcW w:w="704" w:type="pct"/>
                  <w:tcBorders>
                    <w:top w:val="single" w:color="auto" w:sz="12" w:space="0"/>
                  </w:tcBorders>
                  <w:vAlign w:val="center"/>
                </w:tcPr>
                <w:p>
                  <w:pPr>
                    <w:spacing w:line="280" w:lineRule="exact"/>
                    <w:jc w:val="center"/>
                    <w:rPr>
                      <w:rFonts w:hAnsi="宋体"/>
                      <w:color w:val="auto"/>
                      <w:szCs w:val="21"/>
                    </w:rPr>
                  </w:pPr>
                  <w:r>
                    <w:rPr>
                      <w:rFonts w:hAnsi="宋体"/>
                      <w:color w:val="auto"/>
                      <w:szCs w:val="21"/>
                    </w:rPr>
                    <w:t>产生工序</w:t>
                  </w:r>
                </w:p>
              </w:tc>
              <w:tc>
                <w:tcPr>
                  <w:tcW w:w="619" w:type="pct"/>
                  <w:tcBorders>
                    <w:top w:val="single" w:color="auto" w:sz="12" w:space="0"/>
                  </w:tcBorders>
                  <w:tcMar>
                    <w:left w:w="6" w:type="dxa"/>
                    <w:right w:w="6" w:type="dxa"/>
                  </w:tcMar>
                  <w:vAlign w:val="center"/>
                </w:tcPr>
                <w:p>
                  <w:pPr>
                    <w:spacing w:line="280" w:lineRule="exact"/>
                    <w:jc w:val="center"/>
                    <w:rPr>
                      <w:color w:val="auto"/>
                      <w:szCs w:val="21"/>
                    </w:rPr>
                  </w:pPr>
                  <w:r>
                    <w:rPr>
                      <w:rFonts w:hAnsi="宋体"/>
                      <w:color w:val="auto"/>
                      <w:szCs w:val="21"/>
                    </w:rPr>
                    <w:t>产生量</w:t>
                  </w:r>
                </w:p>
              </w:tc>
              <w:tc>
                <w:tcPr>
                  <w:tcW w:w="552" w:type="pct"/>
                  <w:tcBorders>
                    <w:top w:val="single" w:color="auto" w:sz="12" w:space="0"/>
                    <w:right w:val="single" w:color="auto" w:sz="6" w:space="0"/>
                  </w:tcBorders>
                  <w:vAlign w:val="center"/>
                </w:tcPr>
                <w:p>
                  <w:pPr>
                    <w:spacing w:line="280" w:lineRule="exact"/>
                    <w:jc w:val="center"/>
                    <w:rPr>
                      <w:rFonts w:hAnsi="宋体"/>
                      <w:color w:val="auto"/>
                      <w:szCs w:val="21"/>
                    </w:rPr>
                  </w:pPr>
                  <w:r>
                    <w:rPr>
                      <w:rFonts w:hAnsi="宋体"/>
                      <w:color w:val="auto"/>
                      <w:szCs w:val="21"/>
                    </w:rPr>
                    <w:t>形态</w:t>
                  </w:r>
                </w:p>
              </w:tc>
              <w:tc>
                <w:tcPr>
                  <w:tcW w:w="552" w:type="pct"/>
                  <w:tcBorders>
                    <w:top w:val="single" w:color="auto" w:sz="12" w:space="0"/>
                    <w:right w:val="single" w:color="auto" w:sz="6" w:space="0"/>
                  </w:tcBorders>
                  <w:vAlign w:val="center"/>
                </w:tcPr>
                <w:p>
                  <w:pPr>
                    <w:spacing w:line="280" w:lineRule="exact"/>
                    <w:jc w:val="center"/>
                    <w:rPr>
                      <w:rFonts w:hAnsi="宋体"/>
                      <w:color w:val="auto"/>
                      <w:szCs w:val="21"/>
                    </w:rPr>
                  </w:pPr>
                  <w:r>
                    <w:rPr>
                      <w:rFonts w:hAnsi="宋体"/>
                      <w:color w:val="auto"/>
                      <w:szCs w:val="21"/>
                    </w:rPr>
                    <w:t>主要成分</w:t>
                  </w:r>
                </w:p>
              </w:tc>
              <w:tc>
                <w:tcPr>
                  <w:tcW w:w="552" w:type="pct"/>
                  <w:tcBorders>
                    <w:top w:val="single" w:color="auto" w:sz="12" w:space="0"/>
                    <w:left w:val="single" w:color="auto" w:sz="6" w:space="0"/>
                  </w:tcBorders>
                  <w:vAlign w:val="center"/>
                </w:tcPr>
                <w:p>
                  <w:pPr>
                    <w:spacing w:line="280" w:lineRule="exact"/>
                    <w:jc w:val="center"/>
                    <w:rPr>
                      <w:color w:val="auto"/>
                      <w:szCs w:val="21"/>
                    </w:rPr>
                  </w:pPr>
                  <w:r>
                    <w:rPr>
                      <w:rFonts w:hAnsi="宋体"/>
                      <w:color w:val="auto"/>
                      <w:szCs w:val="21"/>
                    </w:rPr>
                    <w:t>废物属性</w:t>
                  </w:r>
                </w:p>
              </w:tc>
              <w:tc>
                <w:tcPr>
                  <w:tcW w:w="1213" w:type="pct"/>
                  <w:tcBorders>
                    <w:top w:val="single" w:color="auto" w:sz="12" w:space="0"/>
                    <w:right w:val="single" w:color="auto" w:sz="12" w:space="0"/>
                  </w:tcBorders>
                  <w:tcMar>
                    <w:left w:w="6" w:type="dxa"/>
                    <w:right w:w="6" w:type="dxa"/>
                  </w:tcMar>
                  <w:vAlign w:val="center"/>
                </w:tcPr>
                <w:p>
                  <w:pPr>
                    <w:spacing w:line="280" w:lineRule="exact"/>
                    <w:jc w:val="center"/>
                    <w:rPr>
                      <w:color w:val="auto"/>
                      <w:szCs w:val="21"/>
                    </w:rPr>
                  </w:pPr>
                  <w:r>
                    <w:rPr>
                      <w:rFonts w:hAnsi="宋体"/>
                      <w:color w:val="auto"/>
                      <w:szCs w:val="21"/>
                    </w:rPr>
                    <w:t>处置措施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69" w:hRule="atLeast"/>
                <w:jc w:val="center"/>
              </w:trPr>
              <w:tc>
                <w:tcPr>
                  <w:tcW w:w="273" w:type="pct"/>
                  <w:tcBorders>
                    <w:left w:val="single" w:color="auto" w:sz="12" w:space="0"/>
                  </w:tcBorders>
                  <w:tcMar>
                    <w:left w:w="6" w:type="dxa"/>
                    <w:right w:w="6" w:type="dxa"/>
                  </w:tcMar>
                  <w:vAlign w:val="center"/>
                </w:tcPr>
                <w:p>
                  <w:pPr>
                    <w:spacing w:line="280" w:lineRule="exact"/>
                    <w:jc w:val="center"/>
                    <w:rPr>
                      <w:color w:val="auto"/>
                      <w:szCs w:val="21"/>
                    </w:rPr>
                  </w:pPr>
                  <w:r>
                    <w:rPr>
                      <w:rFonts w:hint="eastAsia"/>
                      <w:color w:val="auto"/>
                      <w:szCs w:val="21"/>
                    </w:rPr>
                    <w:t>1</w:t>
                  </w:r>
                </w:p>
              </w:tc>
              <w:tc>
                <w:tcPr>
                  <w:tcW w:w="535" w:type="pct"/>
                  <w:tcMar>
                    <w:left w:w="6" w:type="dxa"/>
                    <w:right w:w="6" w:type="dxa"/>
                  </w:tcMar>
                  <w:vAlign w:val="center"/>
                </w:tcPr>
                <w:p>
                  <w:pPr>
                    <w:jc w:val="center"/>
                    <w:rPr>
                      <w:color w:val="auto"/>
                      <w:szCs w:val="21"/>
                    </w:rPr>
                  </w:pPr>
                  <w:r>
                    <w:rPr>
                      <w:rFonts w:hint="eastAsia"/>
                      <w:color w:val="auto"/>
                      <w:szCs w:val="21"/>
                    </w:rPr>
                    <w:t>生活垃圾</w:t>
                  </w:r>
                </w:p>
              </w:tc>
              <w:tc>
                <w:tcPr>
                  <w:tcW w:w="704" w:type="pct"/>
                  <w:vAlign w:val="center"/>
                </w:tcPr>
                <w:p>
                  <w:pPr>
                    <w:jc w:val="center"/>
                    <w:rPr>
                      <w:color w:val="auto"/>
                      <w:szCs w:val="21"/>
                    </w:rPr>
                  </w:pPr>
                  <w:r>
                    <w:rPr>
                      <w:color w:val="auto"/>
                      <w:szCs w:val="21"/>
                    </w:rPr>
                    <w:t>办公生活</w:t>
                  </w:r>
                </w:p>
              </w:tc>
              <w:tc>
                <w:tcPr>
                  <w:tcW w:w="619" w:type="pct"/>
                  <w:tcMar>
                    <w:left w:w="6" w:type="dxa"/>
                    <w:right w:w="6" w:type="dxa"/>
                  </w:tcMar>
                  <w:vAlign w:val="center"/>
                </w:tcPr>
                <w:p>
                  <w:pPr>
                    <w:jc w:val="center"/>
                    <w:rPr>
                      <w:color w:val="auto"/>
                      <w:szCs w:val="21"/>
                    </w:rPr>
                  </w:pPr>
                  <w:r>
                    <w:rPr>
                      <w:color w:val="auto"/>
                      <w:szCs w:val="21"/>
                    </w:rPr>
                    <w:t>13.5</w:t>
                  </w:r>
                </w:p>
              </w:tc>
              <w:tc>
                <w:tcPr>
                  <w:tcW w:w="552" w:type="pct"/>
                  <w:tcBorders>
                    <w:right w:val="single" w:color="auto" w:sz="6" w:space="0"/>
                  </w:tcBorders>
                  <w:vAlign w:val="center"/>
                </w:tcPr>
                <w:p>
                  <w:pPr>
                    <w:spacing w:line="280" w:lineRule="exact"/>
                    <w:jc w:val="center"/>
                    <w:rPr>
                      <w:rFonts w:hAnsi="宋体"/>
                      <w:color w:val="auto"/>
                      <w:szCs w:val="21"/>
                    </w:rPr>
                  </w:pPr>
                  <w:r>
                    <w:rPr>
                      <w:rFonts w:hAnsi="宋体"/>
                      <w:color w:val="auto"/>
                      <w:szCs w:val="21"/>
                    </w:rPr>
                    <w:t>固态</w:t>
                  </w:r>
                </w:p>
              </w:tc>
              <w:tc>
                <w:tcPr>
                  <w:tcW w:w="552" w:type="pct"/>
                  <w:tcBorders>
                    <w:right w:val="single" w:color="auto" w:sz="6" w:space="0"/>
                  </w:tcBorders>
                  <w:vAlign w:val="center"/>
                </w:tcPr>
                <w:p>
                  <w:pPr>
                    <w:spacing w:line="280" w:lineRule="exact"/>
                    <w:jc w:val="center"/>
                    <w:rPr>
                      <w:rFonts w:hAnsi="宋体"/>
                      <w:color w:val="auto"/>
                      <w:szCs w:val="21"/>
                    </w:rPr>
                  </w:pPr>
                  <w:r>
                    <w:rPr>
                      <w:rFonts w:hAnsi="宋体"/>
                      <w:color w:val="auto"/>
                      <w:szCs w:val="21"/>
                    </w:rPr>
                    <w:t>塑料、织物、废纸等</w:t>
                  </w:r>
                </w:p>
              </w:tc>
              <w:tc>
                <w:tcPr>
                  <w:tcW w:w="552" w:type="pct"/>
                  <w:tcBorders>
                    <w:top w:val="single" w:color="auto" w:sz="6" w:space="0"/>
                    <w:left w:val="single" w:color="auto" w:sz="6" w:space="0"/>
                  </w:tcBorders>
                  <w:vAlign w:val="center"/>
                </w:tcPr>
                <w:p>
                  <w:pPr>
                    <w:spacing w:line="280" w:lineRule="exact"/>
                    <w:jc w:val="center"/>
                    <w:rPr>
                      <w:rFonts w:hAnsi="宋体"/>
                      <w:color w:val="auto"/>
                      <w:szCs w:val="21"/>
                    </w:rPr>
                  </w:pPr>
                  <w:r>
                    <w:rPr>
                      <w:rFonts w:hAnsi="宋体"/>
                      <w:color w:val="auto"/>
                      <w:szCs w:val="21"/>
                    </w:rPr>
                    <w:t>生活垃圾</w:t>
                  </w:r>
                </w:p>
              </w:tc>
              <w:tc>
                <w:tcPr>
                  <w:tcW w:w="1213" w:type="pct"/>
                  <w:tcBorders>
                    <w:top w:val="single" w:color="auto" w:sz="6" w:space="0"/>
                    <w:right w:val="single" w:color="auto" w:sz="12" w:space="0"/>
                  </w:tcBorders>
                  <w:tcMar>
                    <w:left w:w="6" w:type="dxa"/>
                    <w:right w:w="6" w:type="dxa"/>
                  </w:tcMar>
                  <w:vAlign w:val="center"/>
                </w:tcPr>
                <w:p>
                  <w:pPr>
                    <w:spacing w:line="276" w:lineRule="auto"/>
                    <w:jc w:val="center"/>
                    <w:rPr>
                      <w:rFonts w:hAnsi="宋体"/>
                      <w:color w:val="auto"/>
                      <w:szCs w:val="21"/>
                    </w:rPr>
                  </w:pPr>
                  <w:r>
                    <w:rPr>
                      <w:rFonts w:hint="eastAsia" w:hAnsi="宋体"/>
                      <w:color w:val="auto"/>
                      <w:szCs w:val="21"/>
                    </w:rPr>
                    <w:t>厂内收集暂存后由环卫部门统一清运。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69" w:hRule="atLeast"/>
                <w:jc w:val="center"/>
              </w:trPr>
              <w:tc>
                <w:tcPr>
                  <w:tcW w:w="273" w:type="pct"/>
                  <w:tcBorders>
                    <w:left w:val="single" w:color="auto" w:sz="12" w:space="0"/>
                  </w:tcBorders>
                  <w:tcMar>
                    <w:left w:w="6" w:type="dxa"/>
                    <w:right w:w="6" w:type="dxa"/>
                  </w:tcMar>
                  <w:vAlign w:val="center"/>
                </w:tcPr>
                <w:p>
                  <w:pPr>
                    <w:spacing w:line="280" w:lineRule="exact"/>
                    <w:jc w:val="center"/>
                    <w:rPr>
                      <w:color w:val="auto"/>
                      <w:szCs w:val="21"/>
                    </w:rPr>
                  </w:pPr>
                  <w:r>
                    <w:rPr>
                      <w:rFonts w:hint="eastAsia"/>
                      <w:color w:val="auto"/>
                      <w:szCs w:val="21"/>
                    </w:rPr>
                    <w:t>2</w:t>
                  </w:r>
                </w:p>
              </w:tc>
              <w:tc>
                <w:tcPr>
                  <w:tcW w:w="535" w:type="pct"/>
                  <w:tcMar>
                    <w:left w:w="6" w:type="dxa"/>
                    <w:right w:w="6" w:type="dxa"/>
                  </w:tcMar>
                  <w:vAlign w:val="center"/>
                </w:tcPr>
                <w:p>
                  <w:pPr>
                    <w:jc w:val="center"/>
                    <w:rPr>
                      <w:color w:val="auto"/>
                      <w:szCs w:val="21"/>
                      <w:lang w:val="zh-CN"/>
                    </w:rPr>
                  </w:pPr>
                  <w:r>
                    <w:rPr>
                      <w:rFonts w:hint="eastAsia"/>
                      <w:color w:val="auto"/>
                      <w:szCs w:val="21"/>
                      <w:lang w:val="zh-CN"/>
                    </w:rPr>
                    <w:t>废包装材料</w:t>
                  </w:r>
                </w:p>
              </w:tc>
              <w:tc>
                <w:tcPr>
                  <w:tcW w:w="704" w:type="pct"/>
                  <w:vAlign w:val="center"/>
                </w:tcPr>
                <w:p>
                  <w:pPr>
                    <w:jc w:val="center"/>
                    <w:rPr>
                      <w:color w:val="auto"/>
                      <w:szCs w:val="21"/>
                    </w:rPr>
                  </w:pPr>
                  <w:r>
                    <w:rPr>
                      <w:color w:val="auto"/>
                      <w:szCs w:val="21"/>
                    </w:rPr>
                    <w:t>拆包、包装</w:t>
                  </w:r>
                </w:p>
              </w:tc>
              <w:tc>
                <w:tcPr>
                  <w:tcW w:w="619" w:type="pct"/>
                  <w:tcMar>
                    <w:left w:w="6" w:type="dxa"/>
                    <w:right w:w="6" w:type="dxa"/>
                  </w:tcMar>
                  <w:vAlign w:val="center"/>
                </w:tcPr>
                <w:p>
                  <w:pPr>
                    <w:jc w:val="center"/>
                    <w:rPr>
                      <w:color w:val="auto"/>
                      <w:szCs w:val="21"/>
                    </w:rPr>
                  </w:pPr>
                  <w:r>
                    <w:rPr>
                      <w:color w:val="auto"/>
                      <w:szCs w:val="21"/>
                    </w:rPr>
                    <w:t>0.5</w:t>
                  </w:r>
                </w:p>
              </w:tc>
              <w:tc>
                <w:tcPr>
                  <w:tcW w:w="552" w:type="pct"/>
                  <w:tcBorders>
                    <w:right w:val="single" w:color="auto" w:sz="6" w:space="0"/>
                  </w:tcBorders>
                  <w:vAlign w:val="center"/>
                </w:tcPr>
                <w:p>
                  <w:pPr>
                    <w:spacing w:line="280" w:lineRule="exact"/>
                    <w:jc w:val="center"/>
                    <w:rPr>
                      <w:color w:val="auto"/>
                      <w:szCs w:val="21"/>
                    </w:rPr>
                  </w:pPr>
                  <w:r>
                    <w:rPr>
                      <w:rFonts w:hAnsi="宋体"/>
                      <w:color w:val="auto"/>
                      <w:szCs w:val="21"/>
                    </w:rPr>
                    <w:t>固态</w:t>
                  </w:r>
                </w:p>
              </w:tc>
              <w:tc>
                <w:tcPr>
                  <w:tcW w:w="552" w:type="pct"/>
                  <w:tcBorders>
                    <w:right w:val="single" w:color="auto" w:sz="6" w:space="0"/>
                  </w:tcBorders>
                  <w:vAlign w:val="center"/>
                </w:tcPr>
                <w:p>
                  <w:pPr>
                    <w:spacing w:line="280" w:lineRule="exact"/>
                    <w:jc w:val="center"/>
                    <w:rPr>
                      <w:color w:val="auto"/>
                      <w:szCs w:val="21"/>
                    </w:rPr>
                  </w:pPr>
                  <w:r>
                    <w:rPr>
                      <w:color w:val="auto"/>
                      <w:szCs w:val="21"/>
                    </w:rPr>
                    <w:t>编织袋、塑料袋等</w:t>
                  </w:r>
                </w:p>
              </w:tc>
              <w:tc>
                <w:tcPr>
                  <w:tcW w:w="552" w:type="pct"/>
                  <w:tcBorders>
                    <w:left w:val="single" w:color="auto" w:sz="6" w:space="0"/>
                  </w:tcBorders>
                  <w:vAlign w:val="center"/>
                </w:tcPr>
                <w:p>
                  <w:pPr>
                    <w:spacing w:line="280" w:lineRule="exact"/>
                    <w:jc w:val="center"/>
                    <w:rPr>
                      <w:color w:val="auto"/>
                      <w:szCs w:val="21"/>
                    </w:rPr>
                  </w:pPr>
                  <w:r>
                    <w:rPr>
                      <w:color w:val="auto"/>
                      <w:szCs w:val="21"/>
                    </w:rPr>
                    <w:t>一般固废</w:t>
                  </w:r>
                </w:p>
              </w:tc>
              <w:tc>
                <w:tcPr>
                  <w:tcW w:w="1213" w:type="pct"/>
                  <w:tcBorders>
                    <w:right w:val="single" w:color="auto" w:sz="12" w:space="0"/>
                  </w:tcBorders>
                  <w:tcMar>
                    <w:left w:w="6" w:type="dxa"/>
                    <w:right w:w="6" w:type="dxa"/>
                  </w:tcMar>
                  <w:vAlign w:val="center"/>
                </w:tcPr>
                <w:p>
                  <w:pPr>
                    <w:spacing w:line="276" w:lineRule="auto"/>
                    <w:jc w:val="center"/>
                    <w:rPr>
                      <w:rFonts w:hAnsi="宋体"/>
                      <w:color w:val="auto"/>
                      <w:szCs w:val="21"/>
                    </w:rPr>
                  </w:pPr>
                  <w:r>
                    <w:rPr>
                      <w:rFonts w:hAnsi="宋体"/>
                      <w:color w:val="auto"/>
                      <w:szCs w:val="21"/>
                    </w:rPr>
                    <w:t>暂存厂内一般固废暂存间，定期外售。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69" w:hRule="atLeast"/>
                <w:jc w:val="center"/>
              </w:trPr>
              <w:tc>
                <w:tcPr>
                  <w:tcW w:w="273" w:type="pct"/>
                  <w:tcBorders>
                    <w:left w:val="single" w:color="auto" w:sz="12" w:space="0"/>
                  </w:tcBorders>
                  <w:tcMar>
                    <w:left w:w="6" w:type="dxa"/>
                    <w:right w:w="6" w:type="dxa"/>
                  </w:tcMar>
                  <w:vAlign w:val="center"/>
                </w:tcPr>
                <w:p>
                  <w:pPr>
                    <w:spacing w:line="280" w:lineRule="exact"/>
                    <w:jc w:val="center"/>
                    <w:rPr>
                      <w:color w:val="auto"/>
                      <w:szCs w:val="21"/>
                    </w:rPr>
                  </w:pPr>
                  <w:r>
                    <w:rPr>
                      <w:rFonts w:hint="eastAsia"/>
                      <w:color w:val="auto"/>
                      <w:szCs w:val="21"/>
                    </w:rPr>
                    <w:t>3</w:t>
                  </w:r>
                </w:p>
              </w:tc>
              <w:tc>
                <w:tcPr>
                  <w:tcW w:w="535" w:type="pct"/>
                  <w:tcMar>
                    <w:left w:w="6" w:type="dxa"/>
                    <w:right w:w="6" w:type="dxa"/>
                  </w:tcMar>
                  <w:vAlign w:val="center"/>
                </w:tcPr>
                <w:p>
                  <w:pPr>
                    <w:jc w:val="center"/>
                    <w:rPr>
                      <w:color w:val="auto"/>
                      <w:szCs w:val="21"/>
                      <w:lang w:val="zh-CN"/>
                    </w:rPr>
                  </w:pPr>
                  <w:r>
                    <w:rPr>
                      <w:rFonts w:hint="eastAsia"/>
                      <w:color w:val="auto"/>
                      <w:szCs w:val="21"/>
                      <w:lang w:val="zh-CN"/>
                    </w:rPr>
                    <w:t>不合格品</w:t>
                  </w:r>
                </w:p>
              </w:tc>
              <w:tc>
                <w:tcPr>
                  <w:tcW w:w="704" w:type="pct"/>
                  <w:vAlign w:val="center"/>
                </w:tcPr>
                <w:p>
                  <w:pPr>
                    <w:jc w:val="center"/>
                    <w:rPr>
                      <w:color w:val="auto"/>
                      <w:szCs w:val="21"/>
                    </w:rPr>
                  </w:pPr>
                  <w:r>
                    <w:rPr>
                      <w:rFonts w:hint="eastAsia"/>
                      <w:color w:val="auto"/>
                      <w:szCs w:val="21"/>
                    </w:rPr>
                    <w:t>检测</w:t>
                  </w:r>
                </w:p>
              </w:tc>
              <w:tc>
                <w:tcPr>
                  <w:tcW w:w="619" w:type="pct"/>
                  <w:tcMar>
                    <w:left w:w="6" w:type="dxa"/>
                    <w:right w:w="6" w:type="dxa"/>
                  </w:tcMar>
                  <w:vAlign w:val="center"/>
                </w:tcPr>
                <w:p>
                  <w:pPr>
                    <w:jc w:val="center"/>
                    <w:rPr>
                      <w:color w:val="auto"/>
                      <w:szCs w:val="21"/>
                    </w:rPr>
                  </w:pPr>
                  <w:r>
                    <w:rPr>
                      <w:rFonts w:hint="eastAsia"/>
                      <w:color w:val="auto"/>
                      <w:szCs w:val="21"/>
                    </w:rPr>
                    <w:t>100</w:t>
                  </w:r>
                </w:p>
              </w:tc>
              <w:tc>
                <w:tcPr>
                  <w:tcW w:w="552" w:type="pct"/>
                  <w:tcBorders>
                    <w:right w:val="single" w:color="auto" w:sz="6" w:space="0"/>
                  </w:tcBorders>
                  <w:vAlign w:val="center"/>
                </w:tcPr>
                <w:p>
                  <w:pPr>
                    <w:spacing w:line="280" w:lineRule="exact"/>
                    <w:jc w:val="center"/>
                    <w:rPr>
                      <w:color w:val="auto"/>
                      <w:szCs w:val="21"/>
                    </w:rPr>
                  </w:pPr>
                  <w:r>
                    <w:rPr>
                      <w:rFonts w:hAnsi="宋体"/>
                      <w:color w:val="auto"/>
                      <w:szCs w:val="21"/>
                    </w:rPr>
                    <w:t>固态</w:t>
                  </w:r>
                </w:p>
              </w:tc>
              <w:tc>
                <w:tcPr>
                  <w:tcW w:w="552" w:type="pct"/>
                  <w:tcBorders>
                    <w:right w:val="single" w:color="auto" w:sz="6" w:space="0"/>
                  </w:tcBorders>
                  <w:vAlign w:val="center"/>
                </w:tcPr>
                <w:p>
                  <w:pPr>
                    <w:spacing w:line="280" w:lineRule="exact"/>
                    <w:jc w:val="center"/>
                    <w:rPr>
                      <w:color w:val="auto"/>
                      <w:szCs w:val="21"/>
                    </w:rPr>
                  </w:pPr>
                  <w:r>
                    <w:rPr>
                      <w:color w:val="auto"/>
                      <w:szCs w:val="21"/>
                    </w:rPr>
                    <w:t>水泥、石灰、外加剂等</w:t>
                  </w:r>
                </w:p>
              </w:tc>
              <w:tc>
                <w:tcPr>
                  <w:tcW w:w="552" w:type="pct"/>
                  <w:tcBorders>
                    <w:left w:val="single" w:color="auto" w:sz="6" w:space="0"/>
                  </w:tcBorders>
                  <w:vAlign w:val="center"/>
                </w:tcPr>
                <w:p>
                  <w:pPr>
                    <w:spacing w:line="280" w:lineRule="exact"/>
                    <w:jc w:val="center"/>
                    <w:rPr>
                      <w:color w:val="auto"/>
                      <w:szCs w:val="21"/>
                    </w:rPr>
                  </w:pPr>
                  <w:r>
                    <w:rPr>
                      <w:color w:val="auto"/>
                      <w:szCs w:val="21"/>
                    </w:rPr>
                    <w:t>一般固废</w:t>
                  </w:r>
                </w:p>
              </w:tc>
              <w:tc>
                <w:tcPr>
                  <w:tcW w:w="1213" w:type="pct"/>
                  <w:tcBorders>
                    <w:right w:val="single" w:color="auto" w:sz="12" w:space="0"/>
                  </w:tcBorders>
                  <w:tcMar>
                    <w:left w:w="6" w:type="dxa"/>
                    <w:right w:w="6" w:type="dxa"/>
                  </w:tcMar>
                  <w:vAlign w:val="center"/>
                </w:tcPr>
                <w:p>
                  <w:pPr>
                    <w:spacing w:line="276" w:lineRule="auto"/>
                    <w:jc w:val="center"/>
                    <w:rPr>
                      <w:rFonts w:hAnsi="宋体"/>
                      <w:color w:val="auto"/>
                      <w:szCs w:val="21"/>
                    </w:rPr>
                  </w:pPr>
                  <w:r>
                    <w:rPr>
                      <w:rFonts w:hint="eastAsia"/>
                      <w:color w:val="auto"/>
                      <w:szCs w:val="21"/>
                    </w:rPr>
                    <w:t>全部回收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69" w:hRule="atLeast"/>
                <w:jc w:val="center"/>
              </w:trPr>
              <w:tc>
                <w:tcPr>
                  <w:tcW w:w="273" w:type="pct"/>
                  <w:tcBorders>
                    <w:left w:val="single" w:color="auto" w:sz="12" w:space="0"/>
                    <w:bottom w:val="single" w:color="auto" w:sz="12" w:space="0"/>
                  </w:tcBorders>
                  <w:tcMar>
                    <w:left w:w="6" w:type="dxa"/>
                    <w:right w:w="6" w:type="dxa"/>
                  </w:tcMar>
                  <w:vAlign w:val="center"/>
                </w:tcPr>
                <w:p>
                  <w:pPr>
                    <w:spacing w:line="280" w:lineRule="exact"/>
                    <w:jc w:val="center"/>
                    <w:rPr>
                      <w:color w:val="auto"/>
                      <w:szCs w:val="21"/>
                    </w:rPr>
                  </w:pPr>
                  <w:r>
                    <w:rPr>
                      <w:rFonts w:hint="eastAsia"/>
                      <w:color w:val="auto"/>
                      <w:szCs w:val="21"/>
                    </w:rPr>
                    <w:t>4</w:t>
                  </w:r>
                </w:p>
              </w:tc>
              <w:tc>
                <w:tcPr>
                  <w:tcW w:w="535" w:type="pct"/>
                  <w:tcBorders>
                    <w:bottom w:val="single" w:color="auto" w:sz="12" w:space="0"/>
                  </w:tcBorders>
                  <w:tcMar>
                    <w:left w:w="6" w:type="dxa"/>
                    <w:right w:w="6" w:type="dxa"/>
                  </w:tcMar>
                  <w:vAlign w:val="center"/>
                </w:tcPr>
                <w:p>
                  <w:pPr>
                    <w:jc w:val="center"/>
                    <w:rPr>
                      <w:color w:val="auto"/>
                      <w:szCs w:val="21"/>
                      <w:highlight w:val="none"/>
                      <w:lang w:val="zh-CN"/>
                    </w:rPr>
                  </w:pPr>
                  <w:r>
                    <w:rPr>
                      <w:rFonts w:hint="eastAsia"/>
                      <w:color w:val="auto"/>
                      <w:szCs w:val="21"/>
                      <w:highlight w:val="none"/>
                      <w:lang w:val="zh-CN"/>
                    </w:rPr>
                    <w:t>除尘器收集的粉尘</w:t>
                  </w:r>
                </w:p>
              </w:tc>
              <w:tc>
                <w:tcPr>
                  <w:tcW w:w="704" w:type="pct"/>
                  <w:tcBorders>
                    <w:bottom w:val="single" w:color="auto" w:sz="12" w:space="0"/>
                  </w:tcBorders>
                  <w:vAlign w:val="center"/>
                </w:tcPr>
                <w:p>
                  <w:pPr>
                    <w:jc w:val="center"/>
                    <w:rPr>
                      <w:color w:val="auto"/>
                      <w:szCs w:val="21"/>
                      <w:highlight w:val="none"/>
                    </w:rPr>
                  </w:pPr>
                  <w:r>
                    <w:rPr>
                      <w:rFonts w:hint="eastAsia"/>
                      <w:color w:val="auto"/>
                      <w:szCs w:val="21"/>
                      <w:highlight w:val="none"/>
                    </w:rPr>
                    <w:t>废气处理</w:t>
                  </w:r>
                </w:p>
              </w:tc>
              <w:tc>
                <w:tcPr>
                  <w:tcW w:w="619" w:type="pct"/>
                  <w:tcBorders>
                    <w:bottom w:val="single" w:color="auto" w:sz="12" w:space="0"/>
                  </w:tcBorders>
                  <w:tcMar>
                    <w:left w:w="6" w:type="dxa"/>
                    <w:right w:w="6" w:type="dxa"/>
                  </w:tcMar>
                  <w:vAlign w:val="center"/>
                </w:tcPr>
                <w:p>
                  <w:pPr>
                    <w:jc w:val="center"/>
                    <w:rPr>
                      <w:color w:val="auto"/>
                      <w:szCs w:val="21"/>
                      <w:highlight w:val="none"/>
                    </w:rPr>
                  </w:pPr>
                  <w:r>
                    <w:rPr>
                      <w:rFonts w:hint="eastAsia"/>
                      <w:color w:val="auto"/>
                      <w:szCs w:val="21"/>
                      <w:highlight w:val="none"/>
                    </w:rPr>
                    <w:t>34.25313</w:t>
                  </w:r>
                </w:p>
              </w:tc>
              <w:tc>
                <w:tcPr>
                  <w:tcW w:w="552" w:type="pct"/>
                  <w:tcBorders>
                    <w:bottom w:val="single" w:color="auto" w:sz="12" w:space="0"/>
                    <w:right w:val="single" w:color="auto" w:sz="6" w:space="0"/>
                  </w:tcBorders>
                  <w:vAlign w:val="center"/>
                </w:tcPr>
                <w:p>
                  <w:pPr>
                    <w:spacing w:line="280" w:lineRule="exact"/>
                    <w:jc w:val="center"/>
                    <w:rPr>
                      <w:color w:val="auto"/>
                      <w:szCs w:val="21"/>
                      <w:highlight w:val="none"/>
                    </w:rPr>
                  </w:pPr>
                  <w:r>
                    <w:rPr>
                      <w:rFonts w:hAnsi="宋体"/>
                      <w:color w:val="auto"/>
                      <w:szCs w:val="21"/>
                      <w:highlight w:val="none"/>
                    </w:rPr>
                    <w:t>固态</w:t>
                  </w:r>
                </w:p>
              </w:tc>
              <w:tc>
                <w:tcPr>
                  <w:tcW w:w="552" w:type="pct"/>
                  <w:tcBorders>
                    <w:bottom w:val="single" w:color="auto" w:sz="12" w:space="0"/>
                    <w:right w:val="single" w:color="auto" w:sz="6" w:space="0"/>
                  </w:tcBorders>
                  <w:vAlign w:val="center"/>
                </w:tcPr>
                <w:p>
                  <w:pPr>
                    <w:spacing w:line="280" w:lineRule="exact"/>
                    <w:jc w:val="center"/>
                    <w:rPr>
                      <w:color w:val="auto"/>
                      <w:szCs w:val="21"/>
                      <w:highlight w:val="none"/>
                    </w:rPr>
                  </w:pPr>
                  <w:r>
                    <w:rPr>
                      <w:rFonts w:hint="eastAsia"/>
                      <w:color w:val="auto"/>
                      <w:szCs w:val="21"/>
                      <w:highlight w:val="none"/>
                    </w:rPr>
                    <w:t>水泥、石灰、外加剂等</w:t>
                  </w:r>
                </w:p>
              </w:tc>
              <w:tc>
                <w:tcPr>
                  <w:tcW w:w="552" w:type="pct"/>
                  <w:tcBorders>
                    <w:left w:val="single" w:color="auto" w:sz="6" w:space="0"/>
                    <w:bottom w:val="single" w:color="auto" w:sz="12" w:space="0"/>
                  </w:tcBorders>
                  <w:vAlign w:val="center"/>
                </w:tcPr>
                <w:p>
                  <w:pPr>
                    <w:spacing w:line="280" w:lineRule="exact"/>
                    <w:jc w:val="center"/>
                    <w:rPr>
                      <w:color w:val="auto"/>
                      <w:szCs w:val="21"/>
                      <w:highlight w:val="none"/>
                    </w:rPr>
                  </w:pPr>
                  <w:r>
                    <w:rPr>
                      <w:rFonts w:hint="eastAsia"/>
                      <w:color w:val="auto"/>
                      <w:szCs w:val="21"/>
                      <w:highlight w:val="none"/>
                    </w:rPr>
                    <w:t>一般固废</w:t>
                  </w:r>
                </w:p>
              </w:tc>
              <w:tc>
                <w:tcPr>
                  <w:tcW w:w="1213" w:type="pct"/>
                  <w:tcBorders>
                    <w:bottom w:val="single" w:color="auto" w:sz="12" w:space="0"/>
                    <w:right w:val="single" w:color="auto" w:sz="12" w:space="0"/>
                  </w:tcBorders>
                  <w:tcMar>
                    <w:left w:w="6" w:type="dxa"/>
                    <w:right w:w="6" w:type="dxa"/>
                  </w:tcMar>
                  <w:vAlign w:val="center"/>
                </w:tcPr>
                <w:p>
                  <w:pPr>
                    <w:spacing w:line="276" w:lineRule="auto"/>
                    <w:jc w:val="center"/>
                    <w:rPr>
                      <w:color w:val="auto"/>
                      <w:szCs w:val="21"/>
                      <w:highlight w:val="none"/>
                    </w:rPr>
                  </w:pPr>
                  <w:r>
                    <w:rPr>
                      <w:rFonts w:hint="eastAsia"/>
                      <w:color w:val="auto"/>
                      <w:szCs w:val="21"/>
                      <w:highlight w:val="none"/>
                    </w:rPr>
                    <w:t>全部回收</w:t>
                  </w:r>
                </w:p>
              </w:tc>
            </w:tr>
          </w:tbl>
          <w:p>
            <w:pPr>
              <w:autoSpaceDE w:val="0"/>
              <w:autoSpaceDN w:val="0"/>
              <w:adjustRightInd w:val="0"/>
              <w:spacing w:line="360" w:lineRule="auto"/>
              <w:ind w:firstLine="480" w:firstLineChars="200"/>
              <w:jc w:val="left"/>
              <w:rPr>
                <w:rFonts w:hAnsi="宋体"/>
                <w:color w:val="auto"/>
                <w:sz w:val="24"/>
                <w:szCs w:val="20"/>
              </w:rPr>
            </w:pPr>
            <w:r>
              <w:rPr>
                <w:rFonts w:hint="eastAsia"/>
                <w:color w:val="auto"/>
                <w:sz w:val="24"/>
                <w:szCs w:val="20"/>
                <w:lang w:val="zh-CN"/>
              </w:rPr>
              <w:t>项目危险</w:t>
            </w:r>
            <w:r>
              <w:rPr>
                <w:rFonts w:hint="eastAsia"/>
                <w:color w:val="auto"/>
                <w:sz w:val="24"/>
                <w:szCs w:val="20"/>
              </w:rPr>
              <w:t>废物产生情况见表4-20。</w:t>
            </w:r>
          </w:p>
          <w:p>
            <w:pPr>
              <w:jc w:val="center"/>
              <w:rPr>
                <w:b/>
                <w:color w:val="auto"/>
                <w:sz w:val="24"/>
                <w:szCs w:val="21"/>
              </w:rPr>
            </w:pPr>
            <w:r>
              <w:rPr>
                <w:rFonts w:hint="eastAsia"/>
                <w:b/>
                <w:bCs/>
                <w:color w:val="auto"/>
                <w:sz w:val="24"/>
                <w:szCs w:val="21"/>
                <w:lang w:val="zh-CN"/>
              </w:rPr>
              <w:t>表</w:t>
            </w:r>
            <w:r>
              <w:rPr>
                <w:rFonts w:hint="eastAsia"/>
                <w:b/>
                <w:bCs/>
                <w:color w:val="auto"/>
                <w:sz w:val="24"/>
                <w:szCs w:val="21"/>
              </w:rPr>
              <w:t>4-20</w:t>
            </w:r>
            <w:r>
              <w:rPr>
                <w:rFonts w:hint="eastAsia"/>
                <w:b/>
                <w:bCs/>
                <w:color w:val="auto"/>
                <w:sz w:val="24"/>
                <w:szCs w:val="21"/>
                <w:lang w:val="zh-CN"/>
              </w:rPr>
              <w:t xml:space="preserve">   项目危险废物产生情况</w:t>
            </w:r>
            <w:r>
              <w:rPr>
                <w:rFonts w:hint="eastAsia"/>
                <w:b/>
                <w:bCs/>
                <w:color w:val="auto"/>
                <w:sz w:val="24"/>
                <w:szCs w:val="21"/>
              </w:rPr>
              <w:t>及处置方式一览表</w:t>
            </w:r>
          </w:p>
          <w:tbl>
            <w:tblPr>
              <w:tblStyle w:val="18"/>
              <w:tblW w:w="8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6" w:type="dxa"/>
                <w:bottom w:w="0" w:type="dxa"/>
                <w:right w:w="6" w:type="dxa"/>
              </w:tblCellMar>
            </w:tblPr>
            <w:tblGrid>
              <w:gridCol w:w="278"/>
              <w:gridCol w:w="612"/>
              <w:gridCol w:w="697"/>
              <w:gridCol w:w="992"/>
              <w:gridCol w:w="702"/>
              <w:gridCol w:w="942"/>
              <w:gridCol w:w="268"/>
              <w:gridCol w:w="555"/>
              <w:gridCol w:w="555"/>
              <w:gridCol w:w="536"/>
              <w:gridCol w:w="548"/>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blHeader/>
                <w:jc w:val="center"/>
              </w:trPr>
              <w:tc>
                <w:tcPr>
                  <w:tcW w:w="284" w:type="dxa"/>
                  <w:tcBorders>
                    <w:top w:val="single" w:color="auto" w:sz="12" w:space="0"/>
                    <w:left w:val="single" w:color="auto" w:sz="12" w:space="0"/>
                  </w:tcBorders>
                  <w:tcMar>
                    <w:left w:w="6" w:type="dxa"/>
                    <w:right w:w="6" w:type="dxa"/>
                  </w:tcMar>
                  <w:vAlign w:val="center"/>
                </w:tcPr>
                <w:p>
                  <w:pPr>
                    <w:spacing w:line="276" w:lineRule="auto"/>
                    <w:jc w:val="center"/>
                    <w:rPr>
                      <w:color w:val="auto"/>
                      <w:lang w:val="zh-TW"/>
                    </w:rPr>
                  </w:pPr>
                  <w:r>
                    <w:rPr>
                      <w:color w:val="auto"/>
                      <w:lang w:val="zh-TW"/>
                    </w:rPr>
                    <w:t>序号</w:t>
                  </w:r>
                </w:p>
              </w:tc>
              <w:tc>
                <w:tcPr>
                  <w:tcW w:w="651" w:type="dxa"/>
                  <w:tcBorders>
                    <w:top w:val="single" w:color="auto" w:sz="12" w:space="0"/>
                  </w:tcBorders>
                  <w:tcMar>
                    <w:left w:w="6" w:type="dxa"/>
                    <w:right w:w="6" w:type="dxa"/>
                  </w:tcMar>
                  <w:vAlign w:val="center"/>
                </w:tcPr>
                <w:p>
                  <w:pPr>
                    <w:spacing w:line="276" w:lineRule="auto"/>
                    <w:jc w:val="center"/>
                    <w:rPr>
                      <w:color w:val="auto"/>
                      <w:lang w:val="zh-TW"/>
                    </w:rPr>
                  </w:pPr>
                  <w:r>
                    <w:rPr>
                      <w:color w:val="auto"/>
                      <w:lang w:val="zh-TW"/>
                    </w:rPr>
                    <w:t>危险废物名称</w:t>
                  </w:r>
                </w:p>
              </w:tc>
              <w:tc>
                <w:tcPr>
                  <w:tcW w:w="709" w:type="dxa"/>
                  <w:tcBorders>
                    <w:top w:val="single" w:color="auto" w:sz="12" w:space="0"/>
                  </w:tcBorders>
                  <w:tcMar>
                    <w:left w:w="6" w:type="dxa"/>
                    <w:right w:w="6" w:type="dxa"/>
                  </w:tcMar>
                  <w:vAlign w:val="center"/>
                </w:tcPr>
                <w:p>
                  <w:pPr>
                    <w:spacing w:line="276" w:lineRule="auto"/>
                    <w:jc w:val="center"/>
                    <w:rPr>
                      <w:color w:val="auto"/>
                      <w:lang w:val="zh-TW"/>
                    </w:rPr>
                  </w:pPr>
                  <w:r>
                    <w:rPr>
                      <w:color w:val="auto"/>
                      <w:lang w:val="zh-TW"/>
                    </w:rPr>
                    <w:t>危险废物类别</w:t>
                  </w:r>
                </w:p>
              </w:tc>
              <w:tc>
                <w:tcPr>
                  <w:tcW w:w="709" w:type="dxa"/>
                  <w:tcBorders>
                    <w:top w:val="single" w:color="auto" w:sz="12" w:space="0"/>
                  </w:tcBorders>
                  <w:tcMar>
                    <w:left w:w="6" w:type="dxa"/>
                    <w:right w:w="6" w:type="dxa"/>
                  </w:tcMar>
                  <w:vAlign w:val="center"/>
                </w:tcPr>
                <w:p>
                  <w:pPr>
                    <w:spacing w:line="276" w:lineRule="auto"/>
                    <w:jc w:val="center"/>
                    <w:rPr>
                      <w:color w:val="auto"/>
                      <w:lang w:val="zh-TW"/>
                    </w:rPr>
                  </w:pPr>
                  <w:r>
                    <w:rPr>
                      <w:color w:val="auto"/>
                      <w:lang w:val="zh-TW"/>
                    </w:rPr>
                    <w:t>危险废物代码</w:t>
                  </w:r>
                </w:p>
              </w:tc>
              <w:tc>
                <w:tcPr>
                  <w:tcW w:w="708" w:type="dxa"/>
                  <w:tcBorders>
                    <w:top w:val="single" w:color="auto" w:sz="12" w:space="0"/>
                  </w:tcBorders>
                  <w:tcMar>
                    <w:left w:w="6" w:type="dxa"/>
                    <w:right w:w="6" w:type="dxa"/>
                  </w:tcMar>
                  <w:vAlign w:val="center"/>
                </w:tcPr>
                <w:p>
                  <w:pPr>
                    <w:spacing w:line="276" w:lineRule="auto"/>
                    <w:jc w:val="center"/>
                    <w:rPr>
                      <w:color w:val="auto"/>
                    </w:rPr>
                  </w:pPr>
                  <w:r>
                    <w:rPr>
                      <w:color w:val="auto"/>
                    </w:rPr>
                    <w:t>产生量（t/a）</w:t>
                  </w:r>
                </w:p>
              </w:tc>
              <w:tc>
                <w:tcPr>
                  <w:tcW w:w="993" w:type="dxa"/>
                  <w:tcBorders>
                    <w:top w:val="single" w:color="auto" w:sz="12" w:space="0"/>
                    <w:right w:val="single" w:color="auto" w:sz="6" w:space="0"/>
                  </w:tcBorders>
                  <w:tcMar>
                    <w:left w:w="6" w:type="dxa"/>
                    <w:right w:w="6" w:type="dxa"/>
                  </w:tcMar>
                  <w:vAlign w:val="center"/>
                </w:tcPr>
                <w:p>
                  <w:pPr>
                    <w:spacing w:line="276" w:lineRule="auto"/>
                    <w:jc w:val="center"/>
                    <w:rPr>
                      <w:color w:val="auto"/>
                      <w:lang w:val="zh-TW"/>
                    </w:rPr>
                  </w:pPr>
                  <w:r>
                    <w:rPr>
                      <w:color w:val="auto"/>
                      <w:lang w:val="zh-TW"/>
                    </w:rPr>
                    <w:t>产生工序</w:t>
                  </w:r>
                  <w:r>
                    <w:rPr>
                      <w:rFonts w:hint="eastAsia"/>
                      <w:color w:val="auto"/>
                      <w:lang w:val="zh-TW"/>
                    </w:rPr>
                    <w:t>及装置</w:t>
                  </w:r>
                </w:p>
              </w:tc>
              <w:tc>
                <w:tcPr>
                  <w:tcW w:w="272" w:type="dxa"/>
                  <w:tcBorders>
                    <w:top w:val="single" w:color="auto" w:sz="12" w:space="0"/>
                    <w:left w:val="single" w:color="auto" w:sz="6" w:space="0"/>
                    <w:right w:val="single" w:color="auto" w:sz="6" w:space="0"/>
                  </w:tcBorders>
                  <w:tcMar>
                    <w:left w:w="6" w:type="dxa"/>
                    <w:right w:w="6" w:type="dxa"/>
                  </w:tcMar>
                  <w:vAlign w:val="center"/>
                </w:tcPr>
                <w:p>
                  <w:pPr>
                    <w:spacing w:line="276" w:lineRule="auto"/>
                    <w:jc w:val="center"/>
                    <w:rPr>
                      <w:color w:val="auto"/>
                      <w:lang w:val="zh-TW"/>
                    </w:rPr>
                  </w:pPr>
                  <w:r>
                    <w:rPr>
                      <w:color w:val="auto"/>
                      <w:lang w:val="zh-TW"/>
                    </w:rPr>
                    <w:t>形态</w:t>
                  </w:r>
                </w:p>
              </w:tc>
              <w:tc>
                <w:tcPr>
                  <w:tcW w:w="567" w:type="dxa"/>
                  <w:tcBorders>
                    <w:top w:val="single" w:color="auto" w:sz="12" w:space="0"/>
                    <w:left w:val="single" w:color="auto" w:sz="6" w:space="0"/>
                    <w:right w:val="single" w:color="auto" w:sz="6" w:space="0"/>
                  </w:tcBorders>
                  <w:tcMar>
                    <w:left w:w="6" w:type="dxa"/>
                    <w:right w:w="6" w:type="dxa"/>
                  </w:tcMar>
                  <w:vAlign w:val="center"/>
                </w:tcPr>
                <w:p>
                  <w:pPr>
                    <w:spacing w:line="276" w:lineRule="auto"/>
                    <w:jc w:val="center"/>
                    <w:rPr>
                      <w:color w:val="auto"/>
                      <w:lang w:val="zh-TW"/>
                    </w:rPr>
                  </w:pPr>
                  <w:r>
                    <w:rPr>
                      <w:color w:val="auto"/>
                      <w:lang w:val="zh-TW"/>
                    </w:rPr>
                    <w:t>主要成分</w:t>
                  </w:r>
                </w:p>
              </w:tc>
              <w:tc>
                <w:tcPr>
                  <w:tcW w:w="567" w:type="dxa"/>
                  <w:tcBorders>
                    <w:top w:val="single" w:color="auto" w:sz="12" w:space="0"/>
                    <w:left w:val="single" w:color="auto" w:sz="6" w:space="0"/>
                    <w:right w:val="single" w:color="auto" w:sz="6" w:space="0"/>
                  </w:tcBorders>
                  <w:tcMar>
                    <w:left w:w="6" w:type="dxa"/>
                    <w:right w:w="6" w:type="dxa"/>
                  </w:tcMar>
                  <w:vAlign w:val="center"/>
                </w:tcPr>
                <w:p>
                  <w:pPr>
                    <w:spacing w:line="276" w:lineRule="auto"/>
                    <w:jc w:val="center"/>
                    <w:rPr>
                      <w:color w:val="auto"/>
                      <w:lang w:val="zh-TW"/>
                    </w:rPr>
                  </w:pPr>
                  <w:r>
                    <w:rPr>
                      <w:color w:val="auto"/>
                      <w:lang w:val="zh-TW"/>
                    </w:rPr>
                    <w:t>有害成分</w:t>
                  </w:r>
                </w:p>
              </w:tc>
              <w:tc>
                <w:tcPr>
                  <w:tcW w:w="567" w:type="dxa"/>
                  <w:tcBorders>
                    <w:top w:val="single" w:color="auto" w:sz="12" w:space="0"/>
                    <w:left w:val="single" w:color="auto" w:sz="6" w:space="0"/>
                    <w:right w:val="single" w:color="auto" w:sz="6" w:space="0"/>
                  </w:tcBorders>
                  <w:tcMar>
                    <w:left w:w="6" w:type="dxa"/>
                    <w:right w:w="6" w:type="dxa"/>
                  </w:tcMar>
                  <w:vAlign w:val="center"/>
                </w:tcPr>
                <w:p>
                  <w:pPr>
                    <w:spacing w:line="276" w:lineRule="auto"/>
                    <w:jc w:val="center"/>
                    <w:rPr>
                      <w:color w:val="auto"/>
                      <w:lang w:val="zh-TW"/>
                    </w:rPr>
                  </w:pPr>
                  <w:r>
                    <w:rPr>
                      <w:color w:val="auto"/>
                      <w:lang w:val="zh-TW"/>
                    </w:rPr>
                    <w:t>产废周期</w:t>
                  </w:r>
                </w:p>
              </w:tc>
              <w:tc>
                <w:tcPr>
                  <w:tcW w:w="567" w:type="dxa"/>
                  <w:tcBorders>
                    <w:top w:val="single" w:color="auto" w:sz="12" w:space="0"/>
                    <w:left w:val="single" w:color="auto" w:sz="6" w:space="0"/>
                    <w:right w:val="single" w:color="auto" w:sz="6" w:space="0"/>
                  </w:tcBorders>
                  <w:tcMar>
                    <w:left w:w="6" w:type="dxa"/>
                    <w:right w:w="6" w:type="dxa"/>
                  </w:tcMar>
                  <w:vAlign w:val="center"/>
                </w:tcPr>
                <w:p>
                  <w:pPr>
                    <w:spacing w:line="276" w:lineRule="auto"/>
                    <w:jc w:val="center"/>
                    <w:rPr>
                      <w:color w:val="auto"/>
                      <w:lang w:val="zh-TW"/>
                    </w:rPr>
                  </w:pPr>
                  <w:r>
                    <w:rPr>
                      <w:color w:val="auto"/>
                      <w:lang w:val="zh-TW"/>
                    </w:rPr>
                    <w:t>危险特性</w:t>
                  </w:r>
                </w:p>
              </w:tc>
              <w:tc>
                <w:tcPr>
                  <w:tcW w:w="1442" w:type="dxa"/>
                  <w:tcBorders>
                    <w:top w:val="single" w:color="auto" w:sz="12" w:space="0"/>
                    <w:left w:val="single" w:color="auto" w:sz="6" w:space="0"/>
                    <w:right w:val="single" w:color="auto" w:sz="12" w:space="0"/>
                  </w:tcBorders>
                  <w:tcMar>
                    <w:left w:w="6" w:type="dxa"/>
                    <w:right w:w="6" w:type="dxa"/>
                  </w:tcMar>
                  <w:vAlign w:val="center"/>
                </w:tcPr>
                <w:p>
                  <w:pPr>
                    <w:spacing w:line="276" w:lineRule="auto"/>
                    <w:jc w:val="center"/>
                    <w:rPr>
                      <w:color w:val="auto"/>
                      <w:lang w:val="zh-TW"/>
                    </w:rPr>
                  </w:pPr>
                  <w:r>
                    <w:rPr>
                      <w:color w:val="auto"/>
                      <w:lang w:val="zh-TW"/>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tblHeader/>
                <w:jc w:val="center"/>
              </w:trPr>
              <w:tc>
                <w:tcPr>
                  <w:tcW w:w="284" w:type="dxa"/>
                  <w:tcBorders>
                    <w:left w:val="single" w:color="auto" w:sz="12" w:space="0"/>
                    <w:bottom w:val="single" w:color="auto" w:sz="12" w:space="0"/>
                  </w:tcBorders>
                  <w:tcMar>
                    <w:left w:w="6" w:type="dxa"/>
                    <w:right w:w="6" w:type="dxa"/>
                  </w:tcMar>
                  <w:vAlign w:val="center"/>
                </w:tcPr>
                <w:p>
                  <w:pPr>
                    <w:jc w:val="center"/>
                    <w:rPr>
                      <w:color w:val="auto"/>
                      <w:lang w:val="zh-TW"/>
                    </w:rPr>
                  </w:pPr>
                  <w:r>
                    <w:rPr>
                      <w:rFonts w:hint="eastAsia"/>
                      <w:color w:val="auto"/>
                      <w:lang w:val="zh-TW"/>
                    </w:rPr>
                    <w:t>1</w:t>
                  </w:r>
                </w:p>
              </w:tc>
              <w:tc>
                <w:tcPr>
                  <w:tcW w:w="651" w:type="dxa"/>
                  <w:tcBorders>
                    <w:bottom w:val="single" w:color="auto" w:sz="12" w:space="0"/>
                  </w:tcBorders>
                  <w:tcMar>
                    <w:left w:w="6" w:type="dxa"/>
                    <w:right w:w="6" w:type="dxa"/>
                  </w:tcMar>
                  <w:vAlign w:val="center"/>
                </w:tcPr>
                <w:p>
                  <w:pPr>
                    <w:jc w:val="center"/>
                    <w:rPr>
                      <w:color w:val="auto"/>
                      <w:lang w:val="zh-TW"/>
                    </w:rPr>
                  </w:pPr>
                  <w:r>
                    <w:rPr>
                      <w:color w:val="auto"/>
                      <w:lang w:val="zh-TW"/>
                    </w:rPr>
                    <w:t>废润滑油</w:t>
                  </w:r>
                </w:p>
              </w:tc>
              <w:tc>
                <w:tcPr>
                  <w:tcW w:w="709" w:type="dxa"/>
                  <w:tcBorders>
                    <w:bottom w:val="single" w:color="auto" w:sz="12" w:space="0"/>
                  </w:tcBorders>
                  <w:tcMar>
                    <w:left w:w="6" w:type="dxa"/>
                    <w:right w:w="6" w:type="dxa"/>
                  </w:tcMar>
                  <w:vAlign w:val="center"/>
                </w:tcPr>
                <w:p>
                  <w:pPr>
                    <w:jc w:val="center"/>
                    <w:rPr>
                      <w:color w:val="auto"/>
                    </w:rPr>
                  </w:pPr>
                  <w:r>
                    <w:rPr>
                      <w:color w:val="auto"/>
                      <w:lang w:val="zh-TW"/>
                    </w:rPr>
                    <w:t>HW</w:t>
                  </w:r>
                  <w:r>
                    <w:rPr>
                      <w:rFonts w:hint="eastAsia"/>
                      <w:color w:val="auto"/>
                      <w:lang w:val="zh-TW"/>
                    </w:rPr>
                    <w:t>08</w:t>
                  </w:r>
                </w:p>
              </w:tc>
              <w:tc>
                <w:tcPr>
                  <w:tcW w:w="709" w:type="dxa"/>
                  <w:tcBorders>
                    <w:bottom w:val="single" w:color="auto" w:sz="12" w:space="0"/>
                  </w:tcBorders>
                  <w:tcMar>
                    <w:left w:w="6" w:type="dxa"/>
                    <w:right w:w="6" w:type="dxa"/>
                  </w:tcMar>
                  <w:vAlign w:val="center"/>
                </w:tcPr>
                <w:p>
                  <w:pPr>
                    <w:jc w:val="center"/>
                    <w:rPr>
                      <w:color w:val="auto"/>
                    </w:rPr>
                  </w:pPr>
                  <w:r>
                    <w:rPr>
                      <w:color w:val="auto"/>
                    </w:rPr>
                    <w:t>900-</w:t>
                  </w:r>
                  <w:r>
                    <w:rPr>
                      <w:rFonts w:hint="eastAsia"/>
                      <w:color w:val="auto"/>
                    </w:rPr>
                    <w:t>214</w:t>
                  </w:r>
                  <w:r>
                    <w:rPr>
                      <w:color w:val="auto"/>
                    </w:rPr>
                    <w:t>-</w:t>
                  </w:r>
                  <w:r>
                    <w:rPr>
                      <w:rFonts w:hint="eastAsia"/>
                      <w:color w:val="auto"/>
                    </w:rPr>
                    <w:t>08</w:t>
                  </w:r>
                </w:p>
              </w:tc>
              <w:tc>
                <w:tcPr>
                  <w:tcW w:w="708" w:type="dxa"/>
                  <w:tcBorders>
                    <w:bottom w:val="single" w:color="auto" w:sz="12" w:space="0"/>
                  </w:tcBorders>
                  <w:tcMar>
                    <w:left w:w="6" w:type="dxa"/>
                    <w:right w:w="6" w:type="dxa"/>
                  </w:tcMar>
                  <w:vAlign w:val="center"/>
                </w:tcPr>
                <w:p>
                  <w:pPr>
                    <w:jc w:val="center"/>
                    <w:rPr>
                      <w:color w:val="auto"/>
                      <w:lang w:val="zh-TW"/>
                    </w:rPr>
                  </w:pPr>
                  <w:r>
                    <w:rPr>
                      <w:rFonts w:hint="eastAsia"/>
                      <w:color w:val="auto"/>
                    </w:rPr>
                    <w:t>0.5</w:t>
                  </w:r>
                </w:p>
              </w:tc>
              <w:tc>
                <w:tcPr>
                  <w:tcW w:w="993" w:type="dxa"/>
                  <w:tcBorders>
                    <w:bottom w:val="single" w:color="auto" w:sz="12" w:space="0"/>
                    <w:right w:val="single" w:color="auto" w:sz="6" w:space="0"/>
                  </w:tcBorders>
                  <w:tcMar>
                    <w:left w:w="6" w:type="dxa"/>
                    <w:right w:w="6" w:type="dxa"/>
                  </w:tcMar>
                  <w:vAlign w:val="center"/>
                </w:tcPr>
                <w:p>
                  <w:pPr>
                    <w:jc w:val="center"/>
                    <w:rPr>
                      <w:color w:val="auto"/>
                      <w:szCs w:val="21"/>
                    </w:rPr>
                  </w:pPr>
                  <w:r>
                    <w:rPr>
                      <w:rFonts w:hint="eastAsia"/>
                      <w:color w:val="auto"/>
                      <w:szCs w:val="21"/>
                    </w:rPr>
                    <w:t>设备维修、保养</w:t>
                  </w:r>
                </w:p>
              </w:tc>
              <w:tc>
                <w:tcPr>
                  <w:tcW w:w="272" w:type="dxa"/>
                  <w:tcBorders>
                    <w:left w:val="single" w:color="auto" w:sz="6" w:space="0"/>
                    <w:bottom w:val="single" w:color="auto" w:sz="12" w:space="0"/>
                    <w:right w:val="single" w:color="auto" w:sz="6" w:space="0"/>
                  </w:tcBorders>
                  <w:tcMar>
                    <w:left w:w="6" w:type="dxa"/>
                    <w:right w:w="6" w:type="dxa"/>
                  </w:tcMar>
                  <w:vAlign w:val="center"/>
                </w:tcPr>
                <w:p>
                  <w:pPr>
                    <w:jc w:val="center"/>
                    <w:rPr>
                      <w:color w:val="auto"/>
                      <w:szCs w:val="21"/>
                    </w:rPr>
                  </w:pPr>
                  <w:r>
                    <w:rPr>
                      <w:rFonts w:hint="eastAsia"/>
                      <w:color w:val="auto"/>
                      <w:szCs w:val="21"/>
                      <w:lang w:val="zh-TW"/>
                    </w:rPr>
                    <w:t>液态</w:t>
                  </w:r>
                </w:p>
              </w:tc>
              <w:tc>
                <w:tcPr>
                  <w:tcW w:w="567" w:type="dxa"/>
                  <w:tcBorders>
                    <w:left w:val="single" w:color="auto" w:sz="6" w:space="0"/>
                    <w:bottom w:val="single" w:color="auto" w:sz="12" w:space="0"/>
                    <w:right w:val="single" w:color="auto" w:sz="6" w:space="0"/>
                  </w:tcBorders>
                  <w:tcMar>
                    <w:left w:w="6" w:type="dxa"/>
                    <w:right w:w="6" w:type="dxa"/>
                  </w:tcMar>
                  <w:vAlign w:val="center"/>
                </w:tcPr>
                <w:p>
                  <w:pPr>
                    <w:jc w:val="center"/>
                    <w:rPr>
                      <w:color w:val="auto"/>
                      <w:szCs w:val="21"/>
                    </w:rPr>
                  </w:pPr>
                  <w:r>
                    <w:rPr>
                      <w:rFonts w:hint="eastAsia"/>
                      <w:color w:val="auto"/>
                      <w:szCs w:val="21"/>
                    </w:rPr>
                    <w:t>烃类、酚类、硫化物、季铵盐</w:t>
                  </w:r>
                  <w:r>
                    <w:rPr>
                      <w:color w:val="auto"/>
                      <w:szCs w:val="21"/>
                    </w:rPr>
                    <w:t>等</w:t>
                  </w:r>
                </w:p>
              </w:tc>
              <w:tc>
                <w:tcPr>
                  <w:tcW w:w="567" w:type="dxa"/>
                  <w:tcBorders>
                    <w:left w:val="single" w:color="auto" w:sz="6" w:space="0"/>
                    <w:bottom w:val="single" w:color="auto" w:sz="12" w:space="0"/>
                    <w:right w:val="single" w:color="auto" w:sz="6" w:space="0"/>
                  </w:tcBorders>
                  <w:tcMar>
                    <w:left w:w="6" w:type="dxa"/>
                    <w:right w:w="6" w:type="dxa"/>
                  </w:tcMar>
                  <w:vAlign w:val="center"/>
                </w:tcPr>
                <w:p>
                  <w:pPr>
                    <w:jc w:val="center"/>
                    <w:rPr>
                      <w:color w:val="auto"/>
                      <w:szCs w:val="21"/>
                    </w:rPr>
                  </w:pPr>
                  <w:r>
                    <w:rPr>
                      <w:rFonts w:hint="eastAsia"/>
                      <w:color w:val="auto"/>
                      <w:szCs w:val="21"/>
                    </w:rPr>
                    <w:t>烃类、酚类等</w:t>
                  </w:r>
                </w:p>
              </w:tc>
              <w:tc>
                <w:tcPr>
                  <w:tcW w:w="567" w:type="dxa"/>
                  <w:tcBorders>
                    <w:left w:val="single" w:color="auto" w:sz="6" w:space="0"/>
                    <w:bottom w:val="single" w:color="auto" w:sz="12" w:space="0"/>
                    <w:right w:val="single" w:color="auto" w:sz="6" w:space="0"/>
                  </w:tcBorders>
                  <w:tcMar>
                    <w:left w:w="6" w:type="dxa"/>
                    <w:right w:w="6" w:type="dxa"/>
                  </w:tcMar>
                  <w:vAlign w:val="center"/>
                </w:tcPr>
                <w:p>
                  <w:pPr>
                    <w:jc w:val="center"/>
                    <w:rPr>
                      <w:color w:val="auto"/>
                      <w:szCs w:val="21"/>
                    </w:rPr>
                  </w:pPr>
                  <w:r>
                    <w:rPr>
                      <w:color w:val="auto"/>
                      <w:szCs w:val="21"/>
                    </w:rPr>
                    <w:t>间断</w:t>
                  </w:r>
                </w:p>
              </w:tc>
              <w:tc>
                <w:tcPr>
                  <w:tcW w:w="567" w:type="dxa"/>
                  <w:tcBorders>
                    <w:left w:val="single" w:color="auto" w:sz="6" w:space="0"/>
                    <w:bottom w:val="single" w:color="auto" w:sz="12" w:space="0"/>
                    <w:right w:val="single" w:color="auto" w:sz="6" w:space="0"/>
                  </w:tcBorders>
                  <w:tcMar>
                    <w:left w:w="6" w:type="dxa"/>
                    <w:right w:w="6" w:type="dxa"/>
                  </w:tcMar>
                  <w:vAlign w:val="center"/>
                </w:tcPr>
                <w:p>
                  <w:pPr>
                    <w:jc w:val="center"/>
                    <w:rPr>
                      <w:color w:val="auto"/>
                      <w:szCs w:val="21"/>
                    </w:rPr>
                  </w:pPr>
                  <w:r>
                    <w:rPr>
                      <w:color w:val="auto"/>
                      <w:szCs w:val="21"/>
                      <w:lang w:val="zh-TW"/>
                    </w:rPr>
                    <w:t>T，I</w:t>
                  </w:r>
                </w:p>
              </w:tc>
              <w:tc>
                <w:tcPr>
                  <w:tcW w:w="1442" w:type="dxa"/>
                  <w:tcBorders>
                    <w:left w:val="single" w:color="auto" w:sz="6" w:space="0"/>
                    <w:bottom w:val="single" w:color="auto" w:sz="12" w:space="0"/>
                    <w:right w:val="single" w:color="auto" w:sz="12" w:space="0"/>
                  </w:tcBorders>
                  <w:tcMar>
                    <w:left w:w="6" w:type="dxa"/>
                    <w:right w:w="6" w:type="dxa"/>
                  </w:tcMar>
                  <w:vAlign w:val="center"/>
                </w:tcPr>
                <w:p>
                  <w:pPr>
                    <w:jc w:val="center"/>
                    <w:rPr>
                      <w:color w:val="auto"/>
                      <w:szCs w:val="21"/>
                    </w:rPr>
                  </w:pPr>
                  <w:r>
                    <w:rPr>
                      <w:rFonts w:hint="eastAsia"/>
                      <w:color w:val="auto"/>
                      <w:szCs w:val="21"/>
                    </w:rPr>
                    <w:t>用专用危废收集容器收集，暂存危废暂存间，交有危废处理资质的单位处理</w:t>
                  </w:r>
                </w:p>
              </w:tc>
            </w:tr>
          </w:tbl>
          <w:p>
            <w:pPr>
              <w:spacing w:line="360" w:lineRule="auto"/>
              <w:ind w:firstLine="480" w:firstLineChars="200"/>
              <w:rPr>
                <w:color w:val="auto"/>
                <w:sz w:val="24"/>
              </w:rPr>
            </w:pPr>
            <w:r>
              <w:rPr>
                <w:rFonts w:hint="eastAsia"/>
                <w:color w:val="auto"/>
                <w:sz w:val="24"/>
              </w:rPr>
              <w:t>（2）环境管理要求</w:t>
            </w:r>
          </w:p>
          <w:p>
            <w:pPr>
              <w:pStyle w:val="55"/>
              <w:snapToGrid w:val="0"/>
              <w:ind w:firstLine="480"/>
              <w:jc w:val="left"/>
              <w:rPr>
                <w:rFonts w:hAnsi="Times New Roman" w:cs="Times New Roman"/>
                <w:color w:val="auto"/>
              </w:rPr>
            </w:pPr>
            <w:r>
              <w:rPr>
                <w:rFonts w:hAnsi="Times New Roman" w:cs="Times New Roman"/>
                <w:color w:val="auto"/>
              </w:rPr>
              <w:t>一般固废暂存间按照</w:t>
            </w:r>
            <w:r>
              <w:rPr>
                <w:rFonts w:hint="eastAsia" w:hAnsi="Times New Roman" w:cs="Times New Roman"/>
                <w:color w:val="auto"/>
              </w:rPr>
              <w:t>《一般工业固体废物贮存和填埋污染控制标准》（GB 18599-2020）的相关要求，应</w:t>
            </w:r>
            <w:r>
              <w:rPr>
                <w:rFonts w:hAnsi="Times New Roman" w:cs="Times New Roman"/>
                <w:color w:val="auto"/>
              </w:rPr>
              <w:t>分区放置不同类型的固体废物，并做好标识便于区分，及时清理，保持一般固废暂存间内整洁，地面硬化，严格按照环评提出的处置措施实施，保证固体废物得到合理处置，禁止和生活垃圾混放。</w:t>
            </w:r>
          </w:p>
          <w:p>
            <w:pPr>
              <w:snapToGrid w:val="0"/>
              <w:spacing w:line="360" w:lineRule="auto"/>
              <w:ind w:firstLine="480" w:firstLineChars="200"/>
              <w:rPr>
                <w:color w:val="auto"/>
                <w:sz w:val="24"/>
                <w:szCs w:val="20"/>
              </w:rPr>
            </w:pPr>
            <w:r>
              <w:rPr>
                <w:color w:val="auto"/>
                <w:sz w:val="24"/>
                <w:szCs w:val="20"/>
              </w:rPr>
              <w:t>危险废物暂存间贮存要求如下：按照《危险废物收集、贮存、运输技术规范》（HJ2025-2012）以及《危险废物贮存污染控制标准》（GB18597-2001）及修改单的相关要求进行建设。项目危险废物转入及转出时由危废仓库管理人员填写《危险废物出入库交接记录表》，纳入危废贮存档案进行管理。</w:t>
            </w:r>
          </w:p>
          <w:p>
            <w:pPr>
              <w:snapToGrid w:val="0"/>
              <w:spacing w:line="360" w:lineRule="auto"/>
              <w:ind w:firstLine="480" w:firstLineChars="200"/>
              <w:rPr>
                <w:color w:val="auto"/>
                <w:sz w:val="24"/>
                <w:szCs w:val="20"/>
              </w:rPr>
            </w:pPr>
            <w:r>
              <w:rPr>
                <w:color w:val="auto"/>
                <w:sz w:val="24"/>
                <w:szCs w:val="20"/>
              </w:rPr>
              <w:t>危险废物暂存间建设要求如下：</w:t>
            </w:r>
            <w:r>
              <w:rPr>
                <w:rFonts w:hint="eastAsia" w:ascii="宋体" w:hAnsi="宋体" w:cs="宋体"/>
                <w:color w:val="auto"/>
                <w:sz w:val="24"/>
                <w:szCs w:val="20"/>
              </w:rPr>
              <w:t>①</w:t>
            </w:r>
            <w:r>
              <w:rPr>
                <w:color w:val="auto"/>
                <w:sz w:val="24"/>
                <w:szCs w:val="20"/>
              </w:rPr>
              <w:t>暂存间必须要密闭建设，做好“三防”（即防渗漏，防雨淋，防流失）措施，门口内侧设立围堰；</w:t>
            </w:r>
            <w:r>
              <w:rPr>
                <w:rFonts w:hint="eastAsia" w:ascii="宋体" w:hAnsi="宋体" w:cs="宋体"/>
                <w:color w:val="auto"/>
                <w:sz w:val="24"/>
                <w:szCs w:val="20"/>
              </w:rPr>
              <w:t>②</w:t>
            </w:r>
            <w:r>
              <w:rPr>
                <w:color w:val="auto"/>
                <w:sz w:val="24"/>
                <w:szCs w:val="20"/>
              </w:rPr>
              <w:t>门口张贴标准规范的危险废物标识和危废信息板，屋内张贴企业《危险废物管理制度》；</w:t>
            </w:r>
            <w:r>
              <w:rPr>
                <w:rFonts w:hint="eastAsia" w:ascii="宋体" w:hAnsi="宋体" w:cs="宋体"/>
                <w:color w:val="auto"/>
                <w:sz w:val="24"/>
                <w:szCs w:val="20"/>
              </w:rPr>
              <w:t>③</w:t>
            </w:r>
            <w:r>
              <w:rPr>
                <w:color w:val="auto"/>
                <w:sz w:val="24"/>
                <w:szCs w:val="20"/>
              </w:rPr>
              <w:t>危险废物暂存间需按照“双人双锁”制度管理；</w:t>
            </w:r>
            <w:r>
              <w:rPr>
                <w:rFonts w:hint="eastAsia" w:ascii="宋体" w:hAnsi="宋体" w:cs="宋体"/>
                <w:color w:val="auto"/>
                <w:sz w:val="24"/>
                <w:szCs w:val="20"/>
              </w:rPr>
              <w:t>④</w:t>
            </w:r>
            <w:r>
              <w:rPr>
                <w:color w:val="auto"/>
                <w:sz w:val="24"/>
                <w:szCs w:val="20"/>
              </w:rPr>
              <w:t>固态危废包装需完好无损并系挂危险废物标签，需按要求填写；</w:t>
            </w:r>
            <w:r>
              <w:rPr>
                <w:rFonts w:hint="eastAsia" w:ascii="宋体" w:hAnsi="宋体" w:cs="宋体"/>
                <w:color w:val="auto"/>
                <w:sz w:val="24"/>
                <w:szCs w:val="20"/>
              </w:rPr>
              <w:t>⑤</w:t>
            </w:r>
            <w:r>
              <w:rPr>
                <w:color w:val="auto"/>
                <w:sz w:val="24"/>
                <w:szCs w:val="20"/>
              </w:rPr>
              <w:t>建立台账并悬挂于危废间内，转入及转出（处置）需要填写危废种类、数量、时间及负责人员姓名；</w:t>
            </w:r>
            <w:r>
              <w:rPr>
                <w:rFonts w:hint="eastAsia" w:ascii="宋体" w:hAnsi="宋体" w:cs="宋体"/>
                <w:color w:val="auto"/>
                <w:sz w:val="24"/>
                <w:szCs w:val="20"/>
              </w:rPr>
              <w:t>⑥</w:t>
            </w:r>
            <w:r>
              <w:rPr>
                <w:color w:val="auto"/>
                <w:sz w:val="24"/>
                <w:szCs w:val="20"/>
              </w:rPr>
              <w:t>危险废物暂存间内禁止存放除危险废物及应急工具以外的其他物品。建设单位需加强管理，严格防渗防漏。</w:t>
            </w:r>
          </w:p>
          <w:p>
            <w:pPr>
              <w:snapToGrid w:val="0"/>
              <w:spacing w:line="360" w:lineRule="auto"/>
              <w:ind w:firstLine="480" w:firstLineChars="200"/>
              <w:rPr>
                <w:color w:val="auto"/>
                <w:sz w:val="24"/>
                <w:szCs w:val="20"/>
              </w:rPr>
            </w:pPr>
            <w:r>
              <w:rPr>
                <w:color w:val="auto"/>
                <w:sz w:val="24"/>
                <w:szCs w:val="20"/>
              </w:rPr>
              <w:t>危险废物的运输转移要求如下：项目危险废物运输应由持有危险废物经营许可证的单位按照其许可证的经营范围组织实施，承担危险废物运输的单位应获得交通运输部门颁布的危险货物运输资质。危险废物运输时的装卸应遵照如下技术要求：</w:t>
            </w:r>
            <w:r>
              <w:rPr>
                <w:rFonts w:hint="eastAsia" w:ascii="宋体" w:hAnsi="宋体" w:cs="宋体"/>
                <w:color w:val="auto"/>
                <w:sz w:val="24"/>
                <w:szCs w:val="20"/>
              </w:rPr>
              <w:t>①</w:t>
            </w:r>
            <w:r>
              <w:rPr>
                <w:color w:val="auto"/>
                <w:sz w:val="24"/>
                <w:szCs w:val="20"/>
              </w:rPr>
              <w:t>装卸区的工作人员应熟悉危险废物的危险特性，并配备适当的个人防护装备，如橡胶手套、防护服和口罩。</w:t>
            </w:r>
            <w:r>
              <w:rPr>
                <w:rFonts w:hint="eastAsia" w:ascii="宋体" w:hAnsi="宋体" w:cs="宋体"/>
                <w:color w:val="auto"/>
                <w:sz w:val="24"/>
                <w:szCs w:val="20"/>
              </w:rPr>
              <w:t>②</w:t>
            </w:r>
            <w:r>
              <w:rPr>
                <w:color w:val="auto"/>
                <w:sz w:val="24"/>
                <w:szCs w:val="20"/>
              </w:rPr>
              <w:t>装卸区域应配备必要的消防设备和设施，并设置明显的指示标志。危险废物的转移应按照《危险废物转移联单管理办法》的相关要求执行。</w:t>
            </w:r>
          </w:p>
          <w:p>
            <w:pPr>
              <w:pStyle w:val="48"/>
              <w:adjustRightInd/>
              <w:spacing w:line="360" w:lineRule="auto"/>
              <w:ind w:firstLine="480" w:firstLineChars="200"/>
              <w:rPr>
                <w:rFonts w:ascii="Times New Roman" w:cs="Times New Roman"/>
                <w:color w:val="auto"/>
              </w:rPr>
            </w:pPr>
            <w:r>
              <w:rPr>
                <w:rFonts w:ascii="Times New Roman" w:cs="Times New Roman"/>
                <w:color w:val="auto"/>
              </w:rPr>
              <w:t>综上所述，项目产生的固废均进行了合理处置，不会对环境造成二次危害。</w:t>
            </w:r>
          </w:p>
          <w:p>
            <w:pPr>
              <w:spacing w:line="360" w:lineRule="auto"/>
              <w:ind w:firstLine="480" w:firstLineChars="200"/>
              <w:rPr>
                <w:snapToGrid w:val="0"/>
                <w:color w:val="auto"/>
                <w:sz w:val="24"/>
              </w:rPr>
            </w:pPr>
            <w:r>
              <w:rPr>
                <w:snapToGrid w:val="0"/>
                <w:color w:val="auto"/>
                <w:sz w:val="24"/>
              </w:rPr>
              <w:t>（</w:t>
            </w:r>
            <w:r>
              <w:rPr>
                <w:rFonts w:hint="eastAsia"/>
                <w:snapToGrid w:val="0"/>
                <w:color w:val="auto"/>
                <w:sz w:val="24"/>
              </w:rPr>
              <w:t>3</w:t>
            </w:r>
            <w:r>
              <w:rPr>
                <w:snapToGrid w:val="0"/>
                <w:color w:val="auto"/>
                <w:sz w:val="24"/>
              </w:rPr>
              <w:t>）环境管理计划</w:t>
            </w:r>
          </w:p>
          <w:p>
            <w:pPr>
              <w:spacing w:line="360" w:lineRule="auto"/>
              <w:ind w:firstLine="480" w:firstLineChars="200"/>
              <w:rPr>
                <w:b/>
                <w:bCs/>
                <w:color w:val="auto"/>
                <w:kern w:val="0"/>
              </w:rPr>
            </w:pPr>
            <w:r>
              <w:rPr>
                <w:color w:val="auto"/>
                <w:sz w:val="24"/>
              </w:rPr>
              <w:t>运营期环境管理计划见表4-</w:t>
            </w:r>
            <w:r>
              <w:rPr>
                <w:rFonts w:hint="eastAsia"/>
                <w:color w:val="auto"/>
                <w:sz w:val="24"/>
              </w:rPr>
              <w:t>21</w:t>
            </w:r>
            <w:r>
              <w:rPr>
                <w:color w:val="auto"/>
                <w:sz w:val="24"/>
              </w:rPr>
              <w:t>。</w:t>
            </w:r>
          </w:p>
          <w:p>
            <w:pPr>
              <w:autoSpaceDE w:val="0"/>
              <w:autoSpaceDN w:val="0"/>
              <w:adjustRightInd w:val="0"/>
              <w:spacing w:before="48" w:beforeLines="20"/>
              <w:ind w:firstLine="482" w:firstLineChars="200"/>
              <w:jc w:val="center"/>
              <w:rPr>
                <w:b/>
                <w:snapToGrid w:val="0"/>
                <w:color w:val="auto"/>
                <w:sz w:val="24"/>
                <w:lang w:val="zh-CN"/>
              </w:rPr>
            </w:pPr>
            <w:r>
              <w:rPr>
                <w:b/>
                <w:snapToGrid w:val="0"/>
                <w:color w:val="auto"/>
                <w:sz w:val="24"/>
                <w:lang w:val="zh-CN"/>
              </w:rPr>
              <w:t>表4-</w:t>
            </w:r>
            <w:r>
              <w:rPr>
                <w:rFonts w:hint="eastAsia"/>
                <w:b/>
                <w:snapToGrid w:val="0"/>
                <w:color w:val="auto"/>
                <w:sz w:val="24"/>
                <w:lang w:val="zh-CN"/>
              </w:rPr>
              <w:t>21</w:t>
            </w:r>
            <w:r>
              <w:rPr>
                <w:b/>
                <w:snapToGrid w:val="0"/>
                <w:color w:val="auto"/>
                <w:sz w:val="24"/>
                <w:lang w:val="zh-CN"/>
              </w:rPr>
              <w:t xml:space="preserve">   固废环境管理计划表</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27"/>
              <w:gridCol w:w="1135"/>
              <w:gridCol w:w="726"/>
              <w:gridCol w:w="52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33" w:type="pct"/>
                  <w:vAlign w:val="center"/>
                </w:tcPr>
                <w:p>
                  <w:pPr>
                    <w:jc w:val="center"/>
                    <w:rPr>
                      <w:color w:val="auto"/>
                      <w:szCs w:val="21"/>
                    </w:rPr>
                  </w:pPr>
                  <w:r>
                    <w:rPr>
                      <w:color w:val="auto"/>
                      <w:szCs w:val="21"/>
                    </w:rPr>
                    <w:t>污染类别</w:t>
                  </w:r>
                </w:p>
              </w:tc>
              <w:tc>
                <w:tcPr>
                  <w:tcW w:w="699" w:type="pct"/>
                  <w:vAlign w:val="center"/>
                </w:tcPr>
                <w:p>
                  <w:pPr>
                    <w:jc w:val="center"/>
                    <w:rPr>
                      <w:color w:val="auto"/>
                      <w:szCs w:val="21"/>
                    </w:rPr>
                  </w:pPr>
                  <w:r>
                    <w:rPr>
                      <w:color w:val="auto"/>
                      <w:szCs w:val="21"/>
                    </w:rPr>
                    <w:t>管理项目</w:t>
                  </w:r>
                </w:p>
              </w:tc>
              <w:tc>
                <w:tcPr>
                  <w:tcW w:w="447" w:type="pct"/>
                  <w:vAlign w:val="center"/>
                </w:tcPr>
                <w:p>
                  <w:pPr>
                    <w:jc w:val="center"/>
                    <w:rPr>
                      <w:color w:val="auto"/>
                      <w:szCs w:val="21"/>
                    </w:rPr>
                  </w:pPr>
                  <w:r>
                    <w:rPr>
                      <w:color w:val="auto"/>
                      <w:szCs w:val="21"/>
                    </w:rPr>
                    <w:t>位置</w:t>
                  </w:r>
                </w:p>
              </w:tc>
              <w:tc>
                <w:tcPr>
                  <w:tcW w:w="3221" w:type="pct"/>
                  <w:vAlign w:val="center"/>
                </w:tcPr>
                <w:p>
                  <w:pPr>
                    <w:jc w:val="center"/>
                    <w:rPr>
                      <w:color w:val="auto"/>
                      <w:szCs w:val="21"/>
                    </w:rPr>
                  </w:pPr>
                  <w:r>
                    <w:rPr>
                      <w:color w:val="auto"/>
                      <w:szCs w:val="21"/>
                    </w:rPr>
                    <w:t>控制指标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33" w:type="pct"/>
                  <w:vAlign w:val="center"/>
                </w:tcPr>
                <w:p>
                  <w:pPr>
                    <w:pStyle w:val="31"/>
                    <w:spacing w:before="24" w:after="24" w:line="240" w:lineRule="auto"/>
                    <w:rPr>
                      <w:rFonts w:ascii="Times New Roman"/>
                      <w:color w:val="auto"/>
                      <w:szCs w:val="21"/>
                    </w:rPr>
                  </w:pPr>
                  <w:r>
                    <w:rPr>
                      <w:rFonts w:ascii="Times New Roman"/>
                      <w:color w:val="auto"/>
                      <w:szCs w:val="21"/>
                    </w:rPr>
                    <w:t>固体废物</w:t>
                  </w:r>
                </w:p>
              </w:tc>
              <w:tc>
                <w:tcPr>
                  <w:tcW w:w="699" w:type="pct"/>
                  <w:vAlign w:val="center"/>
                </w:tcPr>
                <w:p>
                  <w:pPr>
                    <w:pStyle w:val="31"/>
                    <w:spacing w:before="24" w:after="24" w:line="240" w:lineRule="auto"/>
                    <w:rPr>
                      <w:rFonts w:ascii="Times New Roman"/>
                      <w:color w:val="auto"/>
                      <w:szCs w:val="21"/>
                    </w:rPr>
                  </w:pPr>
                  <w:r>
                    <w:rPr>
                      <w:rFonts w:ascii="Times New Roman"/>
                      <w:color w:val="auto"/>
                      <w:szCs w:val="21"/>
                    </w:rPr>
                    <w:t>产排情况及处置方式</w:t>
                  </w:r>
                </w:p>
              </w:tc>
              <w:tc>
                <w:tcPr>
                  <w:tcW w:w="447" w:type="pct"/>
                  <w:vAlign w:val="center"/>
                </w:tcPr>
                <w:p>
                  <w:pPr>
                    <w:pStyle w:val="31"/>
                    <w:spacing w:before="24" w:after="24" w:line="240" w:lineRule="auto"/>
                    <w:rPr>
                      <w:rFonts w:ascii="Times New Roman"/>
                      <w:color w:val="auto"/>
                      <w:szCs w:val="21"/>
                    </w:rPr>
                  </w:pPr>
                  <w:r>
                    <w:rPr>
                      <w:rFonts w:ascii="Times New Roman"/>
                      <w:color w:val="auto"/>
                      <w:szCs w:val="21"/>
                    </w:rPr>
                    <w:t>厂区</w:t>
                  </w:r>
                </w:p>
              </w:tc>
              <w:tc>
                <w:tcPr>
                  <w:tcW w:w="3221" w:type="pct"/>
                  <w:vAlign w:val="center"/>
                </w:tcPr>
                <w:p>
                  <w:pPr>
                    <w:pStyle w:val="31"/>
                    <w:spacing w:before="24" w:after="24" w:line="240" w:lineRule="auto"/>
                    <w:rPr>
                      <w:rFonts w:ascii="Times New Roman"/>
                      <w:color w:val="auto"/>
                      <w:kern w:val="2"/>
                      <w:szCs w:val="21"/>
                    </w:rPr>
                  </w:pPr>
                  <w:r>
                    <w:rPr>
                      <w:rFonts w:ascii="Times New Roman"/>
                      <w:color w:val="auto"/>
                      <w:kern w:val="2"/>
                      <w:szCs w:val="21"/>
                    </w:rPr>
                    <w:t>《一般工业固体废物贮存和填埋污染控制标准》（GB 18599-2020）的相关要求，《危险废物贮存污染控制标准》（GB18597-2001）及其修改单中的相关规定</w:t>
                  </w:r>
                </w:p>
              </w:tc>
            </w:tr>
          </w:tbl>
          <w:p>
            <w:pPr>
              <w:adjustRightInd w:val="0"/>
              <w:snapToGrid w:val="0"/>
              <w:spacing w:line="360" w:lineRule="auto"/>
              <w:ind w:firstLine="442" w:firstLineChars="200"/>
              <w:rPr>
                <w:b/>
                <w:bCs/>
                <w:color w:val="auto"/>
                <w:spacing w:val="-10"/>
                <w:sz w:val="24"/>
              </w:rPr>
            </w:pPr>
            <w:r>
              <w:rPr>
                <w:rFonts w:hint="eastAsia"/>
                <w:b/>
                <w:bCs/>
                <w:color w:val="auto"/>
                <w:spacing w:val="-10"/>
                <w:sz w:val="24"/>
              </w:rPr>
              <w:t>5、环境风险</w:t>
            </w:r>
          </w:p>
          <w:p>
            <w:pPr>
              <w:snapToGrid w:val="0"/>
              <w:spacing w:line="360" w:lineRule="auto"/>
              <w:ind w:firstLine="480" w:firstLineChars="200"/>
              <w:rPr>
                <w:color w:val="auto"/>
                <w:sz w:val="24"/>
                <w:szCs w:val="20"/>
              </w:rPr>
            </w:pPr>
            <w:r>
              <w:rPr>
                <w:color w:val="auto"/>
                <w:sz w:val="24"/>
                <w:szCs w:val="20"/>
              </w:rPr>
              <w:t>（</w:t>
            </w:r>
            <w:r>
              <w:rPr>
                <w:rFonts w:hint="eastAsia"/>
                <w:color w:val="auto"/>
                <w:sz w:val="24"/>
                <w:szCs w:val="20"/>
              </w:rPr>
              <w:t>1</w:t>
            </w:r>
            <w:r>
              <w:rPr>
                <w:color w:val="auto"/>
                <w:sz w:val="24"/>
                <w:szCs w:val="20"/>
              </w:rPr>
              <w:t>）风险识别</w:t>
            </w:r>
          </w:p>
          <w:p>
            <w:pPr>
              <w:snapToGrid w:val="0"/>
              <w:spacing w:line="360" w:lineRule="auto"/>
              <w:ind w:firstLine="480" w:firstLineChars="200"/>
              <w:rPr>
                <w:color w:val="auto"/>
                <w:sz w:val="24"/>
                <w:szCs w:val="20"/>
              </w:rPr>
            </w:pPr>
            <w:r>
              <w:rPr>
                <w:rFonts w:hint="eastAsia"/>
                <w:color w:val="auto"/>
                <w:sz w:val="24"/>
                <w:szCs w:val="20"/>
              </w:rPr>
              <w:t>根据《建设项目环境风险评价技术导则》（HJ169-2018）附录B，项目生产、使用、储存过程中涉及到的突发环境事件风险物质主要为废润滑油。废润滑油储存在危废暂存间内，最大储存量为0.5t</w:t>
            </w:r>
            <w:r>
              <w:rPr>
                <w:color w:val="auto"/>
                <w:sz w:val="24"/>
                <w:szCs w:val="20"/>
              </w:rPr>
              <w:t>。对照《建设项目环境风险评价技术导则》（HJ169-2018），健康危险急性毒性物质（类别2，类别3），临界量为50t，本项目废润滑油最大储存量远小于其临界量，不属于重大危险源。该项目环境风险潜势为Ⅰ，开展简单分析。</w:t>
            </w:r>
          </w:p>
          <w:p>
            <w:pPr>
              <w:snapToGrid w:val="0"/>
              <w:spacing w:line="360" w:lineRule="auto"/>
              <w:ind w:firstLine="480" w:firstLineChars="200"/>
              <w:rPr>
                <w:color w:val="auto"/>
                <w:sz w:val="24"/>
                <w:szCs w:val="20"/>
              </w:rPr>
            </w:pPr>
            <w:r>
              <w:rPr>
                <w:rFonts w:hint="eastAsia"/>
                <w:color w:val="auto"/>
                <w:sz w:val="24"/>
                <w:szCs w:val="20"/>
              </w:rPr>
              <w:t>（2）环境风险防范措施</w:t>
            </w:r>
          </w:p>
          <w:p>
            <w:pPr>
              <w:snapToGrid w:val="0"/>
              <w:spacing w:line="360" w:lineRule="auto"/>
              <w:ind w:firstLine="480" w:firstLineChars="200"/>
              <w:jc w:val="left"/>
              <w:rPr>
                <w:color w:val="auto"/>
                <w:sz w:val="24"/>
                <w:szCs w:val="20"/>
              </w:rPr>
            </w:pPr>
            <w:r>
              <w:rPr>
                <w:rFonts w:hint="eastAsia"/>
                <w:color w:val="auto"/>
                <w:sz w:val="24"/>
                <w:szCs w:val="20"/>
              </w:rPr>
              <w:t>环评建议项目运营期间采取以下防范措施：</w:t>
            </w:r>
          </w:p>
          <w:p>
            <w:pPr>
              <w:snapToGrid w:val="0"/>
              <w:spacing w:line="360" w:lineRule="auto"/>
              <w:ind w:firstLine="480"/>
              <w:rPr>
                <w:color w:val="auto"/>
                <w:sz w:val="24"/>
                <w:szCs w:val="20"/>
              </w:rPr>
            </w:pPr>
            <w:r>
              <w:rPr>
                <w:color w:val="auto"/>
                <w:sz w:val="24"/>
                <w:szCs w:val="20"/>
              </w:rPr>
              <w:fldChar w:fldCharType="begin"/>
            </w:r>
            <w:r>
              <w:rPr>
                <w:color w:val="auto"/>
                <w:sz w:val="24"/>
                <w:szCs w:val="20"/>
              </w:rPr>
              <w:instrText xml:space="preserve"> </w:instrText>
            </w:r>
            <w:r>
              <w:rPr>
                <w:rFonts w:hint="eastAsia"/>
                <w:color w:val="auto"/>
                <w:sz w:val="24"/>
                <w:szCs w:val="20"/>
              </w:rPr>
              <w:instrText xml:space="preserve">= 1 \* GB3</w:instrText>
            </w:r>
            <w:r>
              <w:rPr>
                <w:color w:val="auto"/>
                <w:sz w:val="24"/>
                <w:szCs w:val="20"/>
              </w:rPr>
              <w:instrText xml:space="preserve"> </w:instrText>
            </w:r>
            <w:r>
              <w:rPr>
                <w:color w:val="auto"/>
                <w:sz w:val="24"/>
                <w:szCs w:val="20"/>
              </w:rPr>
              <w:fldChar w:fldCharType="separate"/>
            </w:r>
            <w:r>
              <w:rPr>
                <w:rFonts w:hint="eastAsia"/>
                <w:color w:val="auto"/>
                <w:sz w:val="24"/>
                <w:szCs w:val="20"/>
              </w:rPr>
              <w:t>①</w:t>
            </w:r>
            <w:r>
              <w:rPr>
                <w:color w:val="auto"/>
                <w:sz w:val="24"/>
                <w:szCs w:val="20"/>
              </w:rPr>
              <w:fldChar w:fldCharType="end"/>
            </w:r>
            <w:r>
              <w:rPr>
                <w:rFonts w:hint="eastAsia"/>
                <w:color w:val="auto"/>
                <w:sz w:val="24"/>
                <w:szCs w:val="20"/>
              </w:rPr>
              <w:t>坚持“安全第一，预防为主”的方针，积极推行全员预防性管理，不断增强安全意识，给安全工作以优先权和否决权。定期进行安全大检查，及时整改隐患，利用安全录像对职工进行经常性安全教育，做到警钟常鸣。</w:t>
            </w:r>
          </w:p>
          <w:p>
            <w:pPr>
              <w:snapToGrid w:val="0"/>
              <w:spacing w:line="360" w:lineRule="auto"/>
              <w:ind w:firstLine="480"/>
              <w:rPr>
                <w:color w:val="auto"/>
                <w:sz w:val="24"/>
                <w:szCs w:val="20"/>
              </w:rPr>
            </w:pPr>
            <w:r>
              <w:rPr>
                <w:color w:val="auto"/>
                <w:sz w:val="24"/>
                <w:szCs w:val="20"/>
              </w:rPr>
              <w:fldChar w:fldCharType="begin"/>
            </w:r>
            <w:r>
              <w:rPr>
                <w:color w:val="auto"/>
                <w:sz w:val="24"/>
                <w:szCs w:val="20"/>
              </w:rPr>
              <w:instrText xml:space="preserve"> </w:instrText>
            </w:r>
            <w:r>
              <w:rPr>
                <w:rFonts w:hint="eastAsia"/>
                <w:color w:val="auto"/>
                <w:sz w:val="24"/>
                <w:szCs w:val="20"/>
              </w:rPr>
              <w:instrText xml:space="preserve">= 2 \* GB3</w:instrText>
            </w:r>
            <w:r>
              <w:rPr>
                <w:color w:val="auto"/>
                <w:sz w:val="24"/>
                <w:szCs w:val="20"/>
              </w:rPr>
              <w:instrText xml:space="preserve"> </w:instrText>
            </w:r>
            <w:r>
              <w:rPr>
                <w:color w:val="auto"/>
                <w:sz w:val="24"/>
                <w:szCs w:val="20"/>
              </w:rPr>
              <w:fldChar w:fldCharType="separate"/>
            </w:r>
            <w:r>
              <w:rPr>
                <w:rFonts w:hint="eastAsia"/>
                <w:color w:val="auto"/>
                <w:sz w:val="24"/>
                <w:szCs w:val="20"/>
              </w:rPr>
              <w:t>②</w:t>
            </w:r>
            <w:r>
              <w:rPr>
                <w:color w:val="auto"/>
                <w:sz w:val="24"/>
                <w:szCs w:val="20"/>
              </w:rPr>
              <w:fldChar w:fldCharType="end"/>
            </w:r>
            <w:r>
              <w:rPr>
                <w:rFonts w:hint="eastAsia"/>
                <w:color w:val="auto"/>
                <w:sz w:val="24"/>
                <w:szCs w:val="20"/>
              </w:rPr>
              <w:t>实行安全工作责任制，设立安全机构，建立安全规章制度。编制各项安全规程、安全制度、环保制度，印制安全管理台帐、安全作业票证等。凡新进场职工必须进行安全教育和培训，经考试合格后方可持证上岗。</w:t>
            </w:r>
          </w:p>
          <w:p>
            <w:pPr>
              <w:snapToGrid w:val="0"/>
              <w:spacing w:line="360" w:lineRule="auto"/>
              <w:ind w:firstLine="480"/>
              <w:rPr>
                <w:color w:val="auto"/>
                <w:sz w:val="24"/>
                <w:szCs w:val="20"/>
              </w:rPr>
            </w:pPr>
            <w:r>
              <w:rPr>
                <w:rFonts w:hint="eastAsia"/>
                <w:color w:val="auto"/>
                <w:sz w:val="24"/>
                <w:szCs w:val="20"/>
              </w:rPr>
              <w:t>③若发生泄漏应及时处置和报告，对少量泄漏的液体可用吸附材料进行吸附，大量泄漏应用桶类容器收集，密闭存放，同时对储存间地面应采取干抹布进行清理。废吸附材料、收集的泄漏液体及清理产生的废抹布应作为危废及时委托有资质单位进行处置。</w:t>
            </w:r>
          </w:p>
          <w:p>
            <w:pPr>
              <w:snapToGrid w:val="0"/>
              <w:spacing w:line="360" w:lineRule="auto"/>
              <w:ind w:firstLine="480"/>
              <w:rPr>
                <w:color w:val="auto"/>
                <w:sz w:val="24"/>
                <w:szCs w:val="20"/>
              </w:rPr>
            </w:pPr>
            <w:r>
              <w:rPr>
                <w:rFonts w:hint="eastAsia"/>
                <w:color w:val="auto"/>
                <w:sz w:val="24"/>
                <w:szCs w:val="20"/>
              </w:rPr>
              <w:t>④危废间周边设置围堰，地面按照相关要求做好防腐防渗处理，并配备应急收集装置和收集容器。</w:t>
            </w:r>
          </w:p>
          <w:p>
            <w:pPr>
              <w:snapToGrid w:val="0"/>
              <w:spacing w:line="360" w:lineRule="auto"/>
              <w:ind w:firstLine="480"/>
              <w:rPr>
                <w:color w:val="auto"/>
                <w:sz w:val="24"/>
                <w:szCs w:val="20"/>
              </w:rPr>
            </w:pPr>
            <w:r>
              <w:rPr>
                <w:rFonts w:hint="eastAsia"/>
                <w:color w:val="auto"/>
                <w:sz w:val="24"/>
                <w:szCs w:val="20"/>
              </w:rPr>
              <w:t>⑤每年定期进行检验和维修，保证消防设备、设施、器材处于备用状态。</w:t>
            </w:r>
          </w:p>
          <w:p>
            <w:pPr>
              <w:snapToGrid w:val="0"/>
              <w:spacing w:line="360" w:lineRule="auto"/>
              <w:ind w:firstLine="480"/>
              <w:rPr>
                <w:color w:val="auto"/>
                <w:sz w:val="24"/>
                <w:szCs w:val="20"/>
              </w:rPr>
            </w:pPr>
            <w:r>
              <w:rPr>
                <w:rFonts w:hint="eastAsia"/>
                <w:color w:val="auto"/>
                <w:sz w:val="24"/>
                <w:szCs w:val="20"/>
              </w:rPr>
              <w:t>⑥制定控制和减少事故影响范围、程度以及补救行动的实施计划；对事故现场管理以及事故处置全过程的监督，应由富有事故处置经验的人员或有关部门工作人员承担；为提高事故处置队伍的协同救援水平和实战能力，检验救援体系的应急综合运作状态，提高其实战水平，应进行应急救援演练。</w:t>
            </w:r>
          </w:p>
          <w:p>
            <w:pPr>
              <w:spacing w:before="120" w:beforeLines="50" w:line="360" w:lineRule="auto"/>
              <w:ind w:firstLine="482" w:firstLineChars="200"/>
              <w:jc w:val="left"/>
              <w:rPr>
                <w:b/>
                <w:color w:val="auto"/>
                <w:sz w:val="24"/>
              </w:rPr>
            </w:pPr>
            <w:r>
              <w:rPr>
                <w:rFonts w:hint="eastAsia"/>
                <w:b/>
                <w:color w:val="auto"/>
                <w:sz w:val="24"/>
              </w:rPr>
              <w:t>6</w:t>
            </w:r>
            <w:r>
              <w:rPr>
                <w:b/>
                <w:color w:val="auto"/>
                <w:sz w:val="24"/>
              </w:rPr>
              <w:t>、竣工环境保护验收清单</w:t>
            </w:r>
          </w:p>
          <w:p>
            <w:pPr>
              <w:widowControl/>
              <w:spacing w:line="360" w:lineRule="auto"/>
              <w:ind w:firstLine="480" w:firstLineChars="200"/>
              <w:rPr>
                <w:color w:val="auto"/>
                <w:sz w:val="24"/>
              </w:rPr>
            </w:pPr>
            <w:r>
              <w:rPr>
                <w:color w:val="auto"/>
                <w:sz w:val="24"/>
              </w:rPr>
              <w:t>项目竣工环保设施验收清单见下表。</w:t>
            </w:r>
          </w:p>
          <w:p>
            <w:pPr>
              <w:jc w:val="center"/>
              <w:rPr>
                <w:b/>
                <w:color w:val="auto"/>
                <w:sz w:val="24"/>
                <w:szCs w:val="20"/>
              </w:rPr>
            </w:pPr>
            <w:r>
              <w:rPr>
                <w:rFonts w:hint="eastAsia"/>
                <w:b/>
                <w:color w:val="auto"/>
                <w:sz w:val="24"/>
                <w:szCs w:val="20"/>
              </w:rPr>
              <w:t>表4-22</w:t>
            </w:r>
            <w:r>
              <w:rPr>
                <w:b/>
                <w:color w:val="auto"/>
                <w:sz w:val="24"/>
                <w:szCs w:val="20"/>
              </w:rPr>
              <w:t xml:space="preserve">   </w:t>
            </w:r>
            <w:r>
              <w:rPr>
                <w:rFonts w:hint="eastAsia"/>
                <w:b/>
                <w:color w:val="auto"/>
                <w:sz w:val="24"/>
                <w:szCs w:val="20"/>
              </w:rPr>
              <w:t>竣工环保设施验收清单（建议）</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316"/>
              <w:gridCol w:w="306"/>
              <w:gridCol w:w="1399"/>
              <w:gridCol w:w="1559"/>
              <w:gridCol w:w="709"/>
              <w:gridCol w:w="38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0" w:type="auto"/>
                  <w:tcMar>
                    <w:top w:w="0" w:type="dxa"/>
                    <w:left w:w="6" w:type="dxa"/>
                    <w:bottom w:w="0" w:type="dxa"/>
                    <w:right w:w="6" w:type="dxa"/>
                  </w:tcMar>
                  <w:vAlign w:val="center"/>
                </w:tcPr>
                <w:p>
                  <w:pPr>
                    <w:jc w:val="center"/>
                    <w:rPr>
                      <w:color w:val="auto"/>
                    </w:rPr>
                  </w:pPr>
                  <w:r>
                    <w:rPr>
                      <w:rFonts w:hint="eastAsia"/>
                      <w:color w:val="auto"/>
                    </w:rPr>
                    <w:t>序号</w:t>
                  </w:r>
                </w:p>
              </w:tc>
              <w:tc>
                <w:tcPr>
                  <w:tcW w:w="1705" w:type="dxa"/>
                  <w:gridSpan w:val="2"/>
                  <w:tcMar>
                    <w:top w:w="0" w:type="dxa"/>
                    <w:left w:w="6" w:type="dxa"/>
                    <w:bottom w:w="0" w:type="dxa"/>
                    <w:right w:w="6" w:type="dxa"/>
                  </w:tcMar>
                  <w:vAlign w:val="center"/>
                </w:tcPr>
                <w:p>
                  <w:pPr>
                    <w:jc w:val="center"/>
                    <w:rPr>
                      <w:color w:val="auto"/>
                    </w:rPr>
                  </w:pPr>
                  <w:r>
                    <w:rPr>
                      <w:rFonts w:hint="eastAsia"/>
                      <w:color w:val="auto"/>
                    </w:rPr>
                    <w:t>污染物名称</w:t>
                  </w:r>
                </w:p>
              </w:tc>
              <w:tc>
                <w:tcPr>
                  <w:tcW w:w="1559" w:type="dxa"/>
                  <w:tcMar>
                    <w:top w:w="0" w:type="dxa"/>
                    <w:left w:w="6" w:type="dxa"/>
                    <w:bottom w:w="0" w:type="dxa"/>
                    <w:right w:w="6" w:type="dxa"/>
                  </w:tcMar>
                  <w:vAlign w:val="center"/>
                </w:tcPr>
                <w:p>
                  <w:pPr>
                    <w:jc w:val="center"/>
                    <w:rPr>
                      <w:color w:val="auto"/>
                    </w:rPr>
                  </w:pPr>
                  <w:r>
                    <w:rPr>
                      <w:rFonts w:hint="eastAsia"/>
                      <w:color w:val="auto"/>
                    </w:rPr>
                    <w:t>处理设施</w:t>
                  </w:r>
                </w:p>
              </w:tc>
              <w:tc>
                <w:tcPr>
                  <w:tcW w:w="709" w:type="dxa"/>
                  <w:tcMar>
                    <w:top w:w="0" w:type="dxa"/>
                    <w:left w:w="6" w:type="dxa"/>
                    <w:bottom w:w="0" w:type="dxa"/>
                    <w:right w:w="6" w:type="dxa"/>
                  </w:tcMar>
                  <w:vAlign w:val="center"/>
                </w:tcPr>
                <w:p>
                  <w:pPr>
                    <w:jc w:val="center"/>
                    <w:rPr>
                      <w:color w:val="auto"/>
                    </w:rPr>
                  </w:pPr>
                  <w:r>
                    <w:rPr>
                      <w:rFonts w:hint="eastAsia"/>
                      <w:color w:val="auto"/>
                    </w:rPr>
                    <w:t>数量</w:t>
                  </w:r>
                </w:p>
              </w:tc>
              <w:tc>
                <w:tcPr>
                  <w:tcW w:w="3828" w:type="dxa"/>
                  <w:tcMar>
                    <w:top w:w="0" w:type="dxa"/>
                    <w:left w:w="6" w:type="dxa"/>
                    <w:bottom w:w="0" w:type="dxa"/>
                    <w:right w:w="6" w:type="dxa"/>
                  </w:tcMar>
                  <w:vAlign w:val="center"/>
                </w:tcPr>
                <w:p>
                  <w:pPr>
                    <w:jc w:val="center"/>
                    <w:rPr>
                      <w:color w:val="auto"/>
                    </w:rPr>
                  </w:pPr>
                  <w:r>
                    <w:rPr>
                      <w:rFonts w:hint="eastAsia"/>
                      <w:color w:val="auto"/>
                    </w:rPr>
                    <w:t>处理效果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vAlign w:val="center"/>
                </w:tcPr>
                <w:p>
                  <w:pPr>
                    <w:jc w:val="center"/>
                    <w:rPr>
                      <w:color w:val="auto"/>
                    </w:rPr>
                  </w:pPr>
                  <w:r>
                    <w:rPr>
                      <w:color w:val="auto"/>
                    </w:rPr>
                    <w:t>1</w:t>
                  </w:r>
                </w:p>
              </w:tc>
              <w:tc>
                <w:tcPr>
                  <w:tcW w:w="0" w:type="auto"/>
                  <w:vMerge w:val="restart"/>
                  <w:vAlign w:val="center"/>
                </w:tcPr>
                <w:p>
                  <w:pPr>
                    <w:jc w:val="left"/>
                    <w:rPr>
                      <w:color w:val="auto"/>
                    </w:rPr>
                  </w:pPr>
                  <w:r>
                    <w:rPr>
                      <w:rFonts w:hint="eastAsia"/>
                      <w:color w:val="auto"/>
                    </w:rPr>
                    <w:t>废气</w:t>
                  </w:r>
                </w:p>
              </w:tc>
              <w:tc>
                <w:tcPr>
                  <w:tcW w:w="1399" w:type="dxa"/>
                  <w:tcMar>
                    <w:top w:w="0" w:type="dxa"/>
                    <w:left w:w="6" w:type="dxa"/>
                    <w:bottom w:w="0" w:type="dxa"/>
                    <w:right w:w="6" w:type="dxa"/>
                  </w:tcMar>
                  <w:vAlign w:val="center"/>
                </w:tcPr>
                <w:p>
                  <w:pPr>
                    <w:jc w:val="center"/>
                    <w:rPr>
                      <w:color w:val="auto"/>
                    </w:rPr>
                  </w:pPr>
                  <w:r>
                    <w:rPr>
                      <w:color w:val="auto"/>
                    </w:rPr>
                    <w:t>各物料筒仓粉尘</w:t>
                  </w:r>
                </w:p>
              </w:tc>
              <w:tc>
                <w:tcPr>
                  <w:tcW w:w="1559" w:type="dxa"/>
                  <w:tcMar>
                    <w:top w:w="0" w:type="dxa"/>
                    <w:left w:w="6" w:type="dxa"/>
                    <w:bottom w:w="0" w:type="dxa"/>
                    <w:right w:w="6" w:type="dxa"/>
                  </w:tcMar>
                  <w:vAlign w:val="center"/>
                </w:tcPr>
                <w:p>
                  <w:pPr>
                    <w:jc w:val="center"/>
                    <w:rPr>
                      <w:color w:val="auto"/>
                    </w:rPr>
                  </w:pPr>
                  <w:r>
                    <w:rPr>
                      <w:color w:val="auto"/>
                    </w:rPr>
                    <w:t>脉冲布袋除尘器</w:t>
                  </w:r>
                </w:p>
              </w:tc>
              <w:tc>
                <w:tcPr>
                  <w:tcW w:w="709" w:type="dxa"/>
                  <w:tcMar>
                    <w:top w:w="0" w:type="dxa"/>
                    <w:left w:w="6" w:type="dxa"/>
                    <w:bottom w:w="0" w:type="dxa"/>
                    <w:right w:w="6" w:type="dxa"/>
                  </w:tcMar>
                  <w:vAlign w:val="center"/>
                </w:tcPr>
                <w:p>
                  <w:pPr>
                    <w:jc w:val="center"/>
                    <w:rPr>
                      <w:color w:val="auto"/>
                    </w:rPr>
                  </w:pPr>
                  <w:r>
                    <w:rPr>
                      <w:rFonts w:hint="eastAsia"/>
                      <w:color w:val="auto"/>
                    </w:rPr>
                    <w:t>6套</w:t>
                  </w:r>
                </w:p>
              </w:tc>
              <w:tc>
                <w:tcPr>
                  <w:tcW w:w="3828" w:type="dxa"/>
                  <w:vMerge w:val="restart"/>
                  <w:tcMar>
                    <w:top w:w="0" w:type="dxa"/>
                    <w:left w:w="6" w:type="dxa"/>
                    <w:bottom w:w="0" w:type="dxa"/>
                    <w:right w:w="6" w:type="dxa"/>
                  </w:tcMar>
                  <w:vAlign w:val="center"/>
                </w:tcPr>
                <w:p>
                  <w:pPr>
                    <w:jc w:val="center"/>
                    <w:rPr>
                      <w:color w:val="auto"/>
                    </w:rPr>
                  </w:pPr>
                  <w:r>
                    <w:rPr>
                      <w:rFonts w:hint="eastAsia"/>
                      <w:color w:val="auto"/>
                    </w:rPr>
                    <w:t>执行《大气污染物综合排放标准》（GB16297-1996）表2中二级及无组织排放标准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jc w:val="center"/>
                    <w:rPr>
                      <w:color w:val="auto"/>
                    </w:rPr>
                  </w:pPr>
                </w:p>
              </w:tc>
              <w:tc>
                <w:tcPr>
                  <w:tcW w:w="0" w:type="auto"/>
                  <w:vMerge w:val="continue"/>
                  <w:vAlign w:val="center"/>
                </w:tcPr>
                <w:p>
                  <w:pPr>
                    <w:jc w:val="left"/>
                    <w:rPr>
                      <w:color w:val="auto"/>
                    </w:rPr>
                  </w:pPr>
                </w:p>
              </w:tc>
              <w:tc>
                <w:tcPr>
                  <w:tcW w:w="1399" w:type="dxa"/>
                  <w:tcMar>
                    <w:top w:w="0" w:type="dxa"/>
                    <w:left w:w="6" w:type="dxa"/>
                    <w:bottom w:w="0" w:type="dxa"/>
                    <w:right w:w="6" w:type="dxa"/>
                  </w:tcMar>
                  <w:vAlign w:val="center"/>
                </w:tcPr>
                <w:p>
                  <w:pPr>
                    <w:jc w:val="center"/>
                    <w:rPr>
                      <w:rFonts w:hAnsi="宋体"/>
                      <w:color w:val="auto"/>
                      <w:kern w:val="0"/>
                      <w:szCs w:val="21"/>
                    </w:rPr>
                  </w:pPr>
                  <w:r>
                    <w:rPr>
                      <w:rFonts w:hint="eastAsia" w:hAnsi="宋体"/>
                      <w:color w:val="auto"/>
                      <w:kern w:val="0"/>
                      <w:szCs w:val="21"/>
                    </w:rPr>
                    <w:t>上料工序粉尘</w:t>
                  </w:r>
                </w:p>
              </w:tc>
              <w:tc>
                <w:tcPr>
                  <w:tcW w:w="1559" w:type="dxa"/>
                  <w:vMerge w:val="restart"/>
                  <w:tcMar>
                    <w:top w:w="0" w:type="dxa"/>
                    <w:left w:w="6" w:type="dxa"/>
                    <w:bottom w:w="0" w:type="dxa"/>
                    <w:right w:w="6" w:type="dxa"/>
                  </w:tcMar>
                  <w:vAlign w:val="center"/>
                </w:tcPr>
                <w:p>
                  <w:pPr>
                    <w:jc w:val="center"/>
                    <w:rPr>
                      <w:rFonts w:hAnsi="宋体"/>
                      <w:color w:val="auto"/>
                      <w:kern w:val="0"/>
                      <w:szCs w:val="21"/>
                    </w:rPr>
                  </w:pPr>
                  <w:r>
                    <w:rPr>
                      <w:rFonts w:hint="eastAsia" w:hAnsi="宋体"/>
                      <w:color w:val="auto"/>
                      <w:kern w:val="0"/>
                      <w:szCs w:val="21"/>
                    </w:rPr>
                    <w:t>脉冲布袋除尘器</w:t>
                  </w:r>
                </w:p>
              </w:tc>
              <w:tc>
                <w:tcPr>
                  <w:tcW w:w="709" w:type="dxa"/>
                  <w:vMerge w:val="restart"/>
                  <w:tcMar>
                    <w:top w:w="0" w:type="dxa"/>
                    <w:left w:w="6" w:type="dxa"/>
                    <w:bottom w:w="0" w:type="dxa"/>
                    <w:right w:w="6" w:type="dxa"/>
                  </w:tcMar>
                  <w:vAlign w:val="center"/>
                </w:tcPr>
                <w:p>
                  <w:pPr>
                    <w:jc w:val="center"/>
                    <w:rPr>
                      <w:color w:val="auto"/>
                    </w:rPr>
                  </w:pPr>
                  <w:r>
                    <w:rPr>
                      <w:rFonts w:hint="eastAsia"/>
                      <w:color w:val="auto"/>
                    </w:rPr>
                    <w:t>1</w:t>
                  </w:r>
                  <w:r>
                    <w:rPr>
                      <w:rFonts w:hint="eastAsia"/>
                      <w:color w:val="auto"/>
                      <w:lang w:val="en-US" w:eastAsia="zh-CN"/>
                    </w:rPr>
                    <w:t>5</w:t>
                  </w:r>
                  <w:r>
                    <w:rPr>
                      <w:rFonts w:hint="eastAsia"/>
                      <w:color w:val="auto"/>
                    </w:rPr>
                    <w:t>套</w:t>
                  </w:r>
                </w:p>
              </w:tc>
              <w:tc>
                <w:tcPr>
                  <w:tcW w:w="3828" w:type="dxa"/>
                  <w:vMerge w:val="continue"/>
                  <w:tcMar>
                    <w:top w:w="0" w:type="dxa"/>
                    <w:left w:w="6" w:type="dxa"/>
                    <w:bottom w:w="0" w:type="dxa"/>
                    <w:right w:w="6" w:type="dxa"/>
                  </w:tcMar>
                  <w:vAlign w:val="center"/>
                </w:tcPr>
                <w:p>
                  <w:pPr>
                    <w:jc w:val="center"/>
                    <w:rPr>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jc w:val="center"/>
                    <w:rPr>
                      <w:color w:val="auto"/>
                    </w:rPr>
                  </w:pPr>
                </w:p>
              </w:tc>
              <w:tc>
                <w:tcPr>
                  <w:tcW w:w="0" w:type="auto"/>
                  <w:vMerge w:val="continue"/>
                  <w:vAlign w:val="center"/>
                </w:tcPr>
                <w:p>
                  <w:pPr>
                    <w:jc w:val="left"/>
                    <w:rPr>
                      <w:color w:val="auto"/>
                    </w:rPr>
                  </w:pPr>
                </w:p>
              </w:tc>
              <w:tc>
                <w:tcPr>
                  <w:tcW w:w="1399" w:type="dxa"/>
                  <w:tcMar>
                    <w:top w:w="0" w:type="dxa"/>
                    <w:left w:w="6" w:type="dxa"/>
                    <w:bottom w:w="0" w:type="dxa"/>
                    <w:right w:w="6" w:type="dxa"/>
                  </w:tcMar>
                  <w:vAlign w:val="center"/>
                </w:tcPr>
                <w:p>
                  <w:pPr>
                    <w:jc w:val="center"/>
                    <w:rPr>
                      <w:rFonts w:hAnsi="宋体"/>
                      <w:color w:val="auto"/>
                      <w:kern w:val="0"/>
                      <w:szCs w:val="21"/>
                    </w:rPr>
                  </w:pPr>
                  <w:r>
                    <w:rPr>
                      <w:rFonts w:hint="eastAsia" w:hAnsi="宋体"/>
                      <w:color w:val="auto"/>
                      <w:kern w:val="0"/>
                      <w:szCs w:val="21"/>
                    </w:rPr>
                    <w:t>配料工序粉尘</w:t>
                  </w:r>
                </w:p>
              </w:tc>
              <w:tc>
                <w:tcPr>
                  <w:tcW w:w="1559" w:type="dxa"/>
                  <w:vMerge w:val="continue"/>
                  <w:tcMar>
                    <w:top w:w="0" w:type="dxa"/>
                    <w:left w:w="6" w:type="dxa"/>
                    <w:bottom w:w="0" w:type="dxa"/>
                    <w:right w:w="6" w:type="dxa"/>
                  </w:tcMar>
                  <w:vAlign w:val="center"/>
                </w:tcPr>
                <w:p>
                  <w:pPr>
                    <w:jc w:val="center"/>
                    <w:rPr>
                      <w:rFonts w:hAnsi="宋体"/>
                      <w:color w:val="auto"/>
                      <w:kern w:val="0"/>
                      <w:szCs w:val="21"/>
                    </w:rPr>
                  </w:pPr>
                </w:p>
              </w:tc>
              <w:tc>
                <w:tcPr>
                  <w:tcW w:w="709" w:type="dxa"/>
                  <w:vMerge w:val="continue"/>
                  <w:tcMar>
                    <w:top w:w="0" w:type="dxa"/>
                    <w:left w:w="6" w:type="dxa"/>
                    <w:bottom w:w="0" w:type="dxa"/>
                    <w:right w:w="6" w:type="dxa"/>
                  </w:tcMar>
                  <w:vAlign w:val="center"/>
                </w:tcPr>
                <w:p>
                  <w:pPr>
                    <w:jc w:val="center"/>
                    <w:rPr>
                      <w:color w:val="auto"/>
                    </w:rPr>
                  </w:pPr>
                </w:p>
              </w:tc>
              <w:tc>
                <w:tcPr>
                  <w:tcW w:w="3828" w:type="dxa"/>
                  <w:vMerge w:val="continue"/>
                  <w:tcMar>
                    <w:top w:w="0" w:type="dxa"/>
                    <w:left w:w="6" w:type="dxa"/>
                    <w:bottom w:w="0" w:type="dxa"/>
                    <w:right w:w="6" w:type="dxa"/>
                  </w:tcMar>
                  <w:vAlign w:val="center"/>
                </w:tcPr>
                <w:p>
                  <w:pPr>
                    <w:jc w:val="center"/>
                    <w:rPr>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jc w:val="center"/>
                    <w:rPr>
                      <w:color w:val="auto"/>
                    </w:rPr>
                  </w:pPr>
                </w:p>
              </w:tc>
              <w:tc>
                <w:tcPr>
                  <w:tcW w:w="0" w:type="auto"/>
                  <w:vMerge w:val="continue"/>
                  <w:vAlign w:val="center"/>
                </w:tcPr>
                <w:p>
                  <w:pPr>
                    <w:jc w:val="left"/>
                    <w:rPr>
                      <w:color w:val="auto"/>
                    </w:rPr>
                  </w:pPr>
                </w:p>
              </w:tc>
              <w:tc>
                <w:tcPr>
                  <w:tcW w:w="1399" w:type="dxa"/>
                  <w:tcMar>
                    <w:top w:w="0" w:type="dxa"/>
                    <w:left w:w="6" w:type="dxa"/>
                    <w:bottom w:w="0" w:type="dxa"/>
                    <w:right w:w="6" w:type="dxa"/>
                  </w:tcMar>
                  <w:vAlign w:val="center"/>
                </w:tcPr>
                <w:p>
                  <w:pPr>
                    <w:jc w:val="center"/>
                    <w:rPr>
                      <w:rFonts w:hAnsi="宋体"/>
                      <w:color w:val="auto"/>
                      <w:kern w:val="0"/>
                      <w:szCs w:val="21"/>
                    </w:rPr>
                  </w:pPr>
                  <w:r>
                    <w:rPr>
                      <w:rFonts w:hint="eastAsia" w:hAnsi="宋体"/>
                      <w:color w:val="auto"/>
                      <w:kern w:val="0"/>
                      <w:szCs w:val="21"/>
                    </w:rPr>
                    <w:t>混料工序粉尘</w:t>
                  </w:r>
                </w:p>
              </w:tc>
              <w:tc>
                <w:tcPr>
                  <w:tcW w:w="1559" w:type="dxa"/>
                  <w:vMerge w:val="continue"/>
                  <w:tcMar>
                    <w:top w:w="0" w:type="dxa"/>
                    <w:left w:w="6" w:type="dxa"/>
                    <w:bottom w:w="0" w:type="dxa"/>
                    <w:right w:w="6" w:type="dxa"/>
                  </w:tcMar>
                  <w:vAlign w:val="center"/>
                </w:tcPr>
                <w:p>
                  <w:pPr>
                    <w:jc w:val="center"/>
                    <w:rPr>
                      <w:rFonts w:hAnsi="宋体"/>
                      <w:color w:val="auto"/>
                      <w:kern w:val="0"/>
                      <w:szCs w:val="21"/>
                    </w:rPr>
                  </w:pPr>
                </w:p>
              </w:tc>
              <w:tc>
                <w:tcPr>
                  <w:tcW w:w="709" w:type="dxa"/>
                  <w:vMerge w:val="continue"/>
                  <w:tcMar>
                    <w:top w:w="0" w:type="dxa"/>
                    <w:left w:w="6" w:type="dxa"/>
                    <w:bottom w:w="0" w:type="dxa"/>
                    <w:right w:w="6" w:type="dxa"/>
                  </w:tcMar>
                  <w:vAlign w:val="center"/>
                </w:tcPr>
                <w:p>
                  <w:pPr>
                    <w:jc w:val="center"/>
                    <w:rPr>
                      <w:color w:val="auto"/>
                    </w:rPr>
                  </w:pPr>
                </w:p>
              </w:tc>
              <w:tc>
                <w:tcPr>
                  <w:tcW w:w="3828" w:type="dxa"/>
                  <w:vMerge w:val="continue"/>
                  <w:tcMar>
                    <w:top w:w="0" w:type="dxa"/>
                    <w:left w:w="6" w:type="dxa"/>
                    <w:bottom w:w="0" w:type="dxa"/>
                    <w:right w:w="6" w:type="dxa"/>
                  </w:tcMar>
                  <w:vAlign w:val="center"/>
                </w:tcPr>
                <w:p>
                  <w:pPr>
                    <w:jc w:val="center"/>
                    <w:rPr>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jc w:val="center"/>
                    <w:rPr>
                      <w:color w:val="auto"/>
                    </w:rPr>
                  </w:pPr>
                </w:p>
              </w:tc>
              <w:tc>
                <w:tcPr>
                  <w:tcW w:w="0" w:type="auto"/>
                  <w:vMerge w:val="continue"/>
                  <w:vAlign w:val="center"/>
                </w:tcPr>
                <w:p>
                  <w:pPr>
                    <w:jc w:val="left"/>
                    <w:rPr>
                      <w:color w:val="auto"/>
                    </w:rPr>
                  </w:pPr>
                </w:p>
              </w:tc>
              <w:tc>
                <w:tcPr>
                  <w:tcW w:w="1399" w:type="dxa"/>
                  <w:tcMar>
                    <w:top w:w="0" w:type="dxa"/>
                    <w:left w:w="6" w:type="dxa"/>
                    <w:bottom w:w="0" w:type="dxa"/>
                    <w:right w:w="6" w:type="dxa"/>
                  </w:tcMar>
                  <w:vAlign w:val="center"/>
                </w:tcPr>
                <w:p>
                  <w:pPr>
                    <w:jc w:val="center"/>
                    <w:rPr>
                      <w:rFonts w:hAnsi="宋体"/>
                      <w:color w:val="auto"/>
                      <w:kern w:val="0"/>
                      <w:szCs w:val="21"/>
                    </w:rPr>
                  </w:pPr>
                  <w:r>
                    <w:rPr>
                      <w:rFonts w:hint="eastAsia" w:hAnsi="宋体"/>
                      <w:color w:val="auto"/>
                      <w:kern w:val="0"/>
                      <w:szCs w:val="21"/>
                    </w:rPr>
                    <w:t>包装工序粉尘</w:t>
                  </w:r>
                </w:p>
              </w:tc>
              <w:tc>
                <w:tcPr>
                  <w:tcW w:w="1559" w:type="dxa"/>
                  <w:vMerge w:val="continue"/>
                  <w:tcMar>
                    <w:top w:w="0" w:type="dxa"/>
                    <w:left w:w="6" w:type="dxa"/>
                    <w:bottom w:w="0" w:type="dxa"/>
                    <w:right w:w="6" w:type="dxa"/>
                  </w:tcMar>
                  <w:vAlign w:val="center"/>
                </w:tcPr>
                <w:p>
                  <w:pPr>
                    <w:jc w:val="center"/>
                    <w:rPr>
                      <w:rFonts w:hAnsi="宋体"/>
                      <w:color w:val="auto"/>
                      <w:kern w:val="0"/>
                      <w:szCs w:val="21"/>
                    </w:rPr>
                  </w:pPr>
                </w:p>
              </w:tc>
              <w:tc>
                <w:tcPr>
                  <w:tcW w:w="709" w:type="dxa"/>
                  <w:vMerge w:val="continue"/>
                  <w:tcMar>
                    <w:top w:w="0" w:type="dxa"/>
                    <w:left w:w="6" w:type="dxa"/>
                    <w:bottom w:w="0" w:type="dxa"/>
                    <w:right w:w="6" w:type="dxa"/>
                  </w:tcMar>
                  <w:vAlign w:val="center"/>
                </w:tcPr>
                <w:p>
                  <w:pPr>
                    <w:jc w:val="center"/>
                    <w:rPr>
                      <w:color w:val="auto"/>
                    </w:rPr>
                  </w:pPr>
                </w:p>
              </w:tc>
              <w:tc>
                <w:tcPr>
                  <w:tcW w:w="3828" w:type="dxa"/>
                  <w:vMerge w:val="continue"/>
                  <w:tcMar>
                    <w:top w:w="0" w:type="dxa"/>
                    <w:left w:w="6" w:type="dxa"/>
                    <w:bottom w:w="0" w:type="dxa"/>
                    <w:right w:w="6" w:type="dxa"/>
                  </w:tcMar>
                  <w:vAlign w:val="center"/>
                </w:tcPr>
                <w:p>
                  <w:pPr>
                    <w:jc w:val="center"/>
                    <w:rPr>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vAlign w:val="center"/>
                </w:tcPr>
                <w:p>
                  <w:pPr>
                    <w:jc w:val="center"/>
                    <w:rPr>
                      <w:color w:val="auto"/>
                    </w:rPr>
                  </w:pPr>
                </w:p>
              </w:tc>
              <w:tc>
                <w:tcPr>
                  <w:tcW w:w="0" w:type="auto"/>
                  <w:vMerge w:val="continue"/>
                  <w:vAlign w:val="center"/>
                </w:tcPr>
                <w:p>
                  <w:pPr>
                    <w:jc w:val="left"/>
                    <w:rPr>
                      <w:color w:val="auto"/>
                    </w:rPr>
                  </w:pPr>
                </w:p>
              </w:tc>
              <w:tc>
                <w:tcPr>
                  <w:tcW w:w="1399" w:type="dxa"/>
                  <w:tcMar>
                    <w:top w:w="0" w:type="dxa"/>
                    <w:left w:w="6" w:type="dxa"/>
                    <w:bottom w:w="0" w:type="dxa"/>
                    <w:right w:w="6" w:type="dxa"/>
                  </w:tcMar>
                  <w:vAlign w:val="center"/>
                </w:tcPr>
                <w:p>
                  <w:pPr>
                    <w:jc w:val="center"/>
                    <w:rPr>
                      <w:rFonts w:hAnsi="宋体"/>
                      <w:color w:val="auto"/>
                      <w:kern w:val="0"/>
                      <w:szCs w:val="21"/>
                    </w:rPr>
                  </w:pPr>
                  <w:r>
                    <w:rPr>
                      <w:rFonts w:hint="eastAsia" w:hAnsi="宋体"/>
                      <w:color w:val="auto"/>
                      <w:kern w:val="0"/>
                      <w:szCs w:val="21"/>
                    </w:rPr>
                    <w:t>砂石进料粉尘</w:t>
                  </w:r>
                </w:p>
              </w:tc>
              <w:tc>
                <w:tcPr>
                  <w:tcW w:w="1559" w:type="dxa"/>
                  <w:tcMar>
                    <w:top w:w="0" w:type="dxa"/>
                    <w:left w:w="6" w:type="dxa"/>
                    <w:bottom w:w="0" w:type="dxa"/>
                    <w:right w:w="6" w:type="dxa"/>
                  </w:tcMar>
                  <w:vAlign w:val="center"/>
                </w:tcPr>
                <w:p>
                  <w:pPr>
                    <w:jc w:val="center"/>
                    <w:rPr>
                      <w:rFonts w:hAnsi="宋体"/>
                      <w:color w:val="auto"/>
                      <w:kern w:val="0"/>
                      <w:szCs w:val="21"/>
                    </w:rPr>
                  </w:pPr>
                  <w:r>
                    <w:rPr>
                      <w:rFonts w:hint="eastAsia" w:hAnsi="宋体"/>
                      <w:color w:val="auto"/>
                      <w:kern w:val="0"/>
                      <w:szCs w:val="21"/>
                    </w:rPr>
                    <w:t>3面挡墙及顶盖</w:t>
                  </w:r>
                </w:p>
              </w:tc>
              <w:tc>
                <w:tcPr>
                  <w:tcW w:w="709" w:type="dxa"/>
                  <w:tcMar>
                    <w:top w:w="0" w:type="dxa"/>
                    <w:left w:w="6" w:type="dxa"/>
                    <w:bottom w:w="0" w:type="dxa"/>
                    <w:right w:w="6" w:type="dxa"/>
                  </w:tcMar>
                  <w:vAlign w:val="center"/>
                </w:tcPr>
                <w:p>
                  <w:pPr>
                    <w:jc w:val="center"/>
                    <w:rPr>
                      <w:color w:val="auto"/>
                    </w:rPr>
                  </w:pPr>
                  <w:r>
                    <w:rPr>
                      <w:rFonts w:hint="eastAsia"/>
                      <w:color w:val="auto"/>
                    </w:rPr>
                    <w:t>1套</w:t>
                  </w:r>
                </w:p>
              </w:tc>
              <w:tc>
                <w:tcPr>
                  <w:tcW w:w="3828" w:type="dxa"/>
                  <w:vMerge w:val="continue"/>
                  <w:tcMar>
                    <w:top w:w="0" w:type="dxa"/>
                    <w:left w:w="6" w:type="dxa"/>
                    <w:bottom w:w="0" w:type="dxa"/>
                    <w:right w:w="6" w:type="dxa"/>
                  </w:tcMar>
                  <w:vAlign w:val="center"/>
                </w:tcPr>
                <w:p>
                  <w:pPr>
                    <w:jc w:val="center"/>
                    <w:rPr>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0" w:type="auto"/>
                  <w:vAlign w:val="center"/>
                </w:tcPr>
                <w:p>
                  <w:pPr>
                    <w:jc w:val="center"/>
                    <w:rPr>
                      <w:color w:val="auto"/>
                    </w:rPr>
                  </w:pPr>
                  <w:r>
                    <w:rPr>
                      <w:rFonts w:hint="eastAsia"/>
                      <w:color w:val="auto"/>
                    </w:rPr>
                    <w:t>2</w:t>
                  </w:r>
                </w:p>
              </w:tc>
              <w:tc>
                <w:tcPr>
                  <w:tcW w:w="0" w:type="auto"/>
                  <w:vAlign w:val="center"/>
                </w:tcPr>
                <w:p>
                  <w:pPr>
                    <w:jc w:val="left"/>
                    <w:rPr>
                      <w:color w:val="auto"/>
                    </w:rPr>
                  </w:pPr>
                  <w:r>
                    <w:rPr>
                      <w:rFonts w:hint="eastAsia"/>
                      <w:color w:val="auto"/>
                    </w:rPr>
                    <w:t>废水</w:t>
                  </w:r>
                </w:p>
              </w:tc>
              <w:tc>
                <w:tcPr>
                  <w:tcW w:w="1399" w:type="dxa"/>
                  <w:tcMar>
                    <w:top w:w="0" w:type="dxa"/>
                    <w:left w:w="6" w:type="dxa"/>
                    <w:bottom w:w="0" w:type="dxa"/>
                    <w:right w:w="6" w:type="dxa"/>
                  </w:tcMar>
                  <w:vAlign w:val="center"/>
                </w:tcPr>
                <w:p>
                  <w:pPr>
                    <w:jc w:val="center"/>
                    <w:rPr>
                      <w:rFonts w:hAnsi="宋体"/>
                      <w:color w:val="auto"/>
                      <w:kern w:val="0"/>
                      <w:szCs w:val="21"/>
                    </w:rPr>
                  </w:pPr>
                  <w:r>
                    <w:rPr>
                      <w:rFonts w:hint="eastAsia" w:hAnsi="宋体"/>
                      <w:color w:val="auto"/>
                      <w:kern w:val="0"/>
                      <w:szCs w:val="21"/>
                    </w:rPr>
                    <w:t>生活污水</w:t>
                  </w:r>
                </w:p>
              </w:tc>
              <w:tc>
                <w:tcPr>
                  <w:tcW w:w="1559" w:type="dxa"/>
                  <w:tcMar>
                    <w:top w:w="0" w:type="dxa"/>
                    <w:left w:w="6" w:type="dxa"/>
                    <w:bottom w:w="0" w:type="dxa"/>
                    <w:right w:w="6" w:type="dxa"/>
                  </w:tcMar>
                  <w:vAlign w:val="center"/>
                </w:tcPr>
                <w:p>
                  <w:pPr>
                    <w:jc w:val="center"/>
                    <w:rPr>
                      <w:rFonts w:hAnsi="宋体"/>
                      <w:color w:val="auto"/>
                      <w:kern w:val="0"/>
                      <w:szCs w:val="21"/>
                    </w:rPr>
                  </w:pPr>
                  <w:r>
                    <w:rPr>
                      <w:rFonts w:hint="eastAsia" w:hAnsi="宋体"/>
                      <w:color w:val="auto"/>
                      <w:kern w:val="0"/>
                      <w:szCs w:val="21"/>
                    </w:rPr>
                    <w:t>化粪池</w:t>
                  </w:r>
                </w:p>
              </w:tc>
              <w:tc>
                <w:tcPr>
                  <w:tcW w:w="709" w:type="dxa"/>
                  <w:tcMar>
                    <w:top w:w="0" w:type="dxa"/>
                    <w:left w:w="6" w:type="dxa"/>
                    <w:bottom w:w="0" w:type="dxa"/>
                    <w:right w:w="6" w:type="dxa"/>
                  </w:tcMar>
                  <w:vAlign w:val="center"/>
                </w:tcPr>
                <w:p>
                  <w:pPr>
                    <w:jc w:val="center"/>
                    <w:rPr>
                      <w:color w:val="auto"/>
                    </w:rPr>
                  </w:pPr>
                  <w:r>
                    <w:rPr>
                      <w:rFonts w:hint="eastAsia"/>
                      <w:color w:val="auto"/>
                    </w:rPr>
                    <w:t>1套</w:t>
                  </w:r>
                </w:p>
              </w:tc>
              <w:tc>
                <w:tcPr>
                  <w:tcW w:w="3828" w:type="dxa"/>
                  <w:tcMar>
                    <w:top w:w="0" w:type="dxa"/>
                    <w:left w:w="6" w:type="dxa"/>
                    <w:bottom w:w="0" w:type="dxa"/>
                    <w:right w:w="6" w:type="dxa"/>
                  </w:tcMar>
                  <w:vAlign w:val="center"/>
                </w:tcPr>
                <w:p>
                  <w:pPr>
                    <w:jc w:val="center"/>
                    <w:rPr>
                      <w:bCs/>
                      <w:color w:val="auto"/>
                      <w:kern w:val="0"/>
                      <w:szCs w:val="21"/>
                    </w:rPr>
                  </w:pPr>
                  <w:r>
                    <w:rPr>
                      <w:rFonts w:hint="eastAsia"/>
                      <w:bCs/>
                      <w:color w:val="auto"/>
                      <w:kern w:val="0"/>
                      <w:szCs w:val="21"/>
                    </w:rPr>
                    <w:t>高新区污水处理厂协议入厂水质要求；缺项执行《污水综合排放标准》（GB8978-1996）限值要求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0" w:type="auto"/>
                  <w:tcMar>
                    <w:top w:w="0" w:type="dxa"/>
                    <w:left w:w="6" w:type="dxa"/>
                    <w:bottom w:w="0" w:type="dxa"/>
                    <w:right w:w="6" w:type="dxa"/>
                  </w:tcMar>
                  <w:vAlign w:val="center"/>
                </w:tcPr>
                <w:p>
                  <w:pPr>
                    <w:jc w:val="center"/>
                    <w:rPr>
                      <w:color w:val="auto"/>
                    </w:rPr>
                  </w:pPr>
                  <w:r>
                    <w:rPr>
                      <w:rFonts w:hint="eastAsia"/>
                      <w:color w:val="auto"/>
                    </w:rPr>
                    <w:t>3</w:t>
                  </w:r>
                </w:p>
              </w:tc>
              <w:tc>
                <w:tcPr>
                  <w:tcW w:w="1705" w:type="dxa"/>
                  <w:gridSpan w:val="2"/>
                  <w:tcMar>
                    <w:top w:w="0" w:type="dxa"/>
                    <w:left w:w="6" w:type="dxa"/>
                    <w:bottom w:w="0" w:type="dxa"/>
                    <w:right w:w="6" w:type="dxa"/>
                  </w:tcMar>
                  <w:vAlign w:val="center"/>
                </w:tcPr>
                <w:p>
                  <w:pPr>
                    <w:jc w:val="center"/>
                    <w:rPr>
                      <w:color w:val="auto"/>
                    </w:rPr>
                  </w:pPr>
                  <w:r>
                    <w:rPr>
                      <w:rFonts w:hint="eastAsia"/>
                      <w:color w:val="auto"/>
                    </w:rPr>
                    <w:t>噪声</w:t>
                  </w:r>
                </w:p>
              </w:tc>
              <w:tc>
                <w:tcPr>
                  <w:tcW w:w="1559" w:type="dxa"/>
                  <w:tcMar>
                    <w:top w:w="0" w:type="dxa"/>
                    <w:left w:w="6" w:type="dxa"/>
                    <w:bottom w:w="0" w:type="dxa"/>
                    <w:right w:w="6" w:type="dxa"/>
                  </w:tcMar>
                  <w:vAlign w:val="center"/>
                </w:tcPr>
                <w:p>
                  <w:pPr>
                    <w:jc w:val="center"/>
                    <w:rPr>
                      <w:color w:val="auto"/>
                      <w:lang w:val="zh-CN"/>
                    </w:rPr>
                  </w:pPr>
                  <w:r>
                    <w:rPr>
                      <w:rFonts w:hint="eastAsia"/>
                      <w:color w:val="auto"/>
                      <w:lang w:val="zh-CN"/>
                    </w:rPr>
                    <w:t>选用低噪声设备、厂房隔声、基础减震</w:t>
                  </w:r>
                </w:p>
              </w:tc>
              <w:tc>
                <w:tcPr>
                  <w:tcW w:w="709" w:type="dxa"/>
                  <w:vAlign w:val="center"/>
                </w:tcPr>
                <w:p>
                  <w:pPr>
                    <w:jc w:val="center"/>
                    <w:rPr>
                      <w:color w:val="auto"/>
                      <w:lang w:val="zh-CN"/>
                    </w:rPr>
                  </w:pPr>
                  <w:r>
                    <w:rPr>
                      <w:rFonts w:hint="eastAsia"/>
                      <w:color w:val="auto"/>
                      <w:lang w:val="zh-CN"/>
                    </w:rPr>
                    <w:t>/</w:t>
                  </w:r>
                </w:p>
              </w:tc>
              <w:tc>
                <w:tcPr>
                  <w:tcW w:w="3828" w:type="dxa"/>
                  <w:tcMar>
                    <w:top w:w="0" w:type="dxa"/>
                    <w:left w:w="6" w:type="dxa"/>
                    <w:bottom w:w="0" w:type="dxa"/>
                    <w:right w:w="6" w:type="dxa"/>
                  </w:tcMar>
                  <w:vAlign w:val="center"/>
                </w:tcPr>
                <w:p>
                  <w:pPr>
                    <w:spacing w:line="276" w:lineRule="auto"/>
                    <w:jc w:val="center"/>
                    <w:rPr>
                      <w:color w:val="auto"/>
                    </w:rPr>
                  </w:pPr>
                  <w:r>
                    <w:rPr>
                      <w:rFonts w:hint="eastAsia"/>
                      <w:bCs/>
                      <w:color w:val="auto"/>
                      <w:kern w:val="0"/>
                      <w:szCs w:val="21"/>
                    </w:rPr>
                    <w:t>《工业企业厂界环境噪声排放标准》（GB12348-2008）2类标准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restart"/>
                  <w:tcMar>
                    <w:top w:w="0" w:type="dxa"/>
                    <w:left w:w="6" w:type="dxa"/>
                    <w:bottom w:w="0" w:type="dxa"/>
                    <w:right w:w="6" w:type="dxa"/>
                  </w:tcMar>
                  <w:vAlign w:val="center"/>
                </w:tcPr>
                <w:p>
                  <w:pPr>
                    <w:jc w:val="center"/>
                    <w:rPr>
                      <w:color w:val="auto"/>
                    </w:rPr>
                  </w:pPr>
                  <w:r>
                    <w:rPr>
                      <w:rFonts w:hint="eastAsia"/>
                      <w:color w:val="auto"/>
                    </w:rPr>
                    <w:t>4</w:t>
                  </w:r>
                </w:p>
              </w:tc>
              <w:tc>
                <w:tcPr>
                  <w:tcW w:w="1705" w:type="dxa"/>
                  <w:gridSpan w:val="2"/>
                  <w:tcMar>
                    <w:top w:w="0" w:type="dxa"/>
                    <w:left w:w="6" w:type="dxa"/>
                    <w:bottom w:w="0" w:type="dxa"/>
                    <w:right w:w="6" w:type="dxa"/>
                  </w:tcMar>
                  <w:vAlign w:val="center"/>
                </w:tcPr>
                <w:p>
                  <w:pPr>
                    <w:jc w:val="center"/>
                    <w:rPr>
                      <w:color w:val="auto"/>
                    </w:rPr>
                  </w:pPr>
                  <w:r>
                    <w:rPr>
                      <w:rFonts w:hint="eastAsia"/>
                      <w:color w:val="auto"/>
                      <w:lang w:val="zh-CN"/>
                    </w:rPr>
                    <w:t>一般固废</w:t>
                  </w:r>
                </w:p>
              </w:tc>
              <w:tc>
                <w:tcPr>
                  <w:tcW w:w="1559" w:type="dxa"/>
                  <w:tcMar>
                    <w:top w:w="0" w:type="dxa"/>
                    <w:left w:w="6" w:type="dxa"/>
                    <w:bottom w:w="0" w:type="dxa"/>
                    <w:right w:w="6" w:type="dxa"/>
                  </w:tcMar>
                  <w:vAlign w:val="center"/>
                </w:tcPr>
                <w:p>
                  <w:pPr>
                    <w:jc w:val="center"/>
                    <w:rPr>
                      <w:color w:val="auto"/>
                    </w:rPr>
                  </w:pPr>
                  <w:r>
                    <w:rPr>
                      <w:color w:val="auto"/>
                    </w:rPr>
                    <w:t>一般固废暂存间</w:t>
                  </w:r>
                </w:p>
              </w:tc>
              <w:tc>
                <w:tcPr>
                  <w:tcW w:w="709" w:type="dxa"/>
                  <w:tcMar>
                    <w:top w:w="0" w:type="dxa"/>
                    <w:left w:w="6" w:type="dxa"/>
                    <w:bottom w:w="0" w:type="dxa"/>
                    <w:right w:w="6" w:type="dxa"/>
                  </w:tcMar>
                  <w:vAlign w:val="center"/>
                </w:tcPr>
                <w:p>
                  <w:pPr>
                    <w:jc w:val="center"/>
                    <w:rPr>
                      <w:color w:val="auto"/>
                    </w:rPr>
                  </w:pPr>
                  <w:r>
                    <w:rPr>
                      <w:color w:val="auto"/>
                    </w:rPr>
                    <w:t>1</w:t>
                  </w:r>
                  <w:r>
                    <w:rPr>
                      <w:rFonts w:hint="eastAsia"/>
                      <w:color w:val="auto"/>
                    </w:rPr>
                    <w:t>间</w:t>
                  </w:r>
                </w:p>
              </w:tc>
              <w:tc>
                <w:tcPr>
                  <w:tcW w:w="3828" w:type="dxa"/>
                  <w:tcMar>
                    <w:top w:w="0" w:type="dxa"/>
                    <w:left w:w="6" w:type="dxa"/>
                    <w:bottom w:w="0" w:type="dxa"/>
                    <w:right w:w="6" w:type="dxa"/>
                  </w:tcMar>
                  <w:vAlign w:val="center"/>
                </w:tcPr>
                <w:p>
                  <w:pPr>
                    <w:spacing w:line="276" w:lineRule="auto"/>
                    <w:jc w:val="center"/>
                    <w:rPr>
                      <w:color w:val="auto"/>
                    </w:rPr>
                  </w:pPr>
                  <w:r>
                    <w:rPr>
                      <w:rFonts w:hint="eastAsia"/>
                      <w:color w:val="auto"/>
                    </w:rPr>
                    <w:t>《一般工业固体废物贮存和填埋污染控制标准》（</w:t>
                  </w:r>
                  <w:r>
                    <w:rPr>
                      <w:color w:val="auto"/>
                    </w:rPr>
                    <w:t>GB18599-20</w:t>
                  </w:r>
                  <w:r>
                    <w:rPr>
                      <w:rFonts w:hint="eastAsia"/>
                      <w:color w:val="auto"/>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Mar>
                    <w:top w:w="0" w:type="dxa"/>
                    <w:left w:w="6" w:type="dxa"/>
                    <w:bottom w:w="0" w:type="dxa"/>
                    <w:right w:w="6" w:type="dxa"/>
                  </w:tcMar>
                  <w:vAlign w:val="center"/>
                </w:tcPr>
                <w:p>
                  <w:pPr>
                    <w:jc w:val="center"/>
                    <w:rPr>
                      <w:color w:val="auto"/>
                    </w:rPr>
                  </w:pPr>
                </w:p>
              </w:tc>
              <w:tc>
                <w:tcPr>
                  <w:tcW w:w="1705" w:type="dxa"/>
                  <w:gridSpan w:val="2"/>
                  <w:tcMar>
                    <w:top w:w="0" w:type="dxa"/>
                    <w:left w:w="6" w:type="dxa"/>
                    <w:bottom w:w="0" w:type="dxa"/>
                    <w:right w:w="6" w:type="dxa"/>
                  </w:tcMar>
                  <w:vAlign w:val="center"/>
                </w:tcPr>
                <w:p>
                  <w:pPr>
                    <w:jc w:val="center"/>
                    <w:rPr>
                      <w:color w:val="auto"/>
                      <w:lang w:val="zh-CN"/>
                    </w:rPr>
                  </w:pPr>
                  <w:r>
                    <w:rPr>
                      <w:rFonts w:hint="eastAsia"/>
                      <w:color w:val="auto"/>
                      <w:lang w:val="zh-CN"/>
                    </w:rPr>
                    <w:t>危险固废</w:t>
                  </w:r>
                </w:p>
              </w:tc>
              <w:tc>
                <w:tcPr>
                  <w:tcW w:w="1559" w:type="dxa"/>
                  <w:tcMar>
                    <w:top w:w="0" w:type="dxa"/>
                    <w:left w:w="6" w:type="dxa"/>
                    <w:bottom w:w="0" w:type="dxa"/>
                    <w:right w:w="6" w:type="dxa"/>
                  </w:tcMar>
                  <w:vAlign w:val="center"/>
                </w:tcPr>
                <w:p>
                  <w:pPr>
                    <w:jc w:val="center"/>
                    <w:rPr>
                      <w:color w:val="auto"/>
                      <w:lang w:val="zh-CN"/>
                    </w:rPr>
                  </w:pPr>
                  <w:r>
                    <w:rPr>
                      <w:rFonts w:hint="eastAsia"/>
                      <w:color w:val="auto"/>
                      <w:lang w:val="zh-CN"/>
                    </w:rPr>
                    <w:t>危废暂存间</w:t>
                  </w:r>
                </w:p>
              </w:tc>
              <w:tc>
                <w:tcPr>
                  <w:tcW w:w="709" w:type="dxa"/>
                  <w:tcMar>
                    <w:top w:w="0" w:type="dxa"/>
                    <w:left w:w="6" w:type="dxa"/>
                    <w:bottom w:w="0" w:type="dxa"/>
                    <w:right w:w="6" w:type="dxa"/>
                  </w:tcMar>
                  <w:vAlign w:val="center"/>
                </w:tcPr>
                <w:p>
                  <w:pPr>
                    <w:jc w:val="center"/>
                    <w:rPr>
                      <w:color w:val="auto"/>
                    </w:rPr>
                  </w:pPr>
                  <w:r>
                    <w:rPr>
                      <w:rFonts w:hint="eastAsia"/>
                      <w:color w:val="auto"/>
                    </w:rPr>
                    <w:t>1间</w:t>
                  </w:r>
                </w:p>
              </w:tc>
              <w:tc>
                <w:tcPr>
                  <w:tcW w:w="3828" w:type="dxa"/>
                  <w:tcMar>
                    <w:top w:w="0" w:type="dxa"/>
                    <w:left w:w="6" w:type="dxa"/>
                    <w:bottom w:w="0" w:type="dxa"/>
                    <w:right w:w="6" w:type="dxa"/>
                  </w:tcMar>
                  <w:vAlign w:val="center"/>
                </w:tcPr>
                <w:p>
                  <w:pPr>
                    <w:spacing w:line="276" w:lineRule="auto"/>
                    <w:jc w:val="center"/>
                    <w:rPr>
                      <w:color w:val="auto"/>
                    </w:rPr>
                  </w:pPr>
                  <w:r>
                    <w:rPr>
                      <w:rFonts w:hint="eastAsia"/>
                      <w:color w:val="auto"/>
                    </w:rPr>
                    <w:t>《危险废物贮存污染控制标准》（GB18597-2001）及2013年修改单</w:t>
                  </w:r>
                </w:p>
              </w:tc>
            </w:tr>
          </w:tbl>
          <w:p>
            <w:pPr>
              <w:spacing w:before="120" w:beforeLines="50" w:line="360" w:lineRule="auto"/>
              <w:ind w:firstLine="482" w:firstLineChars="200"/>
              <w:rPr>
                <w:b/>
                <w:color w:val="auto"/>
                <w:sz w:val="24"/>
                <w:szCs w:val="28"/>
              </w:rPr>
            </w:pPr>
            <w:r>
              <w:rPr>
                <w:rFonts w:hint="eastAsia"/>
                <w:b/>
                <w:color w:val="auto"/>
                <w:sz w:val="24"/>
                <w:szCs w:val="28"/>
              </w:rPr>
              <w:t>7</w:t>
            </w:r>
            <w:r>
              <w:rPr>
                <w:b/>
                <w:color w:val="auto"/>
                <w:sz w:val="24"/>
                <w:szCs w:val="28"/>
              </w:rPr>
              <w:t>、环保投资估算</w:t>
            </w:r>
          </w:p>
          <w:p>
            <w:pPr>
              <w:widowControl/>
              <w:spacing w:line="360" w:lineRule="auto"/>
              <w:ind w:firstLine="470" w:firstLineChars="196"/>
              <w:jc w:val="left"/>
              <w:rPr>
                <w:color w:val="auto"/>
                <w:kern w:val="0"/>
                <w:sz w:val="24"/>
                <w:szCs w:val="20"/>
              </w:rPr>
            </w:pPr>
            <w:r>
              <w:rPr>
                <w:rFonts w:hint="eastAsia"/>
                <w:color w:val="auto"/>
                <w:kern w:val="0"/>
                <w:sz w:val="24"/>
                <w:szCs w:val="20"/>
              </w:rPr>
              <w:t>项目总投资5780万元，环保投资为27万元，占总投资比例为0.5</w:t>
            </w:r>
            <w:r>
              <w:rPr>
                <w:color w:val="auto"/>
                <w:kern w:val="0"/>
                <w:sz w:val="24"/>
                <w:szCs w:val="20"/>
              </w:rPr>
              <w:t>%</w:t>
            </w:r>
            <w:r>
              <w:rPr>
                <w:color w:val="auto"/>
                <w:sz w:val="24"/>
              </w:rPr>
              <w:t>，主要用于废气、废水处理、降噪和固废处置等方面</w:t>
            </w:r>
            <w:r>
              <w:rPr>
                <w:rFonts w:hint="eastAsia"/>
                <w:color w:val="auto"/>
                <w:kern w:val="0"/>
                <w:sz w:val="24"/>
                <w:szCs w:val="20"/>
              </w:rPr>
              <w:t>。项目环保投资情况见表4-23。</w:t>
            </w:r>
          </w:p>
          <w:p>
            <w:pPr>
              <w:widowControl/>
              <w:jc w:val="center"/>
              <w:rPr>
                <w:b/>
                <w:color w:val="auto"/>
                <w:kern w:val="0"/>
                <w:sz w:val="24"/>
                <w:szCs w:val="20"/>
              </w:rPr>
            </w:pPr>
            <w:r>
              <w:rPr>
                <w:rFonts w:hint="eastAsia" w:hAnsi="宋体"/>
                <w:b/>
                <w:color w:val="auto"/>
                <w:kern w:val="0"/>
                <w:sz w:val="24"/>
                <w:szCs w:val="20"/>
              </w:rPr>
              <w:t>表</w:t>
            </w:r>
            <w:r>
              <w:rPr>
                <w:rFonts w:hint="eastAsia"/>
                <w:b/>
                <w:color w:val="auto"/>
                <w:kern w:val="0"/>
                <w:sz w:val="24"/>
                <w:szCs w:val="20"/>
              </w:rPr>
              <w:t>4-23</w:t>
            </w:r>
            <w:r>
              <w:rPr>
                <w:b/>
                <w:color w:val="auto"/>
                <w:kern w:val="0"/>
                <w:sz w:val="24"/>
                <w:szCs w:val="20"/>
              </w:rPr>
              <w:t xml:space="preserve">   </w:t>
            </w:r>
            <w:r>
              <w:rPr>
                <w:rFonts w:hint="eastAsia" w:hAnsi="宋体"/>
                <w:b/>
                <w:color w:val="auto"/>
                <w:kern w:val="0"/>
                <w:sz w:val="24"/>
                <w:szCs w:val="20"/>
              </w:rPr>
              <w:t>环保投资估算一览表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734"/>
              <w:gridCol w:w="1854"/>
              <w:gridCol w:w="2645"/>
              <w:gridCol w:w="721"/>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0" w:type="pct"/>
                  <w:tcBorders>
                    <w:top w:val="single" w:color="auto" w:sz="12" w:space="0"/>
                    <w:left w:val="single" w:color="auto" w:sz="12" w:space="0"/>
                    <w:bottom w:val="single" w:color="auto" w:sz="4" w:space="0"/>
                    <w:right w:val="single" w:color="auto" w:sz="4" w:space="0"/>
                  </w:tcBorders>
                  <w:tcMar>
                    <w:top w:w="0" w:type="dxa"/>
                    <w:left w:w="11" w:type="dxa"/>
                    <w:bottom w:w="0" w:type="dxa"/>
                    <w:right w:w="11" w:type="dxa"/>
                  </w:tcMar>
                  <w:vAlign w:val="center"/>
                </w:tcPr>
                <w:p>
                  <w:pPr>
                    <w:jc w:val="center"/>
                    <w:rPr>
                      <w:color w:val="auto"/>
                    </w:rPr>
                  </w:pPr>
                  <w:r>
                    <w:rPr>
                      <w:rFonts w:hint="eastAsia"/>
                      <w:color w:val="auto"/>
                    </w:rPr>
                    <w:t>序号</w:t>
                  </w:r>
                </w:p>
              </w:tc>
              <w:tc>
                <w:tcPr>
                  <w:tcW w:w="1590" w:type="pct"/>
                  <w:gridSpan w:val="2"/>
                  <w:tcBorders>
                    <w:top w:val="single" w:color="auto" w:sz="12" w:space="0"/>
                    <w:left w:val="single" w:color="auto" w:sz="4" w:space="0"/>
                    <w:bottom w:val="single" w:color="auto" w:sz="4" w:space="0"/>
                    <w:right w:val="single" w:color="auto" w:sz="4" w:space="0"/>
                  </w:tcBorders>
                  <w:tcMar>
                    <w:top w:w="0" w:type="dxa"/>
                    <w:left w:w="11" w:type="dxa"/>
                    <w:bottom w:w="0" w:type="dxa"/>
                    <w:right w:w="11" w:type="dxa"/>
                  </w:tcMar>
                  <w:vAlign w:val="center"/>
                </w:tcPr>
                <w:p>
                  <w:pPr>
                    <w:jc w:val="center"/>
                    <w:rPr>
                      <w:color w:val="auto"/>
                    </w:rPr>
                  </w:pPr>
                  <w:r>
                    <w:rPr>
                      <w:rFonts w:hint="eastAsia"/>
                      <w:color w:val="auto"/>
                    </w:rPr>
                    <w:t>污染物名称</w:t>
                  </w:r>
                </w:p>
              </w:tc>
              <w:tc>
                <w:tcPr>
                  <w:tcW w:w="1625" w:type="pct"/>
                  <w:tcBorders>
                    <w:top w:val="single" w:color="auto" w:sz="12" w:space="0"/>
                    <w:left w:val="single" w:color="auto" w:sz="4" w:space="0"/>
                    <w:bottom w:val="single" w:color="auto" w:sz="4" w:space="0"/>
                    <w:right w:val="single" w:color="auto" w:sz="4" w:space="0"/>
                  </w:tcBorders>
                  <w:tcMar>
                    <w:top w:w="0" w:type="dxa"/>
                    <w:left w:w="11" w:type="dxa"/>
                    <w:bottom w:w="0" w:type="dxa"/>
                    <w:right w:w="11" w:type="dxa"/>
                  </w:tcMar>
                  <w:vAlign w:val="center"/>
                </w:tcPr>
                <w:p>
                  <w:pPr>
                    <w:jc w:val="center"/>
                    <w:rPr>
                      <w:color w:val="auto"/>
                    </w:rPr>
                  </w:pPr>
                  <w:r>
                    <w:rPr>
                      <w:rFonts w:hint="eastAsia"/>
                      <w:color w:val="auto"/>
                    </w:rPr>
                    <w:t>处理设施</w:t>
                  </w:r>
                </w:p>
              </w:tc>
              <w:tc>
                <w:tcPr>
                  <w:tcW w:w="443" w:type="pct"/>
                  <w:tcBorders>
                    <w:top w:val="single" w:color="auto" w:sz="12" w:space="0"/>
                    <w:left w:val="single" w:color="auto" w:sz="4" w:space="0"/>
                    <w:bottom w:val="single" w:color="auto" w:sz="4" w:space="0"/>
                    <w:right w:val="single" w:color="auto" w:sz="4" w:space="0"/>
                  </w:tcBorders>
                  <w:tcMar>
                    <w:top w:w="0" w:type="dxa"/>
                    <w:left w:w="11" w:type="dxa"/>
                    <w:bottom w:w="0" w:type="dxa"/>
                    <w:right w:w="11" w:type="dxa"/>
                  </w:tcMar>
                  <w:vAlign w:val="center"/>
                </w:tcPr>
                <w:p>
                  <w:pPr>
                    <w:jc w:val="center"/>
                    <w:rPr>
                      <w:color w:val="auto"/>
                    </w:rPr>
                  </w:pPr>
                  <w:r>
                    <w:rPr>
                      <w:rFonts w:hint="eastAsia"/>
                      <w:color w:val="auto"/>
                    </w:rPr>
                    <w:t>数量</w:t>
                  </w:r>
                </w:p>
              </w:tc>
              <w:tc>
                <w:tcPr>
                  <w:tcW w:w="902" w:type="pct"/>
                  <w:tcBorders>
                    <w:top w:val="single" w:color="auto" w:sz="12" w:space="0"/>
                    <w:left w:val="single" w:color="auto" w:sz="4" w:space="0"/>
                    <w:bottom w:val="single" w:color="auto" w:sz="4" w:space="0"/>
                    <w:right w:val="single" w:color="auto" w:sz="12" w:space="0"/>
                  </w:tcBorders>
                  <w:tcMar>
                    <w:top w:w="0" w:type="dxa"/>
                    <w:left w:w="11" w:type="dxa"/>
                    <w:bottom w:w="0" w:type="dxa"/>
                    <w:right w:w="11" w:type="dxa"/>
                  </w:tcMar>
                  <w:vAlign w:val="center"/>
                </w:tcPr>
                <w:p>
                  <w:pPr>
                    <w:jc w:val="center"/>
                    <w:rPr>
                      <w:color w:val="auto"/>
                    </w:rPr>
                  </w:pPr>
                  <w:r>
                    <w:rPr>
                      <w:rFonts w:hint="eastAsia"/>
                      <w:color w:val="auto"/>
                    </w:rPr>
                    <w:t>价值（万元）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0" w:type="pct"/>
                  <w:vMerge w:val="restart"/>
                  <w:tcBorders>
                    <w:top w:val="single" w:color="auto" w:sz="6" w:space="0"/>
                    <w:left w:val="single" w:color="auto" w:sz="12" w:space="0"/>
                    <w:right w:val="single" w:color="auto" w:sz="4" w:space="0"/>
                  </w:tcBorders>
                  <w:vAlign w:val="center"/>
                </w:tcPr>
                <w:p>
                  <w:pPr>
                    <w:jc w:val="center"/>
                    <w:rPr>
                      <w:color w:val="auto"/>
                    </w:rPr>
                  </w:pPr>
                  <w:r>
                    <w:rPr>
                      <w:color w:val="auto"/>
                    </w:rPr>
                    <w:t>1</w:t>
                  </w:r>
                </w:p>
              </w:tc>
              <w:tc>
                <w:tcPr>
                  <w:tcW w:w="451" w:type="pct"/>
                  <w:vMerge w:val="restart"/>
                  <w:tcBorders>
                    <w:top w:val="single" w:color="auto" w:sz="6" w:space="0"/>
                    <w:left w:val="single" w:color="auto" w:sz="4" w:space="0"/>
                    <w:right w:val="single" w:color="auto" w:sz="6" w:space="0"/>
                  </w:tcBorders>
                  <w:vAlign w:val="center"/>
                </w:tcPr>
                <w:p>
                  <w:pPr>
                    <w:jc w:val="center"/>
                    <w:rPr>
                      <w:color w:val="auto"/>
                    </w:rPr>
                  </w:pPr>
                  <w:r>
                    <w:rPr>
                      <w:rFonts w:hint="eastAsia"/>
                      <w:color w:val="auto"/>
                    </w:rPr>
                    <w:t>废气</w:t>
                  </w:r>
                </w:p>
              </w:tc>
              <w:tc>
                <w:tcPr>
                  <w:tcW w:w="1139" w:type="pct"/>
                  <w:tcBorders>
                    <w:top w:val="single" w:color="auto" w:sz="4" w:space="0"/>
                    <w:left w:val="single" w:color="auto" w:sz="6" w:space="0"/>
                    <w:bottom w:val="single" w:color="auto" w:sz="4" w:space="0"/>
                    <w:right w:val="single" w:color="auto" w:sz="4" w:space="0"/>
                  </w:tcBorders>
                  <w:tcMar>
                    <w:top w:w="0" w:type="dxa"/>
                    <w:left w:w="11" w:type="dxa"/>
                    <w:bottom w:w="0" w:type="dxa"/>
                    <w:right w:w="11" w:type="dxa"/>
                  </w:tcMar>
                  <w:vAlign w:val="center"/>
                </w:tcPr>
                <w:p>
                  <w:pPr>
                    <w:jc w:val="center"/>
                    <w:rPr>
                      <w:color w:val="auto"/>
                    </w:rPr>
                  </w:pPr>
                  <w:r>
                    <w:rPr>
                      <w:color w:val="auto"/>
                    </w:rPr>
                    <w:t>各物料筒仓粉尘</w:t>
                  </w:r>
                </w:p>
              </w:tc>
              <w:tc>
                <w:tcPr>
                  <w:tcW w:w="1625" w:type="pct"/>
                  <w:tcBorders>
                    <w:top w:val="single" w:color="auto" w:sz="4" w:space="0"/>
                    <w:left w:val="single" w:color="auto" w:sz="4" w:space="0"/>
                    <w:bottom w:val="single" w:color="auto" w:sz="6" w:space="0"/>
                    <w:right w:val="single" w:color="auto" w:sz="4" w:space="0"/>
                  </w:tcBorders>
                  <w:tcMar>
                    <w:top w:w="0" w:type="dxa"/>
                    <w:left w:w="11" w:type="dxa"/>
                    <w:bottom w:w="0" w:type="dxa"/>
                    <w:right w:w="11" w:type="dxa"/>
                  </w:tcMar>
                  <w:vAlign w:val="center"/>
                </w:tcPr>
                <w:p>
                  <w:pPr>
                    <w:jc w:val="center"/>
                    <w:rPr>
                      <w:color w:val="auto"/>
                    </w:rPr>
                  </w:pPr>
                  <w:r>
                    <w:rPr>
                      <w:color w:val="auto"/>
                    </w:rPr>
                    <w:t>脉冲布袋除尘器</w:t>
                  </w:r>
                </w:p>
              </w:tc>
              <w:tc>
                <w:tcPr>
                  <w:tcW w:w="443" w:type="pct"/>
                  <w:tcBorders>
                    <w:top w:val="single" w:color="auto" w:sz="4" w:space="0"/>
                    <w:left w:val="single" w:color="auto" w:sz="4" w:space="0"/>
                    <w:bottom w:val="single" w:color="auto" w:sz="6" w:space="0"/>
                    <w:right w:val="single" w:color="auto" w:sz="4" w:space="0"/>
                  </w:tcBorders>
                  <w:tcMar>
                    <w:top w:w="0" w:type="dxa"/>
                    <w:left w:w="11" w:type="dxa"/>
                    <w:bottom w:w="0" w:type="dxa"/>
                    <w:right w:w="11" w:type="dxa"/>
                  </w:tcMar>
                  <w:vAlign w:val="center"/>
                </w:tcPr>
                <w:p>
                  <w:pPr>
                    <w:jc w:val="center"/>
                    <w:rPr>
                      <w:color w:val="auto"/>
                    </w:rPr>
                  </w:pPr>
                  <w:r>
                    <w:rPr>
                      <w:rFonts w:hint="eastAsia"/>
                      <w:color w:val="auto"/>
                    </w:rPr>
                    <w:t>6套</w:t>
                  </w:r>
                </w:p>
              </w:tc>
              <w:tc>
                <w:tcPr>
                  <w:tcW w:w="902" w:type="pct"/>
                  <w:tcBorders>
                    <w:top w:val="single" w:color="auto" w:sz="4" w:space="0"/>
                    <w:left w:val="single" w:color="auto" w:sz="4" w:space="0"/>
                    <w:bottom w:val="single" w:color="auto" w:sz="4" w:space="0"/>
                    <w:right w:val="single" w:color="auto" w:sz="12" w:space="0"/>
                  </w:tcBorders>
                  <w:tcMar>
                    <w:top w:w="0" w:type="dxa"/>
                    <w:left w:w="11" w:type="dxa"/>
                    <w:bottom w:w="0" w:type="dxa"/>
                    <w:right w:w="11" w:type="dxa"/>
                  </w:tcMar>
                  <w:vAlign w:val="center"/>
                </w:tcPr>
                <w:p>
                  <w:pPr>
                    <w:jc w:val="center"/>
                    <w:rPr>
                      <w:color w:val="auto"/>
                    </w:rPr>
                  </w:pPr>
                  <w:r>
                    <w:rPr>
                      <w:rFonts w:hint="eastAsia"/>
                      <w:color w:val="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0" w:type="pct"/>
                  <w:vMerge w:val="continue"/>
                  <w:tcBorders>
                    <w:left w:val="single" w:color="auto" w:sz="12" w:space="0"/>
                    <w:right w:val="single" w:color="auto" w:sz="4" w:space="0"/>
                  </w:tcBorders>
                  <w:vAlign w:val="center"/>
                </w:tcPr>
                <w:p>
                  <w:pPr>
                    <w:jc w:val="center"/>
                    <w:rPr>
                      <w:color w:val="auto"/>
                    </w:rPr>
                  </w:pPr>
                </w:p>
              </w:tc>
              <w:tc>
                <w:tcPr>
                  <w:tcW w:w="451" w:type="pct"/>
                  <w:vMerge w:val="continue"/>
                  <w:tcBorders>
                    <w:left w:val="single" w:color="auto" w:sz="4" w:space="0"/>
                    <w:right w:val="single" w:color="auto" w:sz="6" w:space="0"/>
                  </w:tcBorders>
                  <w:vAlign w:val="center"/>
                </w:tcPr>
                <w:p>
                  <w:pPr>
                    <w:jc w:val="center"/>
                    <w:rPr>
                      <w:color w:val="auto"/>
                    </w:rPr>
                  </w:pPr>
                </w:p>
              </w:tc>
              <w:tc>
                <w:tcPr>
                  <w:tcW w:w="1139" w:type="pct"/>
                  <w:tcBorders>
                    <w:top w:val="single" w:color="auto" w:sz="4" w:space="0"/>
                    <w:left w:val="single" w:color="auto" w:sz="6" w:space="0"/>
                    <w:bottom w:val="single" w:color="auto" w:sz="4" w:space="0"/>
                    <w:right w:val="single" w:color="auto" w:sz="4" w:space="0"/>
                  </w:tcBorders>
                  <w:tcMar>
                    <w:top w:w="0" w:type="dxa"/>
                    <w:left w:w="11" w:type="dxa"/>
                    <w:bottom w:w="0" w:type="dxa"/>
                    <w:right w:w="11" w:type="dxa"/>
                  </w:tcMar>
                  <w:vAlign w:val="center"/>
                </w:tcPr>
                <w:p>
                  <w:pPr>
                    <w:jc w:val="center"/>
                    <w:rPr>
                      <w:rFonts w:hAnsi="宋体"/>
                      <w:color w:val="auto"/>
                      <w:kern w:val="0"/>
                      <w:szCs w:val="21"/>
                    </w:rPr>
                  </w:pPr>
                  <w:r>
                    <w:rPr>
                      <w:rFonts w:hint="eastAsia" w:hAnsi="宋体"/>
                      <w:color w:val="auto"/>
                      <w:kern w:val="0"/>
                      <w:szCs w:val="21"/>
                    </w:rPr>
                    <w:t>上料工序粉尘</w:t>
                  </w:r>
                </w:p>
              </w:tc>
              <w:tc>
                <w:tcPr>
                  <w:tcW w:w="1625" w:type="pct"/>
                  <w:vMerge w:val="restart"/>
                  <w:tcBorders>
                    <w:top w:val="single" w:color="auto" w:sz="4" w:space="0"/>
                    <w:left w:val="single" w:color="auto" w:sz="4" w:space="0"/>
                    <w:right w:val="single" w:color="auto" w:sz="4" w:space="0"/>
                  </w:tcBorders>
                  <w:tcMar>
                    <w:top w:w="0" w:type="dxa"/>
                    <w:left w:w="11" w:type="dxa"/>
                    <w:bottom w:w="0" w:type="dxa"/>
                    <w:right w:w="11" w:type="dxa"/>
                  </w:tcMar>
                  <w:vAlign w:val="center"/>
                </w:tcPr>
                <w:p>
                  <w:pPr>
                    <w:jc w:val="center"/>
                    <w:rPr>
                      <w:rFonts w:hAnsi="宋体"/>
                      <w:color w:val="auto"/>
                      <w:kern w:val="0"/>
                      <w:szCs w:val="21"/>
                    </w:rPr>
                  </w:pPr>
                  <w:r>
                    <w:rPr>
                      <w:color w:val="auto"/>
                    </w:rPr>
                    <w:t>脉冲布袋除尘器</w:t>
                  </w:r>
                </w:p>
              </w:tc>
              <w:tc>
                <w:tcPr>
                  <w:tcW w:w="443" w:type="pct"/>
                  <w:vMerge w:val="restart"/>
                  <w:tcBorders>
                    <w:top w:val="single" w:color="auto" w:sz="4" w:space="0"/>
                    <w:left w:val="single" w:color="auto" w:sz="4" w:space="0"/>
                    <w:right w:val="single" w:color="auto" w:sz="4" w:space="0"/>
                  </w:tcBorders>
                  <w:tcMar>
                    <w:top w:w="0" w:type="dxa"/>
                    <w:left w:w="11" w:type="dxa"/>
                    <w:bottom w:w="0" w:type="dxa"/>
                    <w:right w:w="11" w:type="dxa"/>
                  </w:tcMar>
                  <w:vAlign w:val="center"/>
                </w:tcPr>
                <w:p>
                  <w:pPr>
                    <w:jc w:val="center"/>
                    <w:rPr>
                      <w:color w:val="auto"/>
                    </w:rPr>
                  </w:pPr>
                  <w:r>
                    <w:rPr>
                      <w:rFonts w:hint="eastAsia"/>
                      <w:color w:val="auto"/>
                    </w:rPr>
                    <w:t>1</w:t>
                  </w:r>
                  <w:r>
                    <w:rPr>
                      <w:rFonts w:hint="eastAsia"/>
                      <w:color w:val="auto"/>
                      <w:lang w:val="en-US" w:eastAsia="zh-CN"/>
                    </w:rPr>
                    <w:t>5</w:t>
                  </w:r>
                  <w:r>
                    <w:rPr>
                      <w:rFonts w:hint="eastAsia"/>
                      <w:color w:val="auto"/>
                    </w:rPr>
                    <w:t>套</w:t>
                  </w:r>
                </w:p>
              </w:tc>
              <w:tc>
                <w:tcPr>
                  <w:tcW w:w="902" w:type="pct"/>
                  <w:vMerge w:val="restart"/>
                  <w:tcBorders>
                    <w:top w:val="single" w:color="auto" w:sz="4" w:space="0"/>
                    <w:left w:val="single" w:color="auto" w:sz="4" w:space="0"/>
                    <w:right w:val="single" w:color="auto" w:sz="12" w:space="0"/>
                  </w:tcBorders>
                  <w:tcMar>
                    <w:top w:w="0" w:type="dxa"/>
                    <w:left w:w="11" w:type="dxa"/>
                    <w:bottom w:w="0" w:type="dxa"/>
                    <w:right w:w="11" w:type="dxa"/>
                  </w:tcMar>
                  <w:vAlign w:val="center"/>
                </w:tcPr>
                <w:p>
                  <w:pPr>
                    <w:jc w:val="center"/>
                    <w:rPr>
                      <w:rFonts w:hint="eastAsia" w:eastAsia="宋体"/>
                      <w:color w:val="auto"/>
                      <w:lang w:eastAsia="zh-CN"/>
                    </w:rPr>
                  </w:pPr>
                  <w:r>
                    <w:rPr>
                      <w:rFonts w:hint="eastAsia"/>
                      <w:color w:val="auto"/>
                    </w:rPr>
                    <w:t>1</w:t>
                  </w:r>
                  <w:r>
                    <w:rPr>
                      <w:rFonts w:hint="eastAsia"/>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0" w:type="pct"/>
                  <w:vMerge w:val="continue"/>
                  <w:tcBorders>
                    <w:left w:val="single" w:color="auto" w:sz="12" w:space="0"/>
                    <w:right w:val="single" w:color="auto" w:sz="4" w:space="0"/>
                  </w:tcBorders>
                  <w:vAlign w:val="center"/>
                </w:tcPr>
                <w:p>
                  <w:pPr>
                    <w:jc w:val="center"/>
                    <w:rPr>
                      <w:color w:val="auto"/>
                    </w:rPr>
                  </w:pPr>
                </w:p>
              </w:tc>
              <w:tc>
                <w:tcPr>
                  <w:tcW w:w="451" w:type="pct"/>
                  <w:vMerge w:val="continue"/>
                  <w:tcBorders>
                    <w:left w:val="single" w:color="auto" w:sz="4" w:space="0"/>
                    <w:right w:val="single" w:color="auto" w:sz="6" w:space="0"/>
                  </w:tcBorders>
                  <w:vAlign w:val="center"/>
                </w:tcPr>
                <w:p>
                  <w:pPr>
                    <w:jc w:val="center"/>
                    <w:rPr>
                      <w:color w:val="auto"/>
                    </w:rPr>
                  </w:pPr>
                </w:p>
              </w:tc>
              <w:tc>
                <w:tcPr>
                  <w:tcW w:w="1139" w:type="pct"/>
                  <w:tcBorders>
                    <w:top w:val="single" w:color="auto" w:sz="4" w:space="0"/>
                    <w:left w:val="single" w:color="auto" w:sz="6" w:space="0"/>
                    <w:bottom w:val="single" w:color="auto" w:sz="4" w:space="0"/>
                    <w:right w:val="single" w:color="auto" w:sz="4" w:space="0"/>
                  </w:tcBorders>
                  <w:tcMar>
                    <w:top w:w="0" w:type="dxa"/>
                    <w:left w:w="11" w:type="dxa"/>
                    <w:bottom w:w="0" w:type="dxa"/>
                    <w:right w:w="11" w:type="dxa"/>
                  </w:tcMar>
                  <w:vAlign w:val="center"/>
                </w:tcPr>
                <w:p>
                  <w:pPr>
                    <w:jc w:val="center"/>
                    <w:rPr>
                      <w:rFonts w:hAnsi="宋体"/>
                      <w:color w:val="auto"/>
                      <w:kern w:val="0"/>
                      <w:szCs w:val="21"/>
                    </w:rPr>
                  </w:pPr>
                  <w:r>
                    <w:rPr>
                      <w:rFonts w:hint="eastAsia" w:hAnsi="宋体"/>
                      <w:color w:val="auto"/>
                      <w:kern w:val="0"/>
                      <w:szCs w:val="21"/>
                    </w:rPr>
                    <w:t>配料、混料、包装工序粉尘</w:t>
                  </w:r>
                </w:p>
              </w:tc>
              <w:tc>
                <w:tcPr>
                  <w:tcW w:w="1625" w:type="pct"/>
                  <w:vMerge w:val="continue"/>
                  <w:tcBorders>
                    <w:left w:val="single" w:color="auto" w:sz="4" w:space="0"/>
                    <w:bottom w:val="single" w:color="auto" w:sz="6" w:space="0"/>
                    <w:right w:val="single" w:color="auto" w:sz="4" w:space="0"/>
                  </w:tcBorders>
                  <w:tcMar>
                    <w:top w:w="0" w:type="dxa"/>
                    <w:left w:w="11" w:type="dxa"/>
                    <w:bottom w:w="0" w:type="dxa"/>
                    <w:right w:w="11" w:type="dxa"/>
                  </w:tcMar>
                  <w:vAlign w:val="center"/>
                </w:tcPr>
                <w:p>
                  <w:pPr>
                    <w:jc w:val="center"/>
                    <w:rPr>
                      <w:rFonts w:hAnsi="宋体"/>
                      <w:color w:val="auto"/>
                      <w:kern w:val="0"/>
                      <w:szCs w:val="21"/>
                    </w:rPr>
                  </w:pPr>
                </w:p>
              </w:tc>
              <w:tc>
                <w:tcPr>
                  <w:tcW w:w="443" w:type="pct"/>
                  <w:vMerge w:val="continue"/>
                  <w:tcBorders>
                    <w:left w:val="single" w:color="auto" w:sz="4" w:space="0"/>
                    <w:bottom w:val="single" w:color="auto" w:sz="6" w:space="0"/>
                    <w:right w:val="single" w:color="auto" w:sz="4" w:space="0"/>
                  </w:tcBorders>
                  <w:tcMar>
                    <w:top w:w="0" w:type="dxa"/>
                    <w:left w:w="11" w:type="dxa"/>
                    <w:bottom w:w="0" w:type="dxa"/>
                    <w:right w:w="11" w:type="dxa"/>
                  </w:tcMar>
                  <w:vAlign w:val="center"/>
                </w:tcPr>
                <w:p>
                  <w:pPr>
                    <w:jc w:val="center"/>
                    <w:rPr>
                      <w:color w:val="auto"/>
                    </w:rPr>
                  </w:pPr>
                </w:p>
              </w:tc>
              <w:tc>
                <w:tcPr>
                  <w:tcW w:w="902" w:type="pct"/>
                  <w:vMerge w:val="continue"/>
                  <w:tcBorders>
                    <w:left w:val="single" w:color="auto" w:sz="4" w:space="0"/>
                    <w:bottom w:val="single" w:color="auto" w:sz="4" w:space="0"/>
                    <w:right w:val="single" w:color="auto" w:sz="12" w:space="0"/>
                  </w:tcBorders>
                  <w:tcMar>
                    <w:top w:w="0" w:type="dxa"/>
                    <w:left w:w="11" w:type="dxa"/>
                    <w:bottom w:w="0" w:type="dxa"/>
                    <w:right w:w="11" w:type="dxa"/>
                  </w:tcMar>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40" w:type="pct"/>
                  <w:vMerge w:val="continue"/>
                  <w:tcBorders>
                    <w:left w:val="single" w:color="auto" w:sz="12" w:space="0"/>
                    <w:bottom w:val="single" w:color="auto" w:sz="4" w:space="0"/>
                    <w:right w:val="single" w:color="auto" w:sz="4" w:space="0"/>
                  </w:tcBorders>
                  <w:vAlign w:val="center"/>
                </w:tcPr>
                <w:p>
                  <w:pPr>
                    <w:jc w:val="center"/>
                    <w:rPr>
                      <w:color w:val="auto"/>
                    </w:rPr>
                  </w:pPr>
                </w:p>
              </w:tc>
              <w:tc>
                <w:tcPr>
                  <w:tcW w:w="451" w:type="pct"/>
                  <w:vMerge w:val="continue"/>
                  <w:tcBorders>
                    <w:left w:val="single" w:color="auto" w:sz="4" w:space="0"/>
                    <w:bottom w:val="single" w:color="auto" w:sz="4" w:space="0"/>
                    <w:right w:val="single" w:color="auto" w:sz="6" w:space="0"/>
                  </w:tcBorders>
                  <w:vAlign w:val="center"/>
                </w:tcPr>
                <w:p>
                  <w:pPr>
                    <w:jc w:val="center"/>
                    <w:rPr>
                      <w:color w:val="auto"/>
                    </w:rPr>
                  </w:pPr>
                </w:p>
              </w:tc>
              <w:tc>
                <w:tcPr>
                  <w:tcW w:w="1139" w:type="pct"/>
                  <w:tcBorders>
                    <w:top w:val="single" w:color="auto" w:sz="4" w:space="0"/>
                    <w:left w:val="single" w:color="auto" w:sz="6" w:space="0"/>
                    <w:bottom w:val="single" w:color="auto" w:sz="4" w:space="0"/>
                    <w:right w:val="single" w:color="auto" w:sz="4" w:space="0"/>
                  </w:tcBorders>
                  <w:tcMar>
                    <w:top w:w="0" w:type="dxa"/>
                    <w:left w:w="11" w:type="dxa"/>
                    <w:bottom w:w="0" w:type="dxa"/>
                    <w:right w:w="11" w:type="dxa"/>
                  </w:tcMar>
                  <w:vAlign w:val="center"/>
                </w:tcPr>
                <w:p>
                  <w:pPr>
                    <w:jc w:val="center"/>
                    <w:rPr>
                      <w:rFonts w:hAnsi="宋体"/>
                      <w:color w:val="auto"/>
                      <w:kern w:val="0"/>
                      <w:szCs w:val="21"/>
                    </w:rPr>
                  </w:pPr>
                  <w:r>
                    <w:rPr>
                      <w:rFonts w:hint="eastAsia" w:hAnsi="宋体"/>
                      <w:color w:val="auto"/>
                      <w:kern w:val="0"/>
                      <w:szCs w:val="21"/>
                    </w:rPr>
                    <w:t>砂石进料粉尘</w:t>
                  </w:r>
                </w:p>
              </w:tc>
              <w:tc>
                <w:tcPr>
                  <w:tcW w:w="1625" w:type="pct"/>
                  <w:tcBorders>
                    <w:top w:val="single" w:color="auto" w:sz="4" w:space="0"/>
                    <w:left w:val="single" w:color="auto" w:sz="4" w:space="0"/>
                    <w:bottom w:val="single" w:color="auto" w:sz="6" w:space="0"/>
                    <w:right w:val="single" w:color="auto" w:sz="4" w:space="0"/>
                  </w:tcBorders>
                  <w:tcMar>
                    <w:top w:w="0" w:type="dxa"/>
                    <w:left w:w="11" w:type="dxa"/>
                    <w:bottom w:w="0" w:type="dxa"/>
                    <w:right w:w="11" w:type="dxa"/>
                  </w:tcMar>
                  <w:vAlign w:val="center"/>
                </w:tcPr>
                <w:p>
                  <w:pPr>
                    <w:jc w:val="center"/>
                    <w:rPr>
                      <w:rFonts w:hAnsi="宋体"/>
                      <w:color w:val="auto"/>
                      <w:kern w:val="0"/>
                      <w:szCs w:val="21"/>
                    </w:rPr>
                  </w:pPr>
                  <w:r>
                    <w:rPr>
                      <w:rFonts w:hint="eastAsia" w:hAnsi="宋体"/>
                      <w:color w:val="auto"/>
                      <w:kern w:val="0"/>
                      <w:szCs w:val="21"/>
                    </w:rPr>
                    <w:t>3面挡墙及顶盖</w:t>
                  </w:r>
                </w:p>
              </w:tc>
              <w:tc>
                <w:tcPr>
                  <w:tcW w:w="443" w:type="pct"/>
                  <w:tcBorders>
                    <w:top w:val="single" w:color="auto" w:sz="4" w:space="0"/>
                    <w:left w:val="single" w:color="auto" w:sz="4" w:space="0"/>
                    <w:bottom w:val="single" w:color="auto" w:sz="6" w:space="0"/>
                    <w:right w:val="single" w:color="auto" w:sz="4" w:space="0"/>
                  </w:tcBorders>
                  <w:tcMar>
                    <w:top w:w="0" w:type="dxa"/>
                    <w:left w:w="11" w:type="dxa"/>
                    <w:bottom w:w="0" w:type="dxa"/>
                    <w:right w:w="11" w:type="dxa"/>
                  </w:tcMar>
                  <w:vAlign w:val="center"/>
                </w:tcPr>
                <w:p>
                  <w:pPr>
                    <w:jc w:val="center"/>
                    <w:rPr>
                      <w:color w:val="auto"/>
                    </w:rPr>
                  </w:pPr>
                  <w:r>
                    <w:rPr>
                      <w:rFonts w:hint="eastAsia"/>
                      <w:color w:val="auto"/>
                    </w:rPr>
                    <w:t>1套</w:t>
                  </w:r>
                </w:p>
              </w:tc>
              <w:tc>
                <w:tcPr>
                  <w:tcW w:w="902" w:type="pct"/>
                  <w:tcBorders>
                    <w:top w:val="single" w:color="auto" w:sz="4" w:space="0"/>
                    <w:left w:val="single" w:color="auto" w:sz="4" w:space="0"/>
                    <w:bottom w:val="single" w:color="auto" w:sz="4" w:space="0"/>
                    <w:right w:val="single" w:color="auto" w:sz="12" w:space="0"/>
                  </w:tcBorders>
                  <w:tcMar>
                    <w:top w:w="0" w:type="dxa"/>
                    <w:left w:w="11" w:type="dxa"/>
                    <w:bottom w:w="0" w:type="dxa"/>
                    <w:right w:w="11" w:type="dxa"/>
                  </w:tcMar>
                  <w:vAlign w:val="center"/>
                </w:tcPr>
                <w:p>
                  <w:pPr>
                    <w:jc w:val="center"/>
                    <w:rPr>
                      <w:rFonts w:hint="eastAsia" w:eastAsia="宋体"/>
                      <w:color w:val="auto"/>
                      <w:lang w:eastAsia="zh-CN"/>
                    </w:rPr>
                  </w:pPr>
                  <w:r>
                    <w:rPr>
                      <w:rFonts w:hint="eastAsia"/>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0" w:type="pct"/>
                  <w:tcBorders>
                    <w:top w:val="single" w:color="auto" w:sz="4" w:space="0"/>
                    <w:left w:val="single" w:color="auto" w:sz="12" w:space="0"/>
                    <w:bottom w:val="single" w:color="auto" w:sz="4" w:space="0"/>
                    <w:right w:val="single" w:color="auto" w:sz="6" w:space="0"/>
                  </w:tcBorders>
                  <w:tcMar>
                    <w:top w:w="0" w:type="dxa"/>
                    <w:left w:w="11" w:type="dxa"/>
                    <w:bottom w:w="0" w:type="dxa"/>
                    <w:right w:w="11" w:type="dxa"/>
                  </w:tcMar>
                  <w:vAlign w:val="center"/>
                </w:tcPr>
                <w:p>
                  <w:pPr>
                    <w:jc w:val="center"/>
                    <w:rPr>
                      <w:color w:val="auto"/>
                    </w:rPr>
                  </w:pPr>
                  <w:r>
                    <w:rPr>
                      <w:rFonts w:hint="eastAsia"/>
                      <w:color w:val="auto"/>
                    </w:rPr>
                    <w:t>2</w:t>
                  </w:r>
                </w:p>
              </w:tc>
              <w:tc>
                <w:tcPr>
                  <w:tcW w:w="1590" w:type="pct"/>
                  <w:gridSpan w:val="2"/>
                  <w:tcBorders>
                    <w:top w:val="single" w:color="auto" w:sz="4" w:space="0"/>
                    <w:left w:val="single" w:color="auto" w:sz="6" w:space="0"/>
                    <w:bottom w:val="single" w:color="auto" w:sz="4" w:space="0"/>
                    <w:right w:val="single" w:color="auto" w:sz="4" w:space="0"/>
                  </w:tcBorders>
                  <w:tcMar>
                    <w:top w:w="0" w:type="dxa"/>
                    <w:left w:w="11" w:type="dxa"/>
                    <w:bottom w:w="0" w:type="dxa"/>
                    <w:right w:w="11" w:type="dxa"/>
                  </w:tcMar>
                  <w:vAlign w:val="center"/>
                </w:tcPr>
                <w:p>
                  <w:pPr>
                    <w:jc w:val="center"/>
                    <w:rPr>
                      <w:color w:val="auto"/>
                    </w:rPr>
                  </w:pPr>
                  <w:r>
                    <w:rPr>
                      <w:rFonts w:hint="eastAsia"/>
                      <w:color w:val="auto"/>
                      <w:lang w:val="zh-CN"/>
                    </w:rPr>
                    <w:t>设备噪声</w:t>
                  </w:r>
                </w:p>
              </w:tc>
              <w:tc>
                <w:tcPr>
                  <w:tcW w:w="1625" w:type="pct"/>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jc w:val="center"/>
                    <w:rPr>
                      <w:color w:val="auto"/>
                    </w:rPr>
                  </w:pPr>
                  <w:r>
                    <w:rPr>
                      <w:rFonts w:hint="eastAsia"/>
                      <w:color w:val="auto"/>
                      <w:lang w:val="zh-CN"/>
                    </w:rPr>
                    <w:t>厂房隔声、基础减震</w:t>
                  </w:r>
                </w:p>
              </w:tc>
              <w:tc>
                <w:tcPr>
                  <w:tcW w:w="443" w:type="pct"/>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jc w:val="center"/>
                    <w:rPr>
                      <w:color w:val="auto"/>
                    </w:rPr>
                  </w:pPr>
                  <w:r>
                    <w:rPr>
                      <w:color w:val="auto"/>
                    </w:rPr>
                    <w:t>/</w:t>
                  </w:r>
                </w:p>
              </w:tc>
              <w:tc>
                <w:tcPr>
                  <w:tcW w:w="902" w:type="pct"/>
                  <w:tcBorders>
                    <w:top w:val="single" w:color="auto" w:sz="4" w:space="0"/>
                    <w:left w:val="single" w:color="auto" w:sz="4" w:space="0"/>
                    <w:bottom w:val="single" w:color="auto" w:sz="4" w:space="0"/>
                    <w:right w:val="single" w:color="auto" w:sz="12" w:space="0"/>
                  </w:tcBorders>
                  <w:tcMar>
                    <w:top w:w="0" w:type="dxa"/>
                    <w:left w:w="11" w:type="dxa"/>
                    <w:bottom w:w="0" w:type="dxa"/>
                    <w:right w:w="11" w:type="dxa"/>
                  </w:tcMar>
                  <w:vAlign w:val="center"/>
                </w:tcPr>
                <w:p>
                  <w:pPr>
                    <w:jc w:val="center"/>
                    <w:rPr>
                      <w:color w:val="auto"/>
                    </w:rPr>
                  </w:pPr>
                  <w:r>
                    <w:rPr>
                      <w:rFonts w:hint="eastAsia"/>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0" w:type="pct"/>
                  <w:vMerge w:val="restart"/>
                  <w:tcBorders>
                    <w:top w:val="single" w:color="auto" w:sz="4" w:space="0"/>
                    <w:left w:val="single" w:color="auto" w:sz="12" w:space="0"/>
                    <w:right w:val="single" w:color="auto" w:sz="6" w:space="0"/>
                  </w:tcBorders>
                  <w:tcMar>
                    <w:top w:w="0" w:type="dxa"/>
                    <w:left w:w="11" w:type="dxa"/>
                    <w:bottom w:w="0" w:type="dxa"/>
                    <w:right w:w="11" w:type="dxa"/>
                  </w:tcMar>
                  <w:vAlign w:val="center"/>
                </w:tcPr>
                <w:p>
                  <w:pPr>
                    <w:jc w:val="center"/>
                    <w:rPr>
                      <w:color w:val="auto"/>
                    </w:rPr>
                  </w:pPr>
                  <w:r>
                    <w:rPr>
                      <w:rFonts w:hint="eastAsia"/>
                      <w:color w:val="auto"/>
                    </w:rPr>
                    <w:t>3</w:t>
                  </w:r>
                </w:p>
              </w:tc>
              <w:tc>
                <w:tcPr>
                  <w:tcW w:w="451" w:type="pct"/>
                  <w:vMerge w:val="restart"/>
                  <w:tcBorders>
                    <w:top w:val="single" w:color="auto" w:sz="4" w:space="0"/>
                    <w:left w:val="single" w:color="auto" w:sz="6" w:space="0"/>
                    <w:right w:val="single" w:color="auto" w:sz="6" w:space="0"/>
                  </w:tcBorders>
                  <w:tcMar>
                    <w:top w:w="0" w:type="dxa"/>
                    <w:left w:w="11" w:type="dxa"/>
                    <w:bottom w:w="0" w:type="dxa"/>
                    <w:right w:w="11" w:type="dxa"/>
                  </w:tcMar>
                  <w:vAlign w:val="center"/>
                </w:tcPr>
                <w:p>
                  <w:pPr>
                    <w:jc w:val="center"/>
                    <w:rPr>
                      <w:color w:val="auto"/>
                      <w:lang w:val="zh-CN"/>
                    </w:rPr>
                  </w:pPr>
                  <w:r>
                    <w:rPr>
                      <w:color w:val="auto"/>
                      <w:lang w:val="zh-CN"/>
                    </w:rPr>
                    <w:t>固废</w:t>
                  </w:r>
                </w:p>
              </w:tc>
              <w:tc>
                <w:tcPr>
                  <w:tcW w:w="1139" w:type="pct"/>
                  <w:tcBorders>
                    <w:top w:val="single" w:color="auto" w:sz="4" w:space="0"/>
                    <w:left w:val="single" w:color="auto" w:sz="6" w:space="0"/>
                    <w:bottom w:val="single" w:color="auto" w:sz="4" w:space="0"/>
                    <w:right w:val="single" w:color="auto" w:sz="4" w:space="0"/>
                  </w:tcBorders>
                  <w:tcMar>
                    <w:top w:w="0" w:type="dxa"/>
                    <w:left w:w="11" w:type="dxa"/>
                    <w:bottom w:w="0" w:type="dxa"/>
                    <w:right w:w="11" w:type="dxa"/>
                  </w:tcMar>
                  <w:vAlign w:val="center"/>
                </w:tcPr>
                <w:p>
                  <w:pPr>
                    <w:jc w:val="center"/>
                    <w:rPr>
                      <w:color w:val="auto"/>
                    </w:rPr>
                  </w:pPr>
                  <w:r>
                    <w:rPr>
                      <w:color w:val="auto"/>
                    </w:rPr>
                    <w:t>生活垃圾</w:t>
                  </w:r>
                </w:p>
              </w:tc>
              <w:tc>
                <w:tcPr>
                  <w:tcW w:w="1625" w:type="pct"/>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jc w:val="center"/>
                    <w:rPr>
                      <w:color w:val="auto"/>
                      <w:lang w:val="zh-CN"/>
                    </w:rPr>
                  </w:pPr>
                  <w:r>
                    <w:rPr>
                      <w:rFonts w:hint="eastAsia"/>
                      <w:color w:val="auto"/>
                      <w:lang w:val="zh-CN"/>
                    </w:rPr>
                    <w:t>垃圾桶若干</w:t>
                  </w:r>
                </w:p>
              </w:tc>
              <w:tc>
                <w:tcPr>
                  <w:tcW w:w="443" w:type="pct"/>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jc w:val="center"/>
                    <w:rPr>
                      <w:color w:val="auto"/>
                    </w:rPr>
                  </w:pPr>
                  <w:r>
                    <w:rPr>
                      <w:color w:val="auto"/>
                    </w:rPr>
                    <w:t>1</w:t>
                  </w:r>
                  <w:r>
                    <w:rPr>
                      <w:rFonts w:hint="eastAsia"/>
                      <w:color w:val="auto"/>
                    </w:rPr>
                    <w:t>座</w:t>
                  </w:r>
                </w:p>
              </w:tc>
              <w:tc>
                <w:tcPr>
                  <w:tcW w:w="902" w:type="pct"/>
                  <w:tcBorders>
                    <w:top w:val="single" w:color="auto" w:sz="4" w:space="0"/>
                    <w:left w:val="single" w:color="auto" w:sz="4" w:space="0"/>
                    <w:bottom w:val="single" w:color="auto" w:sz="4" w:space="0"/>
                    <w:right w:val="single" w:color="auto" w:sz="12" w:space="0"/>
                  </w:tcBorders>
                  <w:tcMar>
                    <w:top w:w="0" w:type="dxa"/>
                    <w:left w:w="11" w:type="dxa"/>
                    <w:bottom w:w="0" w:type="dxa"/>
                    <w:right w:w="11" w:type="dxa"/>
                  </w:tcMar>
                  <w:vAlign w:val="center"/>
                </w:tcPr>
                <w:p>
                  <w:pPr>
                    <w:jc w:val="center"/>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0" w:type="pct"/>
                  <w:vMerge w:val="continue"/>
                  <w:tcBorders>
                    <w:top w:val="single" w:color="auto" w:sz="4" w:space="0"/>
                    <w:left w:val="single" w:color="auto" w:sz="12" w:space="0"/>
                    <w:right w:val="single" w:color="auto" w:sz="6" w:space="0"/>
                  </w:tcBorders>
                  <w:tcMar>
                    <w:top w:w="0" w:type="dxa"/>
                    <w:left w:w="11" w:type="dxa"/>
                    <w:bottom w:w="0" w:type="dxa"/>
                    <w:right w:w="11" w:type="dxa"/>
                  </w:tcMar>
                  <w:vAlign w:val="center"/>
                </w:tcPr>
                <w:p>
                  <w:pPr>
                    <w:jc w:val="center"/>
                    <w:rPr>
                      <w:color w:val="auto"/>
                    </w:rPr>
                  </w:pPr>
                </w:p>
              </w:tc>
              <w:tc>
                <w:tcPr>
                  <w:tcW w:w="451" w:type="pct"/>
                  <w:vMerge w:val="continue"/>
                  <w:tcBorders>
                    <w:top w:val="single" w:color="auto" w:sz="4" w:space="0"/>
                    <w:left w:val="single" w:color="auto" w:sz="6" w:space="0"/>
                    <w:right w:val="single" w:color="auto" w:sz="6" w:space="0"/>
                  </w:tcBorders>
                  <w:tcMar>
                    <w:top w:w="0" w:type="dxa"/>
                    <w:left w:w="11" w:type="dxa"/>
                    <w:bottom w:w="0" w:type="dxa"/>
                    <w:right w:w="11" w:type="dxa"/>
                  </w:tcMar>
                  <w:vAlign w:val="center"/>
                </w:tcPr>
                <w:p>
                  <w:pPr>
                    <w:jc w:val="center"/>
                    <w:rPr>
                      <w:color w:val="auto"/>
                      <w:lang w:val="zh-CN"/>
                    </w:rPr>
                  </w:pPr>
                </w:p>
              </w:tc>
              <w:tc>
                <w:tcPr>
                  <w:tcW w:w="1139" w:type="pct"/>
                  <w:tcBorders>
                    <w:top w:val="single" w:color="auto" w:sz="4" w:space="0"/>
                    <w:left w:val="single" w:color="auto" w:sz="6" w:space="0"/>
                    <w:bottom w:val="single" w:color="auto" w:sz="4" w:space="0"/>
                    <w:right w:val="single" w:color="auto" w:sz="4" w:space="0"/>
                  </w:tcBorders>
                  <w:tcMar>
                    <w:top w:w="0" w:type="dxa"/>
                    <w:left w:w="11" w:type="dxa"/>
                    <w:bottom w:w="0" w:type="dxa"/>
                    <w:right w:w="11" w:type="dxa"/>
                  </w:tcMar>
                  <w:vAlign w:val="center"/>
                </w:tcPr>
                <w:p>
                  <w:pPr>
                    <w:jc w:val="center"/>
                    <w:rPr>
                      <w:color w:val="auto"/>
                    </w:rPr>
                  </w:pPr>
                  <w:r>
                    <w:rPr>
                      <w:rFonts w:hint="eastAsia"/>
                      <w:color w:val="auto"/>
                    </w:rPr>
                    <w:t>一般固废</w:t>
                  </w:r>
                </w:p>
              </w:tc>
              <w:tc>
                <w:tcPr>
                  <w:tcW w:w="1625" w:type="pct"/>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jc w:val="center"/>
                    <w:rPr>
                      <w:color w:val="auto"/>
                      <w:lang w:val="zh-CN"/>
                    </w:rPr>
                  </w:pPr>
                  <w:r>
                    <w:rPr>
                      <w:rFonts w:hint="eastAsia"/>
                      <w:color w:val="auto"/>
                      <w:lang w:val="zh-CN"/>
                    </w:rPr>
                    <w:t>一般固废暂存间</w:t>
                  </w:r>
                </w:p>
              </w:tc>
              <w:tc>
                <w:tcPr>
                  <w:tcW w:w="443" w:type="pct"/>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jc w:val="center"/>
                    <w:rPr>
                      <w:color w:val="auto"/>
                    </w:rPr>
                  </w:pPr>
                  <w:r>
                    <w:rPr>
                      <w:color w:val="auto"/>
                    </w:rPr>
                    <w:t>1</w:t>
                  </w:r>
                  <w:r>
                    <w:rPr>
                      <w:rFonts w:hint="eastAsia"/>
                      <w:color w:val="auto"/>
                    </w:rPr>
                    <w:t>座</w:t>
                  </w:r>
                </w:p>
              </w:tc>
              <w:tc>
                <w:tcPr>
                  <w:tcW w:w="902" w:type="pct"/>
                  <w:tcBorders>
                    <w:top w:val="single" w:color="auto" w:sz="4" w:space="0"/>
                    <w:left w:val="single" w:color="auto" w:sz="4" w:space="0"/>
                    <w:bottom w:val="single" w:color="auto" w:sz="4" w:space="0"/>
                    <w:right w:val="single" w:color="auto" w:sz="12" w:space="0"/>
                  </w:tcBorders>
                  <w:tcMar>
                    <w:top w:w="0" w:type="dxa"/>
                    <w:left w:w="11" w:type="dxa"/>
                    <w:bottom w:w="0" w:type="dxa"/>
                    <w:right w:w="11" w:type="dxa"/>
                  </w:tcMar>
                  <w:vAlign w:val="center"/>
                </w:tcPr>
                <w:p>
                  <w:pPr>
                    <w:jc w:val="center"/>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0" w:type="pct"/>
                  <w:vMerge w:val="continue"/>
                  <w:tcBorders>
                    <w:left w:val="single" w:color="auto" w:sz="12" w:space="0"/>
                    <w:bottom w:val="single" w:color="auto" w:sz="4" w:space="0"/>
                    <w:right w:val="single" w:color="auto" w:sz="6" w:space="0"/>
                  </w:tcBorders>
                  <w:tcMar>
                    <w:top w:w="0" w:type="dxa"/>
                    <w:left w:w="11" w:type="dxa"/>
                    <w:bottom w:w="0" w:type="dxa"/>
                    <w:right w:w="11" w:type="dxa"/>
                  </w:tcMar>
                  <w:vAlign w:val="center"/>
                </w:tcPr>
                <w:p>
                  <w:pPr>
                    <w:jc w:val="center"/>
                    <w:rPr>
                      <w:color w:val="auto"/>
                    </w:rPr>
                  </w:pPr>
                </w:p>
              </w:tc>
              <w:tc>
                <w:tcPr>
                  <w:tcW w:w="451" w:type="pct"/>
                  <w:vMerge w:val="continue"/>
                  <w:tcBorders>
                    <w:left w:val="single" w:color="auto" w:sz="6" w:space="0"/>
                    <w:right w:val="single" w:color="auto" w:sz="6" w:space="0"/>
                  </w:tcBorders>
                  <w:tcMar>
                    <w:top w:w="0" w:type="dxa"/>
                    <w:left w:w="11" w:type="dxa"/>
                    <w:bottom w:w="0" w:type="dxa"/>
                    <w:right w:w="11" w:type="dxa"/>
                  </w:tcMar>
                  <w:vAlign w:val="center"/>
                </w:tcPr>
                <w:p>
                  <w:pPr>
                    <w:jc w:val="center"/>
                    <w:rPr>
                      <w:color w:val="auto"/>
                      <w:lang w:val="zh-CN"/>
                    </w:rPr>
                  </w:pPr>
                </w:p>
              </w:tc>
              <w:tc>
                <w:tcPr>
                  <w:tcW w:w="1139" w:type="pct"/>
                  <w:tcBorders>
                    <w:top w:val="single" w:color="auto" w:sz="4" w:space="0"/>
                    <w:left w:val="single" w:color="auto" w:sz="6" w:space="0"/>
                    <w:bottom w:val="single" w:color="auto" w:sz="4" w:space="0"/>
                    <w:right w:val="single" w:color="auto" w:sz="4" w:space="0"/>
                  </w:tcBorders>
                  <w:tcMar>
                    <w:top w:w="0" w:type="dxa"/>
                    <w:left w:w="11" w:type="dxa"/>
                    <w:bottom w:w="0" w:type="dxa"/>
                    <w:right w:w="11" w:type="dxa"/>
                  </w:tcMar>
                  <w:vAlign w:val="center"/>
                </w:tcPr>
                <w:p>
                  <w:pPr>
                    <w:jc w:val="center"/>
                    <w:rPr>
                      <w:color w:val="auto"/>
                    </w:rPr>
                  </w:pPr>
                  <w:r>
                    <w:rPr>
                      <w:color w:val="auto"/>
                    </w:rPr>
                    <w:t>危险废物</w:t>
                  </w:r>
                </w:p>
              </w:tc>
              <w:tc>
                <w:tcPr>
                  <w:tcW w:w="1625" w:type="pct"/>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jc w:val="center"/>
                    <w:rPr>
                      <w:color w:val="auto"/>
                    </w:rPr>
                  </w:pPr>
                  <w:r>
                    <w:rPr>
                      <w:rFonts w:hint="eastAsia"/>
                      <w:color w:val="auto"/>
                    </w:rPr>
                    <w:t>危废暂存间</w:t>
                  </w:r>
                </w:p>
              </w:tc>
              <w:tc>
                <w:tcPr>
                  <w:tcW w:w="443" w:type="pct"/>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jc w:val="center"/>
                    <w:rPr>
                      <w:color w:val="auto"/>
                    </w:rPr>
                  </w:pPr>
                  <w:r>
                    <w:rPr>
                      <w:rFonts w:hint="eastAsia"/>
                      <w:color w:val="auto"/>
                    </w:rPr>
                    <w:t>1座</w:t>
                  </w:r>
                </w:p>
              </w:tc>
              <w:tc>
                <w:tcPr>
                  <w:tcW w:w="902" w:type="pct"/>
                  <w:tcBorders>
                    <w:top w:val="single" w:color="auto" w:sz="4" w:space="0"/>
                    <w:left w:val="single" w:color="auto" w:sz="4" w:space="0"/>
                    <w:bottom w:val="single" w:color="auto" w:sz="4" w:space="0"/>
                    <w:right w:val="single" w:color="auto" w:sz="12" w:space="0"/>
                  </w:tcBorders>
                  <w:tcMar>
                    <w:top w:w="0" w:type="dxa"/>
                    <w:left w:w="11" w:type="dxa"/>
                    <w:bottom w:w="0" w:type="dxa"/>
                    <w:right w:w="11" w:type="dxa"/>
                  </w:tcMar>
                  <w:vAlign w:val="center"/>
                </w:tcPr>
                <w:p>
                  <w:pPr>
                    <w:jc w:val="center"/>
                    <w:rPr>
                      <w:color w:val="auto"/>
                    </w:rPr>
                  </w:pPr>
                  <w:r>
                    <w:rPr>
                      <w:rFonts w:hint="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40" w:type="pct"/>
                  <w:tcBorders>
                    <w:top w:val="single" w:color="auto" w:sz="6" w:space="0"/>
                    <w:left w:val="single" w:color="auto" w:sz="12" w:space="0"/>
                    <w:bottom w:val="single" w:color="auto" w:sz="12" w:space="0"/>
                    <w:right w:val="single" w:color="auto" w:sz="4" w:space="0"/>
                  </w:tcBorders>
                  <w:tcMar>
                    <w:top w:w="0" w:type="dxa"/>
                    <w:left w:w="11" w:type="dxa"/>
                    <w:bottom w:w="0" w:type="dxa"/>
                    <w:right w:w="11" w:type="dxa"/>
                  </w:tcMar>
                  <w:vAlign w:val="center"/>
                </w:tcPr>
                <w:p>
                  <w:pPr>
                    <w:jc w:val="center"/>
                    <w:rPr>
                      <w:color w:val="auto"/>
                    </w:rPr>
                  </w:pPr>
                  <w:r>
                    <w:rPr>
                      <w:rFonts w:hint="eastAsia"/>
                      <w:color w:val="auto"/>
                    </w:rPr>
                    <w:t>4</w:t>
                  </w:r>
                </w:p>
              </w:tc>
              <w:tc>
                <w:tcPr>
                  <w:tcW w:w="3658" w:type="pct"/>
                  <w:gridSpan w:val="4"/>
                  <w:tcBorders>
                    <w:top w:val="single" w:color="auto" w:sz="6" w:space="0"/>
                    <w:left w:val="single" w:color="auto" w:sz="4" w:space="0"/>
                    <w:bottom w:val="single" w:color="auto" w:sz="12" w:space="0"/>
                    <w:right w:val="single" w:color="auto" w:sz="4" w:space="0"/>
                  </w:tcBorders>
                  <w:tcMar>
                    <w:top w:w="0" w:type="dxa"/>
                    <w:left w:w="11" w:type="dxa"/>
                    <w:bottom w:w="0" w:type="dxa"/>
                    <w:right w:w="11" w:type="dxa"/>
                  </w:tcMar>
                  <w:vAlign w:val="center"/>
                </w:tcPr>
                <w:p>
                  <w:pPr>
                    <w:jc w:val="center"/>
                    <w:rPr>
                      <w:color w:val="auto"/>
                    </w:rPr>
                  </w:pPr>
                  <w:r>
                    <w:rPr>
                      <w:rFonts w:hint="eastAsia"/>
                      <w:color w:val="auto"/>
                    </w:rPr>
                    <w:t>合计</w:t>
                  </w:r>
                </w:p>
              </w:tc>
              <w:tc>
                <w:tcPr>
                  <w:tcW w:w="902" w:type="pct"/>
                  <w:tcBorders>
                    <w:top w:val="single" w:color="auto" w:sz="6" w:space="0"/>
                    <w:left w:val="single" w:color="auto" w:sz="4" w:space="0"/>
                    <w:bottom w:val="single" w:color="auto" w:sz="12" w:space="0"/>
                    <w:right w:val="single" w:color="auto" w:sz="12" w:space="0"/>
                  </w:tcBorders>
                  <w:tcMar>
                    <w:top w:w="0" w:type="dxa"/>
                    <w:left w:w="11" w:type="dxa"/>
                    <w:bottom w:w="0" w:type="dxa"/>
                    <w:right w:w="11" w:type="dxa"/>
                  </w:tcMar>
                  <w:vAlign w:val="center"/>
                </w:tcPr>
                <w:p>
                  <w:pPr>
                    <w:jc w:val="center"/>
                    <w:rPr>
                      <w:color w:val="auto"/>
                    </w:rPr>
                  </w:pPr>
                  <w:r>
                    <w:rPr>
                      <w:rFonts w:hint="eastAsia"/>
                      <w:color w:val="auto"/>
                    </w:rPr>
                    <w:t>27</w:t>
                  </w:r>
                </w:p>
              </w:tc>
            </w:tr>
          </w:tbl>
          <w:p>
            <w:pPr>
              <w:adjustRightInd w:val="0"/>
              <w:snapToGrid w:val="0"/>
              <w:spacing w:line="360" w:lineRule="auto"/>
              <w:rPr>
                <w:rFonts w:ascii="宋体" w:hAnsi="宋体" w:cs="宋体"/>
                <w:bCs/>
                <w:color w:val="auto"/>
                <w:spacing w:val="-10"/>
                <w:sz w:val="24"/>
              </w:rPr>
            </w:pPr>
          </w:p>
        </w:tc>
      </w:tr>
    </w:tbl>
    <w:p>
      <w:pPr>
        <w:adjustRightInd w:val="0"/>
        <w:snapToGrid w:val="0"/>
        <w:spacing w:line="360" w:lineRule="auto"/>
        <w:ind w:firstLine="562"/>
        <w:rPr>
          <w:rFonts w:ascii="宋体" w:cs="宋体"/>
          <w:b/>
          <w:color w:val="auto"/>
          <w:kern w:val="0"/>
          <w:sz w:val="28"/>
          <w:szCs w:val="28"/>
        </w:rPr>
        <w:sectPr>
          <w:pgSz w:w="11907" w:h="16840"/>
          <w:pgMar w:top="1701" w:right="1531" w:bottom="2127" w:left="1531" w:header="851" w:footer="851" w:gutter="0"/>
          <w:cols w:space="720" w:num="1"/>
          <w:docGrid w:linePitch="312" w:charSpace="0"/>
        </w:sectPr>
      </w:pPr>
    </w:p>
    <w:p>
      <w:pPr>
        <w:pStyle w:val="15"/>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3" w:name="_Hlk54167917"/>
      <w:r>
        <w:rPr>
          <w:rFonts w:hint="eastAsia" w:ascii="黑体" w:hAnsi="黑体" w:eastAsia="黑体"/>
          <w:snapToGrid w:val="0"/>
          <w:color w:val="auto"/>
          <w:sz w:val="30"/>
          <w:szCs w:val="30"/>
        </w:rPr>
        <w:t>环境保护措施监督检查清单</w:t>
      </w:r>
      <w:bookmarkEnd w:id="3"/>
    </w:p>
    <w:tbl>
      <w:tblPr>
        <w:tblStyle w:val="18"/>
        <w:tblW w:w="89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701"/>
        <w:gridCol w:w="1358"/>
        <w:gridCol w:w="1701"/>
        <w:gridCol w:w="29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tcBorders>
              <w:top w:val="single" w:color="auto" w:sz="12" w:space="0"/>
              <w:left w:val="single" w:color="auto" w:sz="12" w:space="0"/>
              <w:bottom w:val="single" w:color="auto" w:sz="4" w:space="0"/>
              <w:tl2br w:val="single" w:color="auto" w:sz="4" w:space="0"/>
            </w:tcBorders>
            <w:tcMar>
              <w:left w:w="28" w:type="dxa"/>
              <w:right w:w="28" w:type="dxa"/>
            </w:tcMar>
          </w:tcPr>
          <w:p>
            <w:pPr>
              <w:adjustRightInd w:val="0"/>
              <w:snapToGrid w:val="0"/>
              <w:jc w:val="right"/>
              <w:rPr>
                <w:rFonts w:ascii="宋体" w:hAnsi="宋体" w:cs="宋体"/>
                <w:color w:val="auto"/>
                <w:sz w:val="24"/>
              </w:rPr>
            </w:pPr>
            <w:r>
              <w:rPr>
                <w:rFonts w:hint="eastAsia" w:ascii="宋体" w:hAnsi="宋体" w:cs="宋体"/>
                <w:color w:val="auto"/>
                <w:sz w:val="24"/>
              </w:rPr>
              <w:t>内容</w:t>
            </w:r>
          </w:p>
          <w:p>
            <w:pPr>
              <w:adjustRightInd w:val="0"/>
              <w:snapToGrid w:val="0"/>
              <w:jc w:val="left"/>
              <w:rPr>
                <w:rFonts w:ascii="宋体" w:hAnsi="宋体" w:cs="宋体"/>
                <w:color w:val="auto"/>
                <w:sz w:val="24"/>
              </w:rPr>
            </w:pPr>
            <w:r>
              <w:rPr>
                <w:rFonts w:hint="eastAsia" w:ascii="宋体" w:hAnsi="宋体" w:cs="宋体"/>
                <w:color w:val="auto"/>
                <w:sz w:val="24"/>
              </w:rPr>
              <w:t>要素</w:t>
            </w:r>
          </w:p>
        </w:tc>
        <w:tc>
          <w:tcPr>
            <w:tcW w:w="1701" w:type="dxa"/>
            <w:tcBorders>
              <w:top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排放口(编号、</w:t>
            </w:r>
          </w:p>
          <w:p>
            <w:pPr>
              <w:adjustRightInd w:val="0"/>
              <w:snapToGrid w:val="0"/>
              <w:jc w:val="center"/>
              <w:rPr>
                <w:rFonts w:ascii="宋体" w:hAnsi="宋体" w:cs="宋体"/>
                <w:color w:val="auto"/>
                <w:sz w:val="24"/>
              </w:rPr>
            </w:pPr>
            <w:r>
              <w:rPr>
                <w:rFonts w:hint="eastAsia" w:ascii="宋体" w:hAnsi="宋体" w:cs="宋体"/>
                <w:color w:val="auto"/>
                <w:sz w:val="24"/>
              </w:rPr>
              <w:t>名称)/污染源</w:t>
            </w:r>
          </w:p>
        </w:tc>
        <w:tc>
          <w:tcPr>
            <w:tcW w:w="1358" w:type="dxa"/>
            <w:tcBorders>
              <w:top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污染物项目</w:t>
            </w:r>
          </w:p>
        </w:tc>
        <w:tc>
          <w:tcPr>
            <w:tcW w:w="1701" w:type="dxa"/>
            <w:tcBorders>
              <w:top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环境保护措施</w:t>
            </w:r>
          </w:p>
        </w:tc>
        <w:tc>
          <w:tcPr>
            <w:tcW w:w="2950" w:type="dxa"/>
            <w:tcBorders>
              <w:top w:val="single" w:color="auto" w:sz="12" w:space="0"/>
              <w:bottom w:val="single" w:color="auto" w:sz="4" w:space="0"/>
              <w:right w:val="single" w:color="auto" w:sz="12"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vMerge w:val="restart"/>
            <w:tcBorders>
              <w:top w:val="single" w:color="auto" w:sz="4" w:space="0"/>
              <w:left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大气环境</w:t>
            </w:r>
          </w:p>
        </w:tc>
        <w:tc>
          <w:tcPr>
            <w:tcW w:w="1701" w:type="dxa"/>
            <w:tcBorders>
              <w:top w:val="single" w:color="auto" w:sz="4" w:space="0"/>
              <w:bottom w:val="single" w:color="auto" w:sz="4" w:space="0"/>
            </w:tcBorders>
            <w:tcMar>
              <w:left w:w="28" w:type="dxa"/>
              <w:right w:w="28" w:type="dxa"/>
            </w:tcMar>
            <w:vAlign w:val="center"/>
          </w:tcPr>
          <w:p>
            <w:pPr>
              <w:autoSpaceDE w:val="0"/>
              <w:autoSpaceDN w:val="0"/>
              <w:adjustRightInd w:val="0"/>
              <w:jc w:val="center"/>
              <w:rPr>
                <w:color w:val="auto"/>
                <w:sz w:val="24"/>
              </w:rPr>
            </w:pPr>
            <w:r>
              <w:rPr>
                <w:color w:val="auto"/>
                <w:sz w:val="24"/>
              </w:rPr>
              <w:t>硫铝酸盐水泥筒仓</w:t>
            </w:r>
            <w:r>
              <w:rPr>
                <w:rFonts w:hint="eastAsia"/>
                <w:color w:val="auto"/>
                <w:sz w:val="24"/>
              </w:rPr>
              <w:t>A产线（DA001）</w:t>
            </w:r>
          </w:p>
        </w:tc>
        <w:tc>
          <w:tcPr>
            <w:tcW w:w="1358" w:type="dxa"/>
            <w:vMerge w:val="restart"/>
            <w:tcBorders>
              <w:top w:val="single" w:color="auto" w:sz="4" w:space="0"/>
              <w:bottom w:val="single" w:color="auto" w:sz="4" w:space="0"/>
            </w:tcBorders>
            <w:tcMar>
              <w:left w:w="28" w:type="dxa"/>
              <w:right w:w="28" w:type="dxa"/>
            </w:tcMar>
            <w:vAlign w:val="center"/>
          </w:tcPr>
          <w:p>
            <w:pPr>
              <w:adjustRightInd w:val="0"/>
              <w:snapToGrid w:val="0"/>
              <w:jc w:val="center"/>
              <w:rPr>
                <w:color w:val="auto"/>
                <w:sz w:val="24"/>
              </w:rPr>
            </w:pPr>
            <w:r>
              <w:rPr>
                <w:color w:val="auto"/>
                <w:kern w:val="0"/>
                <w:sz w:val="24"/>
              </w:rPr>
              <w:t>颗粒物</w:t>
            </w:r>
          </w:p>
        </w:tc>
        <w:tc>
          <w:tcPr>
            <w:tcW w:w="1701" w:type="dxa"/>
            <w:tcBorders>
              <w:top w:val="single" w:color="auto" w:sz="4" w:space="0"/>
              <w:bottom w:val="single" w:color="auto" w:sz="4" w:space="0"/>
            </w:tcBorders>
            <w:tcMar>
              <w:left w:w="28" w:type="dxa"/>
              <w:right w:w="28" w:type="dxa"/>
            </w:tcMar>
            <w:vAlign w:val="center"/>
          </w:tcPr>
          <w:p>
            <w:pPr>
              <w:jc w:val="center"/>
              <w:rPr>
                <w:color w:val="auto"/>
                <w:sz w:val="24"/>
              </w:rPr>
            </w:pPr>
            <w:r>
              <w:rPr>
                <w:rFonts w:hint="eastAsia"/>
                <w:color w:val="auto"/>
                <w:sz w:val="24"/>
              </w:rPr>
              <w:t>1台仓顶脉冲布袋除尘器</w:t>
            </w:r>
          </w:p>
        </w:tc>
        <w:tc>
          <w:tcPr>
            <w:tcW w:w="2950" w:type="dxa"/>
            <w:vMerge w:val="restart"/>
            <w:tcBorders>
              <w:top w:val="single" w:color="auto" w:sz="4" w:space="0"/>
              <w:bottom w:val="single" w:color="auto" w:sz="4" w:space="0"/>
              <w:right w:val="single" w:color="auto" w:sz="12" w:space="0"/>
            </w:tcBorders>
            <w:tcMar>
              <w:left w:w="28" w:type="dxa"/>
              <w:right w:w="28" w:type="dxa"/>
            </w:tcMar>
            <w:vAlign w:val="center"/>
          </w:tcPr>
          <w:p>
            <w:pPr>
              <w:jc w:val="center"/>
              <w:rPr>
                <w:color w:val="auto"/>
                <w:sz w:val="24"/>
              </w:rPr>
            </w:pPr>
            <w:r>
              <w:rPr>
                <w:rFonts w:hint="eastAsia"/>
                <w:color w:val="auto"/>
                <w:sz w:val="24"/>
              </w:rPr>
              <w:t>执行《大气污染物综合排放标准》（GB16297-1996）表2中二级及无组织排放标准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vMerge w:val="continue"/>
            <w:tcBorders>
              <w:top w:val="single" w:color="auto" w:sz="4" w:space="0"/>
              <w:left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p>
        </w:tc>
        <w:tc>
          <w:tcPr>
            <w:tcW w:w="1701" w:type="dxa"/>
            <w:tcBorders>
              <w:top w:val="single" w:color="auto" w:sz="4" w:space="0"/>
              <w:bottom w:val="single" w:color="auto" w:sz="4" w:space="0"/>
            </w:tcBorders>
            <w:tcMar>
              <w:left w:w="28" w:type="dxa"/>
              <w:right w:w="28" w:type="dxa"/>
            </w:tcMar>
            <w:vAlign w:val="center"/>
          </w:tcPr>
          <w:p>
            <w:pPr>
              <w:autoSpaceDE w:val="0"/>
              <w:autoSpaceDN w:val="0"/>
              <w:adjustRightInd w:val="0"/>
              <w:jc w:val="center"/>
              <w:rPr>
                <w:color w:val="auto"/>
                <w:sz w:val="24"/>
              </w:rPr>
            </w:pPr>
            <w:r>
              <w:rPr>
                <w:color w:val="auto"/>
                <w:sz w:val="24"/>
              </w:rPr>
              <w:t>硫铝酸盐水泥筒仓</w:t>
            </w:r>
            <w:r>
              <w:rPr>
                <w:rFonts w:hint="eastAsia"/>
                <w:color w:val="auto"/>
                <w:sz w:val="24"/>
              </w:rPr>
              <w:t>B产线（DA002）</w:t>
            </w:r>
          </w:p>
        </w:tc>
        <w:tc>
          <w:tcPr>
            <w:tcW w:w="1358" w:type="dxa"/>
            <w:vMerge w:val="continue"/>
            <w:tcBorders>
              <w:top w:val="single" w:color="auto" w:sz="4" w:space="0"/>
              <w:bottom w:val="single" w:color="auto" w:sz="4" w:space="0"/>
            </w:tcBorders>
            <w:tcMar>
              <w:left w:w="28" w:type="dxa"/>
              <w:right w:w="28" w:type="dxa"/>
            </w:tcMar>
            <w:vAlign w:val="center"/>
          </w:tcPr>
          <w:p>
            <w:pPr>
              <w:adjustRightInd w:val="0"/>
              <w:snapToGrid w:val="0"/>
              <w:jc w:val="center"/>
              <w:rPr>
                <w:color w:val="auto"/>
                <w:kern w:val="0"/>
                <w:sz w:val="24"/>
              </w:rPr>
            </w:pPr>
          </w:p>
        </w:tc>
        <w:tc>
          <w:tcPr>
            <w:tcW w:w="1701" w:type="dxa"/>
            <w:tcBorders>
              <w:top w:val="single" w:color="auto" w:sz="4" w:space="0"/>
              <w:bottom w:val="single" w:color="auto" w:sz="4" w:space="0"/>
            </w:tcBorders>
            <w:tcMar>
              <w:left w:w="28" w:type="dxa"/>
              <w:right w:w="28" w:type="dxa"/>
            </w:tcMar>
            <w:vAlign w:val="center"/>
          </w:tcPr>
          <w:p>
            <w:pPr>
              <w:jc w:val="center"/>
              <w:rPr>
                <w:color w:val="auto"/>
                <w:sz w:val="24"/>
              </w:rPr>
            </w:pPr>
            <w:r>
              <w:rPr>
                <w:rFonts w:hint="eastAsia"/>
                <w:color w:val="auto"/>
                <w:sz w:val="24"/>
              </w:rPr>
              <w:t>1台仓顶脉冲布袋除尘器</w:t>
            </w:r>
          </w:p>
        </w:tc>
        <w:tc>
          <w:tcPr>
            <w:tcW w:w="2950" w:type="dxa"/>
            <w:vMerge w:val="continue"/>
            <w:tcBorders>
              <w:top w:val="single" w:color="auto" w:sz="4" w:space="0"/>
              <w:bottom w:val="single" w:color="auto" w:sz="4" w:space="0"/>
              <w:right w:val="single" w:color="auto" w:sz="12" w:space="0"/>
            </w:tcBorders>
            <w:tcMar>
              <w:left w:w="28" w:type="dxa"/>
              <w:right w:w="28" w:type="dxa"/>
            </w:tcMar>
            <w:vAlign w:val="center"/>
          </w:tcPr>
          <w:p>
            <w:pPr>
              <w:adjustRightInd w:val="0"/>
              <w:snapToGrid w:val="0"/>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vMerge w:val="continue"/>
            <w:tcBorders>
              <w:top w:val="single" w:color="auto" w:sz="4" w:space="0"/>
              <w:left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p>
        </w:tc>
        <w:tc>
          <w:tcPr>
            <w:tcW w:w="1701" w:type="dxa"/>
            <w:tcBorders>
              <w:top w:val="single" w:color="auto" w:sz="4" w:space="0"/>
              <w:bottom w:val="single" w:color="auto" w:sz="4" w:space="0"/>
            </w:tcBorders>
            <w:tcMar>
              <w:left w:w="28" w:type="dxa"/>
              <w:right w:w="28" w:type="dxa"/>
            </w:tcMar>
            <w:vAlign w:val="center"/>
          </w:tcPr>
          <w:p>
            <w:pPr>
              <w:autoSpaceDE w:val="0"/>
              <w:autoSpaceDN w:val="0"/>
              <w:adjustRightInd w:val="0"/>
              <w:jc w:val="center"/>
              <w:rPr>
                <w:color w:val="auto"/>
                <w:sz w:val="24"/>
                <w:lang w:val="zh-CN"/>
              </w:rPr>
            </w:pPr>
            <w:r>
              <w:rPr>
                <w:color w:val="auto"/>
                <w:sz w:val="24"/>
                <w:lang w:val="zh-CN"/>
              </w:rPr>
              <w:t>铝酸盐水泥筒仓</w:t>
            </w:r>
            <w:r>
              <w:rPr>
                <w:rFonts w:hint="eastAsia"/>
                <w:color w:val="auto"/>
                <w:sz w:val="24"/>
              </w:rPr>
              <w:t>（DA003）</w:t>
            </w:r>
          </w:p>
        </w:tc>
        <w:tc>
          <w:tcPr>
            <w:tcW w:w="1358" w:type="dxa"/>
            <w:vMerge w:val="continue"/>
            <w:tcBorders>
              <w:top w:val="single" w:color="auto" w:sz="4" w:space="0"/>
              <w:bottom w:val="single" w:color="auto" w:sz="4" w:space="0"/>
            </w:tcBorders>
            <w:tcMar>
              <w:left w:w="28" w:type="dxa"/>
              <w:right w:w="28" w:type="dxa"/>
            </w:tcMar>
            <w:vAlign w:val="center"/>
          </w:tcPr>
          <w:p>
            <w:pPr>
              <w:adjustRightInd w:val="0"/>
              <w:snapToGrid w:val="0"/>
              <w:jc w:val="center"/>
              <w:rPr>
                <w:color w:val="auto"/>
                <w:kern w:val="0"/>
                <w:sz w:val="24"/>
              </w:rPr>
            </w:pPr>
          </w:p>
        </w:tc>
        <w:tc>
          <w:tcPr>
            <w:tcW w:w="1701" w:type="dxa"/>
            <w:tcBorders>
              <w:top w:val="single" w:color="auto" w:sz="4" w:space="0"/>
              <w:bottom w:val="single" w:color="auto" w:sz="4" w:space="0"/>
            </w:tcBorders>
            <w:tcMar>
              <w:left w:w="28" w:type="dxa"/>
              <w:right w:w="28" w:type="dxa"/>
            </w:tcMar>
            <w:vAlign w:val="center"/>
          </w:tcPr>
          <w:p>
            <w:pPr>
              <w:jc w:val="center"/>
              <w:rPr>
                <w:color w:val="auto"/>
                <w:sz w:val="24"/>
              </w:rPr>
            </w:pPr>
            <w:r>
              <w:rPr>
                <w:rFonts w:hint="eastAsia"/>
                <w:color w:val="auto"/>
                <w:sz w:val="24"/>
              </w:rPr>
              <w:t>1台仓顶脉冲布袋除尘器</w:t>
            </w:r>
          </w:p>
        </w:tc>
        <w:tc>
          <w:tcPr>
            <w:tcW w:w="2950" w:type="dxa"/>
            <w:vMerge w:val="continue"/>
            <w:tcBorders>
              <w:top w:val="single" w:color="auto" w:sz="4" w:space="0"/>
              <w:bottom w:val="single" w:color="auto" w:sz="4" w:space="0"/>
              <w:right w:val="single" w:color="auto" w:sz="12" w:space="0"/>
            </w:tcBorders>
            <w:tcMar>
              <w:left w:w="28" w:type="dxa"/>
              <w:right w:w="28" w:type="dxa"/>
            </w:tcMar>
            <w:vAlign w:val="center"/>
          </w:tcPr>
          <w:p>
            <w:pPr>
              <w:adjustRightInd w:val="0"/>
              <w:snapToGrid w:val="0"/>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vMerge w:val="continue"/>
            <w:tcBorders>
              <w:top w:val="single" w:color="auto" w:sz="4" w:space="0"/>
              <w:left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p>
        </w:tc>
        <w:tc>
          <w:tcPr>
            <w:tcW w:w="1701" w:type="dxa"/>
            <w:tcBorders>
              <w:top w:val="single" w:color="auto" w:sz="4" w:space="0"/>
              <w:bottom w:val="single" w:color="auto" w:sz="4" w:space="0"/>
            </w:tcBorders>
            <w:tcMar>
              <w:left w:w="28" w:type="dxa"/>
              <w:right w:w="28" w:type="dxa"/>
            </w:tcMar>
            <w:vAlign w:val="center"/>
          </w:tcPr>
          <w:p>
            <w:pPr>
              <w:autoSpaceDE w:val="0"/>
              <w:autoSpaceDN w:val="0"/>
              <w:adjustRightInd w:val="0"/>
              <w:jc w:val="center"/>
              <w:rPr>
                <w:color w:val="auto"/>
                <w:sz w:val="24"/>
                <w:lang w:val="zh-CN"/>
              </w:rPr>
            </w:pPr>
            <w:r>
              <w:rPr>
                <w:color w:val="auto"/>
                <w:sz w:val="24"/>
                <w:lang w:val="zh-CN"/>
              </w:rPr>
              <w:t>普通硅酸盐水泥筒仓</w:t>
            </w:r>
            <w:r>
              <w:rPr>
                <w:rFonts w:hint="eastAsia"/>
                <w:color w:val="auto"/>
                <w:sz w:val="24"/>
              </w:rPr>
              <w:t>（DA004）</w:t>
            </w:r>
          </w:p>
        </w:tc>
        <w:tc>
          <w:tcPr>
            <w:tcW w:w="1358" w:type="dxa"/>
            <w:vMerge w:val="continue"/>
            <w:tcBorders>
              <w:top w:val="single" w:color="auto" w:sz="4" w:space="0"/>
              <w:bottom w:val="single" w:color="auto" w:sz="4" w:space="0"/>
            </w:tcBorders>
            <w:tcMar>
              <w:left w:w="28" w:type="dxa"/>
              <w:right w:w="28" w:type="dxa"/>
            </w:tcMar>
            <w:vAlign w:val="center"/>
          </w:tcPr>
          <w:p>
            <w:pPr>
              <w:adjustRightInd w:val="0"/>
              <w:snapToGrid w:val="0"/>
              <w:jc w:val="center"/>
              <w:rPr>
                <w:color w:val="auto"/>
                <w:kern w:val="0"/>
                <w:sz w:val="24"/>
              </w:rPr>
            </w:pPr>
          </w:p>
        </w:tc>
        <w:tc>
          <w:tcPr>
            <w:tcW w:w="1701" w:type="dxa"/>
            <w:tcBorders>
              <w:top w:val="single" w:color="auto" w:sz="4" w:space="0"/>
              <w:bottom w:val="single" w:color="auto" w:sz="4" w:space="0"/>
            </w:tcBorders>
            <w:tcMar>
              <w:left w:w="28" w:type="dxa"/>
              <w:right w:w="28" w:type="dxa"/>
            </w:tcMar>
            <w:vAlign w:val="center"/>
          </w:tcPr>
          <w:p>
            <w:pPr>
              <w:jc w:val="center"/>
              <w:rPr>
                <w:color w:val="auto"/>
                <w:sz w:val="24"/>
              </w:rPr>
            </w:pPr>
            <w:r>
              <w:rPr>
                <w:rFonts w:hint="eastAsia"/>
                <w:color w:val="auto"/>
                <w:sz w:val="24"/>
              </w:rPr>
              <w:t>2台仓顶脉冲布袋除尘器（一用一备）</w:t>
            </w:r>
          </w:p>
        </w:tc>
        <w:tc>
          <w:tcPr>
            <w:tcW w:w="2950" w:type="dxa"/>
            <w:vMerge w:val="continue"/>
            <w:tcBorders>
              <w:top w:val="single" w:color="auto" w:sz="4" w:space="0"/>
              <w:bottom w:val="single" w:color="auto" w:sz="4" w:space="0"/>
              <w:right w:val="single" w:color="auto" w:sz="12" w:space="0"/>
            </w:tcBorders>
            <w:tcMar>
              <w:left w:w="28" w:type="dxa"/>
              <w:right w:w="28" w:type="dxa"/>
            </w:tcMar>
            <w:vAlign w:val="center"/>
          </w:tcPr>
          <w:p>
            <w:pPr>
              <w:adjustRightInd w:val="0"/>
              <w:snapToGrid w:val="0"/>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vMerge w:val="continue"/>
            <w:tcBorders>
              <w:top w:val="single" w:color="auto" w:sz="4" w:space="0"/>
              <w:left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p>
        </w:tc>
        <w:tc>
          <w:tcPr>
            <w:tcW w:w="1701" w:type="dxa"/>
            <w:tcBorders>
              <w:top w:val="single" w:color="auto" w:sz="4" w:space="0"/>
              <w:bottom w:val="single" w:color="auto" w:sz="4" w:space="0"/>
            </w:tcBorders>
            <w:tcMar>
              <w:left w:w="28" w:type="dxa"/>
              <w:right w:w="28" w:type="dxa"/>
            </w:tcMar>
            <w:vAlign w:val="center"/>
          </w:tcPr>
          <w:p>
            <w:pPr>
              <w:jc w:val="center"/>
              <w:rPr>
                <w:color w:val="auto"/>
                <w:sz w:val="24"/>
              </w:rPr>
            </w:pPr>
            <w:r>
              <w:rPr>
                <w:color w:val="auto"/>
                <w:sz w:val="24"/>
              </w:rPr>
              <w:t>砂石筒仓</w:t>
            </w:r>
            <w:r>
              <w:rPr>
                <w:rFonts w:hint="eastAsia"/>
                <w:color w:val="auto"/>
                <w:sz w:val="24"/>
              </w:rPr>
              <w:t>（DA005）</w:t>
            </w:r>
          </w:p>
        </w:tc>
        <w:tc>
          <w:tcPr>
            <w:tcW w:w="1358" w:type="dxa"/>
            <w:vMerge w:val="continue"/>
            <w:tcBorders>
              <w:top w:val="single" w:color="auto" w:sz="4" w:space="0"/>
              <w:bottom w:val="single" w:color="auto" w:sz="4" w:space="0"/>
            </w:tcBorders>
            <w:tcMar>
              <w:left w:w="28" w:type="dxa"/>
              <w:right w:w="28" w:type="dxa"/>
            </w:tcMar>
            <w:vAlign w:val="center"/>
          </w:tcPr>
          <w:p>
            <w:pPr>
              <w:adjustRightInd w:val="0"/>
              <w:snapToGrid w:val="0"/>
              <w:jc w:val="center"/>
              <w:rPr>
                <w:color w:val="auto"/>
                <w:kern w:val="0"/>
                <w:sz w:val="24"/>
              </w:rPr>
            </w:pPr>
          </w:p>
        </w:tc>
        <w:tc>
          <w:tcPr>
            <w:tcW w:w="1701" w:type="dxa"/>
            <w:tcBorders>
              <w:top w:val="single" w:color="auto" w:sz="4" w:space="0"/>
              <w:bottom w:val="single" w:color="auto" w:sz="4" w:space="0"/>
            </w:tcBorders>
            <w:tcMar>
              <w:left w:w="28" w:type="dxa"/>
              <w:right w:w="28" w:type="dxa"/>
            </w:tcMar>
            <w:vAlign w:val="center"/>
          </w:tcPr>
          <w:p>
            <w:pPr>
              <w:jc w:val="center"/>
              <w:rPr>
                <w:color w:val="auto"/>
                <w:sz w:val="24"/>
              </w:rPr>
            </w:pPr>
            <w:r>
              <w:rPr>
                <w:rFonts w:hint="eastAsia"/>
                <w:color w:val="auto"/>
                <w:sz w:val="24"/>
              </w:rPr>
              <w:t>1台仓顶脉冲布袋除尘器</w:t>
            </w:r>
          </w:p>
        </w:tc>
        <w:tc>
          <w:tcPr>
            <w:tcW w:w="2950" w:type="dxa"/>
            <w:vMerge w:val="continue"/>
            <w:tcBorders>
              <w:top w:val="single" w:color="auto" w:sz="4" w:space="0"/>
              <w:bottom w:val="single" w:color="auto" w:sz="4" w:space="0"/>
              <w:right w:val="single" w:color="auto" w:sz="12" w:space="0"/>
            </w:tcBorders>
            <w:tcMar>
              <w:left w:w="28" w:type="dxa"/>
              <w:right w:w="28" w:type="dxa"/>
            </w:tcMar>
            <w:vAlign w:val="center"/>
          </w:tcPr>
          <w:p>
            <w:pPr>
              <w:adjustRightInd w:val="0"/>
              <w:snapToGrid w:val="0"/>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vMerge w:val="continue"/>
            <w:tcBorders>
              <w:top w:val="single" w:color="auto" w:sz="4" w:space="0"/>
              <w:left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p>
        </w:tc>
        <w:tc>
          <w:tcPr>
            <w:tcW w:w="1701" w:type="dxa"/>
            <w:tcBorders>
              <w:top w:val="single" w:color="auto" w:sz="4" w:space="0"/>
              <w:bottom w:val="single" w:color="auto" w:sz="4" w:space="0"/>
            </w:tcBorders>
            <w:tcMar>
              <w:left w:w="28" w:type="dxa"/>
              <w:right w:w="28" w:type="dxa"/>
            </w:tcMar>
            <w:vAlign w:val="center"/>
          </w:tcPr>
          <w:p>
            <w:pPr>
              <w:jc w:val="center"/>
              <w:rPr>
                <w:color w:val="auto"/>
                <w:sz w:val="24"/>
              </w:rPr>
            </w:pPr>
            <w:r>
              <w:rPr>
                <w:rFonts w:hint="eastAsia"/>
                <w:color w:val="auto"/>
                <w:sz w:val="24"/>
                <w:szCs w:val="24"/>
                <w:highlight w:val="none"/>
              </w:rPr>
              <w:t>上料、配料、混料、包装工序</w:t>
            </w:r>
            <w:r>
              <w:rPr>
                <w:color w:val="auto"/>
                <w:sz w:val="24"/>
                <w:szCs w:val="24"/>
                <w:highlight w:val="none"/>
              </w:rPr>
              <w:t>排气筒</w:t>
            </w:r>
            <w:r>
              <w:rPr>
                <w:rFonts w:hint="eastAsia"/>
                <w:color w:val="auto"/>
                <w:sz w:val="24"/>
                <w:szCs w:val="24"/>
                <w:highlight w:val="none"/>
              </w:rPr>
              <w:t>（DA006）</w:t>
            </w:r>
          </w:p>
        </w:tc>
        <w:tc>
          <w:tcPr>
            <w:tcW w:w="1358" w:type="dxa"/>
            <w:vMerge w:val="continue"/>
            <w:tcBorders>
              <w:top w:val="single" w:color="auto" w:sz="4" w:space="0"/>
              <w:bottom w:val="single" w:color="auto" w:sz="4" w:space="0"/>
            </w:tcBorders>
            <w:tcMar>
              <w:left w:w="28" w:type="dxa"/>
              <w:right w:w="28" w:type="dxa"/>
            </w:tcMar>
            <w:vAlign w:val="center"/>
          </w:tcPr>
          <w:p>
            <w:pPr>
              <w:adjustRightInd w:val="0"/>
              <w:snapToGrid w:val="0"/>
              <w:jc w:val="center"/>
              <w:rPr>
                <w:color w:val="auto"/>
                <w:kern w:val="0"/>
                <w:sz w:val="24"/>
              </w:rPr>
            </w:pPr>
          </w:p>
        </w:tc>
        <w:tc>
          <w:tcPr>
            <w:tcW w:w="1701" w:type="dxa"/>
            <w:tcBorders>
              <w:top w:val="single" w:color="auto" w:sz="4" w:space="0"/>
              <w:bottom w:val="single" w:color="auto" w:sz="4" w:space="0"/>
            </w:tcBorders>
            <w:tcMar>
              <w:left w:w="28" w:type="dxa"/>
              <w:right w:w="28" w:type="dxa"/>
            </w:tcMar>
            <w:vAlign w:val="center"/>
          </w:tcPr>
          <w:p>
            <w:pPr>
              <w:jc w:val="center"/>
              <w:rPr>
                <w:color w:val="auto"/>
                <w:sz w:val="24"/>
              </w:rPr>
            </w:pPr>
            <w:r>
              <w:rPr>
                <w:rFonts w:hint="eastAsia"/>
                <w:color w:val="auto"/>
                <w:sz w:val="24"/>
              </w:rPr>
              <w:t>1</w:t>
            </w:r>
            <w:r>
              <w:rPr>
                <w:rFonts w:hint="eastAsia"/>
                <w:color w:val="auto"/>
                <w:sz w:val="24"/>
                <w:lang w:val="en-US" w:eastAsia="zh-CN"/>
              </w:rPr>
              <w:t>5</w:t>
            </w:r>
            <w:r>
              <w:rPr>
                <w:rFonts w:hint="eastAsia"/>
                <w:color w:val="auto"/>
                <w:sz w:val="24"/>
              </w:rPr>
              <w:t>台脉冲布袋除尘器</w:t>
            </w:r>
          </w:p>
        </w:tc>
        <w:tc>
          <w:tcPr>
            <w:tcW w:w="2950" w:type="dxa"/>
            <w:vMerge w:val="continue"/>
            <w:tcBorders>
              <w:top w:val="single" w:color="auto" w:sz="4" w:space="0"/>
              <w:bottom w:val="single" w:color="auto" w:sz="4" w:space="0"/>
              <w:right w:val="single" w:color="auto" w:sz="12" w:space="0"/>
            </w:tcBorders>
            <w:tcMar>
              <w:left w:w="28" w:type="dxa"/>
              <w:right w:w="28" w:type="dxa"/>
            </w:tcMar>
            <w:vAlign w:val="center"/>
          </w:tcPr>
          <w:p>
            <w:pPr>
              <w:adjustRightInd w:val="0"/>
              <w:snapToGrid w:val="0"/>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vMerge w:val="continue"/>
            <w:tcBorders>
              <w:top w:val="single" w:color="auto" w:sz="4" w:space="0"/>
              <w:left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p>
        </w:tc>
        <w:tc>
          <w:tcPr>
            <w:tcW w:w="1701" w:type="dxa"/>
            <w:tcBorders>
              <w:top w:val="single" w:color="auto" w:sz="4" w:space="0"/>
              <w:bottom w:val="single" w:color="auto" w:sz="4" w:space="0"/>
            </w:tcBorders>
            <w:tcMar>
              <w:left w:w="28" w:type="dxa"/>
              <w:right w:w="28" w:type="dxa"/>
            </w:tcMar>
            <w:vAlign w:val="center"/>
          </w:tcPr>
          <w:p>
            <w:pPr>
              <w:jc w:val="center"/>
              <w:rPr>
                <w:color w:val="auto"/>
                <w:sz w:val="24"/>
              </w:rPr>
            </w:pPr>
            <w:r>
              <w:rPr>
                <w:color w:val="auto"/>
                <w:sz w:val="24"/>
              </w:rPr>
              <w:t>砂石进料</w:t>
            </w:r>
          </w:p>
        </w:tc>
        <w:tc>
          <w:tcPr>
            <w:tcW w:w="1358" w:type="dxa"/>
            <w:vMerge w:val="continue"/>
            <w:tcBorders>
              <w:top w:val="single" w:color="auto" w:sz="4" w:space="0"/>
              <w:bottom w:val="single" w:color="auto" w:sz="4" w:space="0"/>
            </w:tcBorders>
            <w:tcMar>
              <w:left w:w="28" w:type="dxa"/>
              <w:right w:w="28" w:type="dxa"/>
            </w:tcMar>
            <w:vAlign w:val="center"/>
          </w:tcPr>
          <w:p>
            <w:pPr>
              <w:adjustRightInd w:val="0"/>
              <w:snapToGrid w:val="0"/>
              <w:jc w:val="center"/>
              <w:rPr>
                <w:color w:val="auto"/>
                <w:kern w:val="0"/>
                <w:sz w:val="24"/>
              </w:rPr>
            </w:pPr>
          </w:p>
        </w:tc>
        <w:tc>
          <w:tcPr>
            <w:tcW w:w="1701" w:type="dxa"/>
            <w:tcBorders>
              <w:top w:val="single" w:color="auto" w:sz="4" w:space="0"/>
              <w:bottom w:val="single" w:color="auto" w:sz="4" w:space="0"/>
            </w:tcBorders>
            <w:tcMar>
              <w:left w:w="28" w:type="dxa"/>
              <w:right w:w="28" w:type="dxa"/>
            </w:tcMar>
            <w:vAlign w:val="center"/>
          </w:tcPr>
          <w:p>
            <w:pPr>
              <w:jc w:val="center"/>
              <w:rPr>
                <w:color w:val="auto"/>
                <w:sz w:val="24"/>
              </w:rPr>
            </w:pPr>
            <w:r>
              <w:rPr>
                <w:rFonts w:hint="eastAsia"/>
                <w:color w:val="auto"/>
                <w:sz w:val="24"/>
              </w:rPr>
              <w:t>3面挡墙及顶盖</w:t>
            </w:r>
          </w:p>
        </w:tc>
        <w:tc>
          <w:tcPr>
            <w:tcW w:w="2950" w:type="dxa"/>
            <w:vMerge w:val="continue"/>
            <w:tcBorders>
              <w:top w:val="single" w:color="auto" w:sz="4" w:space="0"/>
              <w:bottom w:val="single" w:color="auto" w:sz="4" w:space="0"/>
              <w:right w:val="single" w:color="auto" w:sz="12" w:space="0"/>
            </w:tcBorders>
            <w:tcMar>
              <w:left w:w="28" w:type="dxa"/>
              <w:right w:w="28" w:type="dxa"/>
            </w:tcMar>
            <w:vAlign w:val="center"/>
          </w:tcPr>
          <w:p>
            <w:pPr>
              <w:adjustRightInd w:val="0"/>
              <w:snapToGrid w:val="0"/>
              <w:jc w:val="center"/>
              <w:rPr>
                <w:color w:val="auto"/>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tcBorders>
              <w:top w:val="single" w:color="auto" w:sz="4" w:space="0"/>
              <w:left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水环境</w:t>
            </w:r>
          </w:p>
        </w:tc>
        <w:tc>
          <w:tcPr>
            <w:tcW w:w="1701" w:type="dxa"/>
            <w:tcBorders>
              <w:top w:val="single" w:color="auto" w:sz="4" w:space="0"/>
              <w:bottom w:val="single" w:color="auto" w:sz="4" w:space="0"/>
            </w:tcBorders>
            <w:tcMar>
              <w:left w:w="28" w:type="dxa"/>
              <w:right w:w="28" w:type="dxa"/>
            </w:tcMar>
            <w:vAlign w:val="center"/>
          </w:tcPr>
          <w:p>
            <w:pPr>
              <w:jc w:val="center"/>
              <w:rPr>
                <w:color w:val="auto"/>
                <w:sz w:val="24"/>
              </w:rPr>
            </w:pPr>
            <w:r>
              <w:rPr>
                <w:color w:val="auto"/>
                <w:sz w:val="24"/>
              </w:rPr>
              <w:t>化粪池出口</w:t>
            </w:r>
          </w:p>
        </w:tc>
        <w:tc>
          <w:tcPr>
            <w:tcW w:w="1358" w:type="dxa"/>
            <w:tcBorders>
              <w:top w:val="single" w:color="auto" w:sz="4" w:space="0"/>
              <w:bottom w:val="single" w:color="auto" w:sz="4" w:space="0"/>
            </w:tcBorders>
            <w:tcMar>
              <w:left w:w="28" w:type="dxa"/>
              <w:right w:w="28" w:type="dxa"/>
            </w:tcMar>
            <w:vAlign w:val="center"/>
          </w:tcPr>
          <w:p>
            <w:pPr>
              <w:adjustRightInd w:val="0"/>
              <w:snapToGrid w:val="0"/>
              <w:jc w:val="center"/>
              <w:rPr>
                <w:color w:val="auto"/>
                <w:kern w:val="0"/>
                <w:sz w:val="24"/>
              </w:rPr>
            </w:pPr>
            <w:r>
              <w:rPr>
                <w:rFonts w:hint="eastAsia"/>
                <w:bCs/>
                <w:color w:val="auto"/>
                <w:sz w:val="24"/>
              </w:rPr>
              <w:t>COD、BOD</w:t>
            </w:r>
            <w:r>
              <w:rPr>
                <w:rFonts w:hint="eastAsia"/>
                <w:bCs/>
                <w:color w:val="auto"/>
                <w:sz w:val="24"/>
                <w:vertAlign w:val="subscript"/>
              </w:rPr>
              <w:t>5</w:t>
            </w:r>
            <w:r>
              <w:rPr>
                <w:rFonts w:hint="eastAsia"/>
                <w:bCs/>
                <w:color w:val="auto"/>
                <w:sz w:val="24"/>
              </w:rPr>
              <w:t>、NH</w:t>
            </w:r>
            <w:r>
              <w:rPr>
                <w:rFonts w:hint="eastAsia"/>
                <w:bCs/>
                <w:color w:val="auto"/>
                <w:sz w:val="24"/>
                <w:vertAlign w:val="subscript"/>
              </w:rPr>
              <w:t>3</w:t>
            </w:r>
            <w:r>
              <w:rPr>
                <w:rFonts w:hint="eastAsia"/>
                <w:bCs/>
                <w:color w:val="auto"/>
                <w:sz w:val="24"/>
              </w:rPr>
              <w:t>-N、SS</w:t>
            </w:r>
          </w:p>
        </w:tc>
        <w:tc>
          <w:tcPr>
            <w:tcW w:w="1701" w:type="dxa"/>
            <w:tcBorders>
              <w:top w:val="single" w:color="auto" w:sz="4" w:space="0"/>
              <w:bottom w:val="single" w:color="auto" w:sz="4" w:space="0"/>
            </w:tcBorders>
            <w:tcMar>
              <w:left w:w="28" w:type="dxa"/>
              <w:right w:w="28" w:type="dxa"/>
            </w:tcMar>
            <w:vAlign w:val="center"/>
          </w:tcPr>
          <w:p>
            <w:pPr>
              <w:adjustRightInd w:val="0"/>
              <w:snapToGrid w:val="0"/>
              <w:jc w:val="center"/>
              <w:rPr>
                <w:color w:val="auto"/>
                <w:sz w:val="24"/>
              </w:rPr>
            </w:pPr>
            <w:r>
              <w:rPr>
                <w:color w:val="auto"/>
                <w:sz w:val="24"/>
              </w:rPr>
              <w:t>化粪池</w:t>
            </w:r>
          </w:p>
        </w:tc>
        <w:tc>
          <w:tcPr>
            <w:tcW w:w="2950" w:type="dxa"/>
            <w:tcBorders>
              <w:top w:val="single" w:color="auto" w:sz="4" w:space="0"/>
              <w:bottom w:val="single" w:color="auto" w:sz="4" w:space="0"/>
              <w:right w:val="single" w:color="auto" w:sz="12" w:space="0"/>
            </w:tcBorders>
            <w:tcMar>
              <w:left w:w="28" w:type="dxa"/>
              <w:right w:w="28" w:type="dxa"/>
            </w:tcMar>
            <w:vAlign w:val="center"/>
          </w:tcPr>
          <w:p>
            <w:pPr>
              <w:adjustRightInd w:val="0"/>
              <w:snapToGrid w:val="0"/>
              <w:jc w:val="center"/>
              <w:rPr>
                <w:color w:val="auto"/>
                <w:sz w:val="24"/>
              </w:rPr>
            </w:pPr>
            <w:r>
              <w:rPr>
                <w:rFonts w:hint="eastAsia"/>
                <w:color w:val="auto"/>
                <w:sz w:val="24"/>
              </w:rPr>
              <w:t>废水排放标准执行高新区污水处理厂协议入厂水质要求；缺项执行《污水综合排放标准》（GB8978-1996）限值要求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tcBorders>
              <w:top w:val="single" w:color="auto" w:sz="4" w:space="0"/>
              <w:left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声环境</w:t>
            </w:r>
          </w:p>
        </w:tc>
        <w:tc>
          <w:tcPr>
            <w:tcW w:w="1701" w:type="dxa"/>
            <w:tcBorders>
              <w:top w:val="single" w:color="auto" w:sz="4" w:space="0"/>
              <w:bottom w:val="single" w:color="auto" w:sz="4" w:space="0"/>
            </w:tcBorders>
            <w:tcMar>
              <w:left w:w="28" w:type="dxa"/>
              <w:right w:w="28" w:type="dxa"/>
            </w:tcMar>
            <w:vAlign w:val="center"/>
          </w:tcPr>
          <w:p>
            <w:pPr>
              <w:adjustRightInd w:val="0"/>
              <w:jc w:val="center"/>
              <w:rPr>
                <w:color w:val="auto"/>
                <w:sz w:val="24"/>
              </w:rPr>
            </w:pPr>
            <w:r>
              <w:rPr>
                <w:rFonts w:hint="eastAsia"/>
                <w:color w:val="auto"/>
                <w:sz w:val="24"/>
              </w:rPr>
              <w:t>厂界</w:t>
            </w:r>
          </w:p>
        </w:tc>
        <w:tc>
          <w:tcPr>
            <w:tcW w:w="1358" w:type="dxa"/>
            <w:tcBorders>
              <w:top w:val="single" w:color="auto" w:sz="4"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噪声</w:t>
            </w:r>
          </w:p>
        </w:tc>
        <w:tc>
          <w:tcPr>
            <w:tcW w:w="1701" w:type="dxa"/>
            <w:tcBorders>
              <w:top w:val="single" w:color="auto" w:sz="4"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设备基础减震、厂房隔声、选取低噪声设备</w:t>
            </w:r>
          </w:p>
        </w:tc>
        <w:tc>
          <w:tcPr>
            <w:tcW w:w="2950" w:type="dxa"/>
            <w:tcBorders>
              <w:top w:val="single" w:color="auto" w:sz="4" w:space="0"/>
              <w:bottom w:val="single" w:color="auto" w:sz="4" w:space="0"/>
              <w:right w:val="single" w:color="auto" w:sz="12" w:space="0"/>
            </w:tcBorders>
            <w:tcMar>
              <w:left w:w="28" w:type="dxa"/>
              <w:right w:w="28" w:type="dxa"/>
            </w:tcMar>
            <w:vAlign w:val="center"/>
          </w:tcPr>
          <w:p>
            <w:pPr>
              <w:adjustRightInd w:val="0"/>
              <w:snapToGrid w:val="0"/>
              <w:jc w:val="center"/>
              <w:rPr>
                <w:color w:val="auto"/>
                <w:sz w:val="24"/>
              </w:rPr>
            </w:pPr>
            <w:r>
              <w:rPr>
                <w:rFonts w:hint="eastAsia"/>
                <w:color w:val="auto"/>
                <w:sz w:val="24"/>
              </w:rPr>
              <w:t>厂界噪声排放执行</w:t>
            </w:r>
            <w:r>
              <w:rPr>
                <w:color w:val="auto"/>
                <w:sz w:val="24"/>
              </w:rPr>
              <w:t>《工业企业厂界环境噪声排放标准》（GB12348-2008）</w:t>
            </w:r>
            <w:r>
              <w:rPr>
                <w:rFonts w:hint="eastAsia"/>
                <w:color w:val="auto"/>
                <w:sz w:val="24"/>
              </w:rPr>
              <w:t>2</w:t>
            </w:r>
            <w:r>
              <w:rPr>
                <w:color w:val="auto"/>
                <w:sz w:val="24"/>
              </w:rPr>
              <w:t xml:space="preserve">类标准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4" w:type="dxa"/>
            <w:tcBorders>
              <w:top w:val="single" w:color="auto" w:sz="4" w:space="0"/>
              <w:left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电磁辐射</w:t>
            </w:r>
          </w:p>
        </w:tc>
        <w:tc>
          <w:tcPr>
            <w:tcW w:w="1701" w:type="dxa"/>
            <w:tcBorders>
              <w:top w:val="single" w:color="auto" w:sz="4"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w:t>
            </w:r>
          </w:p>
        </w:tc>
        <w:tc>
          <w:tcPr>
            <w:tcW w:w="1358" w:type="dxa"/>
            <w:tcBorders>
              <w:top w:val="single" w:color="auto" w:sz="4"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w:t>
            </w:r>
          </w:p>
        </w:tc>
        <w:tc>
          <w:tcPr>
            <w:tcW w:w="1701" w:type="dxa"/>
            <w:tcBorders>
              <w:top w:val="single" w:color="auto" w:sz="4"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w:t>
            </w:r>
          </w:p>
        </w:tc>
        <w:tc>
          <w:tcPr>
            <w:tcW w:w="2950" w:type="dxa"/>
            <w:tcBorders>
              <w:top w:val="single" w:color="auto" w:sz="4" w:space="0"/>
              <w:bottom w:val="single" w:color="auto" w:sz="4" w:space="0"/>
              <w:right w:val="single" w:color="auto" w:sz="12"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254" w:type="dxa"/>
            <w:tcBorders>
              <w:top w:val="single" w:color="auto" w:sz="4" w:space="0"/>
              <w:left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固体废物</w:t>
            </w:r>
          </w:p>
        </w:tc>
        <w:tc>
          <w:tcPr>
            <w:tcW w:w="7710" w:type="dxa"/>
            <w:gridSpan w:val="4"/>
            <w:tcBorders>
              <w:top w:val="single" w:color="auto" w:sz="4" w:space="0"/>
              <w:bottom w:val="single" w:color="auto" w:sz="4" w:space="0"/>
              <w:right w:val="single" w:color="auto" w:sz="12" w:space="0"/>
            </w:tcBorders>
            <w:tcMar>
              <w:left w:w="28" w:type="dxa"/>
              <w:right w:w="28" w:type="dxa"/>
            </w:tcMar>
            <w:vAlign w:val="center"/>
          </w:tcPr>
          <w:p>
            <w:pPr>
              <w:adjustRightInd w:val="0"/>
              <w:snapToGrid w:val="0"/>
              <w:rPr>
                <w:rFonts w:ascii="宋体" w:hAnsi="宋体" w:cs="宋体"/>
                <w:color w:val="auto"/>
                <w:sz w:val="24"/>
              </w:rPr>
            </w:pPr>
            <w:r>
              <w:rPr>
                <w:rFonts w:hint="eastAsia" w:ascii="宋体" w:hAnsi="宋体" w:cs="宋体"/>
                <w:color w:val="auto"/>
                <w:sz w:val="24"/>
              </w:rPr>
              <w:t>生活垃圾：生活垃圾厂内收集暂存后由环卫部门统一清运。</w:t>
            </w:r>
          </w:p>
          <w:p>
            <w:pPr>
              <w:adjustRightInd w:val="0"/>
              <w:snapToGrid w:val="0"/>
              <w:rPr>
                <w:rFonts w:ascii="宋体" w:hAnsi="宋体" w:cs="宋体"/>
                <w:color w:val="auto"/>
                <w:sz w:val="24"/>
              </w:rPr>
            </w:pPr>
            <w:r>
              <w:rPr>
                <w:rFonts w:ascii="宋体" w:hAnsi="宋体" w:cs="宋体"/>
                <w:color w:val="auto"/>
                <w:sz w:val="24"/>
              </w:rPr>
              <w:t>一般固废：废包装材料暂存厂内一般固废暂存间，定期外售；不合格品全部回收，除尘器收集的粉尘全部回收。</w:t>
            </w:r>
          </w:p>
          <w:p>
            <w:pPr>
              <w:adjustRightInd w:val="0"/>
              <w:snapToGrid w:val="0"/>
              <w:rPr>
                <w:rFonts w:ascii="宋体" w:hAnsi="宋体" w:cs="宋体"/>
                <w:color w:val="auto"/>
                <w:sz w:val="24"/>
              </w:rPr>
            </w:pPr>
            <w:r>
              <w:rPr>
                <w:rFonts w:hint="eastAsia" w:ascii="宋体" w:hAnsi="宋体" w:cs="宋体"/>
                <w:color w:val="auto"/>
                <w:sz w:val="24"/>
              </w:rPr>
              <w:t>危险废物：用专用危废收集容器收集，暂存厂区危废暂存间，交有危废处理资质的单位处理。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254" w:type="dxa"/>
            <w:tcBorders>
              <w:top w:val="single" w:color="auto" w:sz="4" w:space="0"/>
              <w:left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土壤及地下水污染防治措施</w:t>
            </w:r>
          </w:p>
        </w:tc>
        <w:tc>
          <w:tcPr>
            <w:tcW w:w="7710" w:type="dxa"/>
            <w:gridSpan w:val="4"/>
            <w:tcBorders>
              <w:top w:val="single" w:color="auto" w:sz="4" w:space="0"/>
              <w:bottom w:val="single" w:color="auto" w:sz="4" w:space="0"/>
              <w:right w:val="single" w:color="auto" w:sz="12" w:space="0"/>
            </w:tcBorders>
            <w:tcMar>
              <w:left w:w="28" w:type="dxa"/>
              <w:right w:w="28" w:type="dxa"/>
            </w:tcMar>
            <w:vAlign w:val="center"/>
          </w:tcPr>
          <w:p>
            <w:pPr>
              <w:adjustRightInd w:val="0"/>
              <w:snapToGrid w:val="0"/>
              <w:jc w:val="left"/>
              <w:rPr>
                <w:rFonts w:ascii="宋体" w:hAnsi="宋体" w:cs="宋体"/>
                <w:color w:val="auto"/>
                <w:sz w:val="24"/>
              </w:rPr>
            </w:pPr>
            <w:r>
              <w:rPr>
                <w:rFonts w:hint="eastAsia" w:ascii="宋体" w:hAnsi="宋体" w:cs="宋体"/>
                <w:color w:val="auto"/>
                <w:sz w:val="24"/>
              </w:rPr>
              <w:t>项目危险废物暂存间应进行硬化及防渗处理，处理后项目正常生产中可以有效阻断土壤的污染途径，对项目区土壤环境影响较小。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254" w:type="dxa"/>
            <w:tcBorders>
              <w:top w:val="single" w:color="auto" w:sz="4" w:space="0"/>
              <w:left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生态保护措施</w:t>
            </w:r>
          </w:p>
        </w:tc>
        <w:tc>
          <w:tcPr>
            <w:tcW w:w="7710" w:type="dxa"/>
            <w:gridSpan w:val="4"/>
            <w:tcBorders>
              <w:top w:val="single" w:color="auto" w:sz="4" w:space="0"/>
              <w:bottom w:val="single" w:color="auto" w:sz="4" w:space="0"/>
              <w:right w:val="single" w:color="auto" w:sz="12"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51" w:hRule="atLeast"/>
          <w:jc w:val="center"/>
        </w:trPr>
        <w:tc>
          <w:tcPr>
            <w:tcW w:w="1254" w:type="dxa"/>
            <w:tcBorders>
              <w:top w:val="single" w:color="auto" w:sz="4" w:space="0"/>
              <w:left w:val="single" w:color="auto" w:sz="12" w:space="0"/>
              <w:bottom w:val="single" w:color="auto" w:sz="4" w:space="0"/>
            </w:tcBorders>
            <w:tcMar>
              <w:left w:w="28" w:type="dxa"/>
              <w:right w:w="28" w:type="dxa"/>
            </w:tcMar>
            <w:vAlign w:val="center"/>
          </w:tcPr>
          <w:p>
            <w:pPr>
              <w:adjustRightInd w:val="0"/>
              <w:snapToGrid w:val="0"/>
              <w:jc w:val="center"/>
              <w:rPr>
                <w:rFonts w:ascii="宋体" w:hAnsi="宋体" w:cs="宋体"/>
                <w:color w:val="auto"/>
                <w:spacing w:val="-8"/>
                <w:sz w:val="24"/>
              </w:rPr>
            </w:pPr>
            <w:r>
              <w:rPr>
                <w:rFonts w:hint="eastAsia" w:ascii="宋体" w:hAnsi="宋体" w:cs="宋体"/>
                <w:color w:val="auto"/>
                <w:spacing w:val="-8"/>
                <w:sz w:val="24"/>
              </w:rPr>
              <w:t>环境风险</w:t>
            </w:r>
          </w:p>
          <w:p>
            <w:pPr>
              <w:adjustRightInd w:val="0"/>
              <w:snapToGrid w:val="0"/>
              <w:jc w:val="center"/>
              <w:rPr>
                <w:rFonts w:ascii="宋体" w:hAnsi="宋体" w:cs="宋体"/>
                <w:color w:val="auto"/>
                <w:spacing w:val="-8"/>
                <w:sz w:val="24"/>
              </w:rPr>
            </w:pPr>
            <w:r>
              <w:rPr>
                <w:rFonts w:hint="eastAsia" w:ascii="宋体" w:hAnsi="宋体" w:cs="宋体"/>
                <w:color w:val="auto"/>
                <w:spacing w:val="-8"/>
                <w:sz w:val="24"/>
              </w:rPr>
              <w:t>防范措施</w:t>
            </w:r>
          </w:p>
        </w:tc>
        <w:tc>
          <w:tcPr>
            <w:tcW w:w="7710" w:type="dxa"/>
            <w:gridSpan w:val="4"/>
            <w:tcBorders>
              <w:top w:val="single" w:color="auto" w:sz="4" w:space="0"/>
              <w:bottom w:val="single" w:color="auto" w:sz="4" w:space="0"/>
              <w:right w:val="single" w:color="auto" w:sz="12" w:space="0"/>
            </w:tcBorders>
            <w:tcMar>
              <w:left w:w="28" w:type="dxa"/>
              <w:right w:w="28" w:type="dxa"/>
            </w:tcMar>
            <w:vAlign w:val="center"/>
          </w:tcPr>
          <w:p>
            <w:pPr>
              <w:snapToGrid w:val="0"/>
              <w:spacing w:line="360" w:lineRule="auto"/>
              <w:ind w:firstLine="480"/>
              <w:jc w:val="left"/>
              <w:rPr>
                <w:color w:val="auto"/>
                <w:sz w:val="24"/>
              </w:rPr>
            </w:pPr>
            <w:r>
              <w:rPr>
                <w:rFonts w:hint="eastAsia"/>
                <w:color w:val="auto"/>
                <w:sz w:val="24"/>
              </w:rPr>
              <w:t>环评建议项目运营期间采取以下防范措施：</w:t>
            </w:r>
          </w:p>
          <w:p>
            <w:pPr>
              <w:snapToGrid w:val="0"/>
              <w:spacing w:line="360" w:lineRule="auto"/>
              <w:ind w:firstLine="480"/>
              <w:jc w:val="left"/>
              <w:rPr>
                <w:color w:val="auto"/>
                <w:sz w:val="24"/>
              </w:rPr>
            </w:pPr>
            <w:r>
              <w:rPr>
                <w:rFonts w:hint="eastAsia"/>
                <w:color w:val="auto"/>
                <w:sz w:val="24"/>
              </w:rPr>
              <w:t>①坚持“安全第一，预防为主”的方针，积极推行全员预防性管理，不断增强安全意识，给安全工作以优先权和否决权。定期进行安全大检查，及时整改隐患，利用安全录像对职工进行经常性安全教育，做到警钟常鸣。</w:t>
            </w:r>
          </w:p>
          <w:p>
            <w:pPr>
              <w:snapToGrid w:val="0"/>
              <w:spacing w:line="360" w:lineRule="auto"/>
              <w:ind w:firstLine="480"/>
              <w:jc w:val="left"/>
              <w:rPr>
                <w:color w:val="auto"/>
                <w:sz w:val="24"/>
              </w:rPr>
            </w:pPr>
            <w:r>
              <w:rPr>
                <w:rFonts w:hint="eastAsia"/>
                <w:color w:val="auto"/>
                <w:sz w:val="24"/>
              </w:rPr>
              <w:t>②实行安全工作责任制，设立安全机构，建立安全规章制度。编制各项安全规程、安全制度、环保制度，印制安全管理台帐、安全作业票证等。凡新进场职工必须进行安全教育和培训，经考试合格后方可持证上岗。</w:t>
            </w:r>
          </w:p>
          <w:p>
            <w:pPr>
              <w:snapToGrid w:val="0"/>
              <w:spacing w:line="360" w:lineRule="auto"/>
              <w:ind w:firstLine="480"/>
              <w:jc w:val="left"/>
              <w:rPr>
                <w:color w:val="auto"/>
                <w:sz w:val="24"/>
              </w:rPr>
            </w:pPr>
            <w:r>
              <w:rPr>
                <w:rFonts w:hint="eastAsia"/>
                <w:color w:val="auto"/>
                <w:sz w:val="24"/>
              </w:rPr>
              <w:t>③若发生泄漏应及时处置和报告，对少量泄漏的液体可用吸附材料进行吸附，大量泄漏应用桶类容器收集，密闭存放，同时对储存间地面应采取干抹布进行清理。废吸附材料、收集的泄漏液体及清理产生的废抹布应作为危废及时委托有资质单位进行处置。</w:t>
            </w:r>
          </w:p>
          <w:p>
            <w:pPr>
              <w:snapToGrid w:val="0"/>
              <w:spacing w:line="360" w:lineRule="auto"/>
              <w:ind w:firstLine="480"/>
              <w:jc w:val="left"/>
              <w:rPr>
                <w:color w:val="auto"/>
                <w:sz w:val="24"/>
              </w:rPr>
            </w:pPr>
            <w:r>
              <w:rPr>
                <w:rFonts w:hint="eastAsia"/>
                <w:color w:val="auto"/>
                <w:sz w:val="24"/>
              </w:rPr>
              <w:t>④危废间周边设置围堰，地面按照相关要求做好防腐防渗处理，并配备应急收集装置和收集容器。</w:t>
            </w:r>
          </w:p>
          <w:p>
            <w:pPr>
              <w:snapToGrid w:val="0"/>
              <w:spacing w:line="360" w:lineRule="auto"/>
              <w:ind w:firstLine="480"/>
              <w:jc w:val="left"/>
              <w:rPr>
                <w:color w:val="auto"/>
                <w:sz w:val="24"/>
              </w:rPr>
            </w:pPr>
            <w:r>
              <w:rPr>
                <w:rFonts w:hint="eastAsia"/>
                <w:color w:val="auto"/>
                <w:sz w:val="24"/>
              </w:rPr>
              <w:t>⑤每年定期进行检验和维修，保证消防设备、设施、器材处于备用状态。</w:t>
            </w:r>
          </w:p>
          <w:p>
            <w:pPr>
              <w:snapToGrid w:val="0"/>
              <w:spacing w:line="360" w:lineRule="auto"/>
              <w:ind w:firstLine="480"/>
              <w:jc w:val="left"/>
              <w:rPr>
                <w:color w:val="auto"/>
                <w:sz w:val="24"/>
              </w:rPr>
            </w:pPr>
            <w:r>
              <w:rPr>
                <w:rFonts w:hint="eastAsia"/>
                <w:color w:val="auto"/>
                <w:sz w:val="24"/>
              </w:rPr>
              <w:t>⑥制定控制和减少事故影响范围、程度以及补救行动的实施计划；对事故现场管理以及事故处置全过程的监督，应由富有事故处置经验的人员或有关部门工作人员承担；为提高事故处置队伍的协同救援水平和实战能力，检验救援体系的应急综合运作状态，提高其实战水平，应进行应急救援演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254" w:type="dxa"/>
            <w:tcBorders>
              <w:top w:val="single" w:color="auto" w:sz="4" w:space="0"/>
              <w:left w:val="single" w:color="auto" w:sz="12" w:space="0"/>
              <w:bottom w:val="single" w:color="auto" w:sz="12" w:space="0"/>
            </w:tcBorders>
            <w:tcMar>
              <w:left w:w="28" w:type="dxa"/>
              <w:right w:w="28" w:type="dxa"/>
            </w:tcMar>
            <w:vAlign w:val="center"/>
          </w:tcPr>
          <w:p>
            <w:pPr>
              <w:adjustRightInd w:val="0"/>
              <w:snapToGrid w:val="0"/>
              <w:jc w:val="center"/>
              <w:rPr>
                <w:rFonts w:ascii="宋体" w:hAnsi="宋体" w:cs="宋体"/>
                <w:color w:val="auto"/>
                <w:spacing w:val="-8"/>
                <w:sz w:val="24"/>
              </w:rPr>
            </w:pPr>
            <w:r>
              <w:rPr>
                <w:rFonts w:hint="eastAsia" w:ascii="宋体" w:hAnsi="宋体" w:cs="宋体"/>
                <w:color w:val="auto"/>
                <w:spacing w:val="-8"/>
                <w:sz w:val="24"/>
              </w:rPr>
              <w:t>其他环境</w:t>
            </w:r>
          </w:p>
          <w:p>
            <w:pPr>
              <w:adjustRightInd w:val="0"/>
              <w:snapToGrid w:val="0"/>
              <w:jc w:val="center"/>
              <w:rPr>
                <w:rFonts w:ascii="宋体" w:hAnsi="宋体" w:cs="宋体"/>
                <w:color w:val="auto"/>
                <w:spacing w:val="-8"/>
                <w:sz w:val="24"/>
              </w:rPr>
            </w:pPr>
            <w:r>
              <w:rPr>
                <w:rFonts w:hint="eastAsia" w:ascii="宋体" w:hAnsi="宋体" w:cs="宋体"/>
                <w:color w:val="auto"/>
                <w:spacing w:val="-8"/>
                <w:sz w:val="24"/>
              </w:rPr>
              <w:t>管理要求</w:t>
            </w:r>
          </w:p>
        </w:tc>
        <w:tc>
          <w:tcPr>
            <w:tcW w:w="7710" w:type="dxa"/>
            <w:gridSpan w:val="4"/>
            <w:tcBorders>
              <w:top w:val="single" w:color="auto" w:sz="4" w:space="0"/>
              <w:bottom w:val="single" w:color="auto" w:sz="12" w:space="0"/>
              <w:right w:val="single" w:color="auto" w:sz="12" w:space="0"/>
            </w:tcBorders>
            <w:tcMar>
              <w:left w:w="28" w:type="dxa"/>
              <w:right w:w="28"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w:t>
            </w:r>
          </w:p>
        </w:tc>
      </w:tr>
    </w:tbl>
    <w:p>
      <w:pPr>
        <w:pStyle w:val="15"/>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autoSpaceDE w:val="0"/>
              <w:autoSpaceDN w:val="0"/>
              <w:spacing w:line="360" w:lineRule="auto"/>
              <w:ind w:firstLine="480" w:firstLineChars="200"/>
              <w:rPr>
                <w:color w:val="auto"/>
                <w:sz w:val="24"/>
                <w:szCs w:val="20"/>
              </w:rPr>
            </w:pPr>
            <w:r>
              <w:rPr>
                <w:rFonts w:hint="eastAsia"/>
                <w:color w:val="auto"/>
                <w:sz w:val="24"/>
                <w:szCs w:val="20"/>
              </w:rPr>
              <w:t>建设项目符合国家产业政策和相关规划，在认真落实本报告提出的各项污染防治措施和确保环保设施正常稳定运行后，污染物能够达标排放。从满足环境质量目标的角度分析，项目建设可行。</w:t>
            </w:r>
          </w:p>
          <w:p>
            <w:pPr>
              <w:spacing w:line="360" w:lineRule="auto"/>
              <w:rPr>
                <w:rFonts w:ascii="宋体" w:cs="宋体"/>
                <w:color w:val="auto"/>
                <w:sz w:val="24"/>
              </w:rPr>
            </w:pPr>
          </w:p>
        </w:tc>
      </w:tr>
    </w:tbl>
    <w:p>
      <w:pPr>
        <w:ind w:firstLine="480"/>
        <w:rPr>
          <w:rFonts w:ascii="宋体"/>
          <w:color w:val="auto"/>
        </w:rPr>
      </w:pPr>
    </w:p>
    <w:p>
      <w:pPr>
        <w:ind w:firstLine="480"/>
        <w:rPr>
          <w:rFonts w:ascii="宋体"/>
          <w:color w:val="auto"/>
        </w:rPr>
        <w:sectPr>
          <w:pgSz w:w="11906" w:h="16838"/>
          <w:pgMar w:top="1701" w:right="1531" w:bottom="1701" w:left="1531" w:header="851" w:footer="851" w:gutter="0"/>
          <w:cols w:space="720" w:num="1"/>
          <w:docGrid w:linePitch="312" w:charSpace="0"/>
        </w:sectPr>
      </w:pPr>
    </w:p>
    <w:p>
      <w:pPr>
        <w:pStyle w:val="15"/>
        <w:adjustRightInd w:val="0"/>
        <w:snapToGrid w:val="0"/>
        <w:spacing w:before="0" w:beforeAutospacing="0" w:after="0" w:afterAutospacing="0" w:line="648" w:lineRule="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pPr>
        <w:pStyle w:val="15"/>
        <w:adjustRightInd w:val="0"/>
        <w:snapToGrid w:val="0"/>
        <w:spacing w:before="0" w:beforeAutospacing="0" w:after="0" w:afterAutospacing="0"/>
        <w:jc w:val="center"/>
        <w:outlineLvl w:val="0"/>
        <w:rPr>
          <w:rFonts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18"/>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424"/>
        <w:gridCol w:w="1843"/>
        <w:gridCol w:w="12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88" w:type="dxa"/>
            <w:tcBorders>
              <w:tl2br w:val="single" w:color="auto" w:sz="4" w:space="0"/>
            </w:tcBorders>
            <w:tcMar>
              <w:left w:w="28" w:type="dxa"/>
              <w:right w:w="28" w:type="dxa"/>
            </w:tcMar>
            <w:vAlign w:val="center"/>
          </w:tcPr>
          <w:p>
            <w:pPr>
              <w:pStyle w:val="31"/>
              <w:spacing w:beforeLines="0" w:afterLines="0" w:line="240" w:lineRule="auto"/>
              <w:jc w:val="right"/>
              <w:rPr>
                <w:rFonts w:ascii="Times New Roman" w:eastAsia="黑体"/>
                <w:snapToGrid w:val="0"/>
                <w:color w:val="auto"/>
                <w:spacing w:val="-6"/>
                <w:kern w:val="21"/>
                <w:szCs w:val="21"/>
              </w:rPr>
            </w:pPr>
            <w:r>
              <w:rPr>
                <w:rFonts w:ascii="Times New Roman" w:eastAsia="黑体"/>
                <w:snapToGrid w:val="0"/>
                <w:color w:val="auto"/>
                <w:spacing w:val="-6"/>
                <w:kern w:val="21"/>
                <w:szCs w:val="21"/>
              </w:rPr>
              <w:t>项目</w:t>
            </w:r>
          </w:p>
          <w:p>
            <w:pPr>
              <w:pStyle w:val="31"/>
              <w:spacing w:beforeLines="0" w:afterLines="0" w:line="240" w:lineRule="auto"/>
              <w:jc w:val="left"/>
              <w:rPr>
                <w:rFonts w:ascii="Times New Roman" w:eastAsia="黑体"/>
                <w:snapToGrid w:val="0"/>
                <w:color w:val="auto"/>
                <w:spacing w:val="-6"/>
                <w:kern w:val="21"/>
                <w:szCs w:val="21"/>
              </w:rPr>
            </w:pPr>
            <w:r>
              <w:rPr>
                <w:rFonts w:ascii="Times New Roman" w:eastAsia="黑体"/>
                <w:snapToGrid w:val="0"/>
                <w:color w:val="auto"/>
                <w:spacing w:val="-6"/>
                <w:kern w:val="21"/>
                <w:szCs w:val="21"/>
              </w:rPr>
              <w:t>分类</w:t>
            </w:r>
          </w:p>
        </w:tc>
        <w:tc>
          <w:tcPr>
            <w:tcW w:w="1417" w:type="dxa"/>
            <w:tcMar>
              <w:left w:w="28" w:type="dxa"/>
              <w:right w:w="28" w:type="dxa"/>
            </w:tcMar>
            <w:vAlign w:val="center"/>
          </w:tcPr>
          <w:p>
            <w:pPr>
              <w:pStyle w:val="31"/>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污染物名称</w:t>
            </w:r>
          </w:p>
        </w:tc>
        <w:tc>
          <w:tcPr>
            <w:tcW w:w="1701" w:type="dxa"/>
            <w:tcMar>
              <w:left w:w="28" w:type="dxa"/>
              <w:right w:w="28" w:type="dxa"/>
            </w:tcMar>
            <w:vAlign w:val="center"/>
          </w:tcPr>
          <w:p>
            <w:pPr>
              <w:pStyle w:val="31"/>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现有工程</w:t>
            </w:r>
          </w:p>
          <w:p>
            <w:pPr>
              <w:pStyle w:val="31"/>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排放量（固体废物产生量）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1 \* GB3 \* MERGEFORMAT </w:instrText>
            </w:r>
            <w:r>
              <w:rPr>
                <w:rFonts w:ascii="Times New Roman" w:eastAsia="黑体"/>
                <w:snapToGrid w:val="0"/>
                <w:color w:val="auto"/>
                <w:spacing w:val="-6"/>
                <w:kern w:val="21"/>
                <w:szCs w:val="21"/>
              </w:rPr>
              <w:fldChar w:fldCharType="separate"/>
            </w:r>
            <w:r>
              <w:rPr>
                <w:rFonts w:hint="eastAsia" w:hAnsi="宋体" w:cs="宋体"/>
                <w:color w:val="auto"/>
                <w:kern w:val="2"/>
                <w:szCs w:val="21"/>
              </w:rPr>
              <w:t>①</w:t>
            </w:r>
            <w:r>
              <w:rPr>
                <w:rFonts w:ascii="Times New Roman" w:eastAsia="黑体"/>
                <w:snapToGrid w:val="0"/>
                <w:color w:val="auto"/>
                <w:spacing w:val="-6"/>
                <w:kern w:val="21"/>
                <w:szCs w:val="21"/>
              </w:rPr>
              <w:fldChar w:fldCharType="end"/>
            </w:r>
          </w:p>
        </w:tc>
        <w:tc>
          <w:tcPr>
            <w:tcW w:w="1276" w:type="dxa"/>
            <w:tcMar>
              <w:left w:w="28" w:type="dxa"/>
              <w:right w:w="28" w:type="dxa"/>
            </w:tcMar>
            <w:vAlign w:val="center"/>
          </w:tcPr>
          <w:p>
            <w:pPr>
              <w:pStyle w:val="31"/>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现有工程</w:t>
            </w:r>
          </w:p>
          <w:p>
            <w:pPr>
              <w:pStyle w:val="31"/>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许可排放量</w:t>
            </w:r>
          </w:p>
          <w:p>
            <w:pPr>
              <w:pStyle w:val="31"/>
              <w:spacing w:beforeLines="0" w:afterLines="0"/>
              <w:rPr>
                <w:rFonts w:ascii="Times New Roman" w:eastAsia="黑体"/>
                <w:snapToGrid w:val="0"/>
                <w:color w:val="auto"/>
                <w:spacing w:val="-6"/>
                <w:kern w:val="21"/>
                <w:szCs w:val="21"/>
              </w:rPr>
            </w:pP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2 \* GB3 \* MERGEFORMAT </w:instrText>
            </w:r>
            <w:r>
              <w:rPr>
                <w:rFonts w:ascii="Times New Roman" w:eastAsia="黑体"/>
                <w:snapToGrid w:val="0"/>
                <w:color w:val="auto"/>
                <w:spacing w:val="-6"/>
                <w:kern w:val="21"/>
                <w:szCs w:val="21"/>
              </w:rPr>
              <w:fldChar w:fldCharType="separate"/>
            </w:r>
            <w:r>
              <w:rPr>
                <w:rFonts w:hint="eastAsia" w:hAnsi="宋体" w:cs="宋体"/>
                <w:snapToGrid w:val="0"/>
                <w:color w:val="auto"/>
                <w:spacing w:val="-6"/>
                <w:kern w:val="21"/>
                <w:szCs w:val="21"/>
              </w:rPr>
              <w:t>②</w:t>
            </w:r>
            <w:r>
              <w:rPr>
                <w:rFonts w:ascii="Times New Roman" w:eastAsia="黑体"/>
                <w:snapToGrid w:val="0"/>
                <w:color w:val="auto"/>
                <w:spacing w:val="-6"/>
                <w:kern w:val="21"/>
                <w:szCs w:val="21"/>
              </w:rPr>
              <w:fldChar w:fldCharType="end"/>
            </w:r>
          </w:p>
        </w:tc>
        <w:tc>
          <w:tcPr>
            <w:tcW w:w="1701" w:type="dxa"/>
            <w:tcMar>
              <w:left w:w="28" w:type="dxa"/>
              <w:right w:w="28" w:type="dxa"/>
            </w:tcMar>
            <w:vAlign w:val="center"/>
          </w:tcPr>
          <w:p>
            <w:pPr>
              <w:pStyle w:val="31"/>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在建工程</w:t>
            </w:r>
          </w:p>
          <w:p>
            <w:pPr>
              <w:pStyle w:val="31"/>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排放量（固体废物产生量）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3 \* GB3 \* MERGEFORMAT </w:instrText>
            </w:r>
            <w:r>
              <w:rPr>
                <w:rFonts w:ascii="Times New Roman" w:eastAsia="黑体"/>
                <w:snapToGrid w:val="0"/>
                <w:color w:val="auto"/>
                <w:spacing w:val="-6"/>
                <w:kern w:val="21"/>
                <w:szCs w:val="21"/>
              </w:rPr>
              <w:fldChar w:fldCharType="separate"/>
            </w:r>
            <w:r>
              <w:rPr>
                <w:rFonts w:hint="eastAsia" w:hAnsi="宋体" w:cs="宋体"/>
                <w:color w:val="auto"/>
                <w:kern w:val="2"/>
                <w:szCs w:val="21"/>
              </w:rPr>
              <w:t>③</w:t>
            </w:r>
            <w:r>
              <w:rPr>
                <w:rFonts w:ascii="Times New Roman" w:eastAsia="黑体"/>
                <w:snapToGrid w:val="0"/>
                <w:color w:val="auto"/>
                <w:spacing w:val="-6"/>
                <w:kern w:val="21"/>
                <w:szCs w:val="21"/>
              </w:rPr>
              <w:fldChar w:fldCharType="end"/>
            </w:r>
          </w:p>
        </w:tc>
        <w:tc>
          <w:tcPr>
            <w:tcW w:w="1559" w:type="dxa"/>
            <w:tcMar>
              <w:left w:w="28" w:type="dxa"/>
              <w:right w:w="28" w:type="dxa"/>
            </w:tcMar>
            <w:vAlign w:val="center"/>
          </w:tcPr>
          <w:p>
            <w:pPr>
              <w:pStyle w:val="31"/>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本项目</w:t>
            </w:r>
          </w:p>
          <w:p>
            <w:pPr>
              <w:pStyle w:val="31"/>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排放量（固体废物产生量）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4 \* GB3 \* MERGEFORMAT </w:instrText>
            </w:r>
            <w:r>
              <w:rPr>
                <w:rFonts w:ascii="Times New Roman" w:eastAsia="黑体"/>
                <w:snapToGrid w:val="0"/>
                <w:color w:val="auto"/>
                <w:spacing w:val="-6"/>
                <w:kern w:val="21"/>
                <w:szCs w:val="21"/>
              </w:rPr>
              <w:fldChar w:fldCharType="separate"/>
            </w:r>
            <w:r>
              <w:rPr>
                <w:rFonts w:hint="eastAsia" w:hAnsi="宋体" w:cs="宋体"/>
                <w:color w:val="auto"/>
                <w:kern w:val="2"/>
                <w:szCs w:val="21"/>
              </w:rPr>
              <w:t>④</w:t>
            </w:r>
            <w:r>
              <w:rPr>
                <w:rFonts w:ascii="Times New Roman" w:eastAsia="黑体"/>
                <w:snapToGrid w:val="0"/>
                <w:color w:val="auto"/>
                <w:spacing w:val="-6"/>
                <w:kern w:val="21"/>
                <w:szCs w:val="21"/>
              </w:rPr>
              <w:fldChar w:fldCharType="end"/>
            </w:r>
          </w:p>
        </w:tc>
        <w:tc>
          <w:tcPr>
            <w:tcW w:w="1424" w:type="dxa"/>
            <w:tcMar>
              <w:left w:w="28" w:type="dxa"/>
              <w:right w:w="28" w:type="dxa"/>
            </w:tcMar>
            <w:vAlign w:val="center"/>
          </w:tcPr>
          <w:p>
            <w:pPr>
              <w:pStyle w:val="31"/>
              <w:spacing w:beforeLines="0" w:afterLines="0" w:line="240" w:lineRule="auto"/>
              <w:rPr>
                <w:rFonts w:ascii="Times New Roman" w:eastAsia="黑体"/>
                <w:snapToGrid w:val="0"/>
                <w:color w:val="auto"/>
                <w:spacing w:val="-16"/>
                <w:kern w:val="21"/>
                <w:szCs w:val="21"/>
              </w:rPr>
            </w:pPr>
            <w:r>
              <w:rPr>
                <w:rFonts w:ascii="Times New Roman" w:eastAsia="黑体"/>
                <w:snapToGrid w:val="0"/>
                <w:color w:val="auto"/>
                <w:spacing w:val="-16"/>
                <w:kern w:val="21"/>
                <w:szCs w:val="21"/>
              </w:rPr>
              <w:t>以新带老削减量</w:t>
            </w:r>
          </w:p>
          <w:p>
            <w:pPr>
              <w:pStyle w:val="31"/>
              <w:spacing w:beforeLines="0" w:afterLines="0" w:line="240" w:lineRule="auto"/>
              <w:rPr>
                <w:rFonts w:ascii="Times New Roman" w:eastAsia="黑体"/>
                <w:snapToGrid w:val="0"/>
                <w:color w:val="auto"/>
                <w:spacing w:val="-16"/>
                <w:kern w:val="21"/>
                <w:szCs w:val="21"/>
              </w:rPr>
            </w:pPr>
            <w:r>
              <w:rPr>
                <w:rFonts w:ascii="Times New Roman" w:eastAsia="黑体"/>
                <w:snapToGrid w:val="0"/>
                <w:color w:val="auto"/>
                <w:spacing w:val="-16"/>
                <w:kern w:val="21"/>
                <w:szCs w:val="21"/>
              </w:rPr>
              <w:t>（新建项目不填）</w:t>
            </w:r>
            <w:r>
              <w:rPr>
                <w:rFonts w:ascii="Times New Roman" w:eastAsia="黑体"/>
                <w:snapToGrid w:val="0"/>
                <w:color w:val="auto"/>
                <w:spacing w:val="-16"/>
                <w:kern w:val="21"/>
                <w:szCs w:val="21"/>
              </w:rPr>
              <w:fldChar w:fldCharType="begin"/>
            </w:r>
            <w:r>
              <w:rPr>
                <w:rFonts w:ascii="Times New Roman" w:eastAsia="黑体"/>
                <w:snapToGrid w:val="0"/>
                <w:color w:val="auto"/>
                <w:spacing w:val="-16"/>
                <w:kern w:val="21"/>
                <w:szCs w:val="21"/>
              </w:rPr>
              <w:instrText xml:space="preserve"> = 5 \* GB3 \* MERGEFORMAT </w:instrText>
            </w:r>
            <w:r>
              <w:rPr>
                <w:rFonts w:ascii="Times New Roman" w:eastAsia="黑体"/>
                <w:snapToGrid w:val="0"/>
                <w:color w:val="auto"/>
                <w:spacing w:val="-16"/>
                <w:kern w:val="21"/>
                <w:szCs w:val="21"/>
              </w:rPr>
              <w:fldChar w:fldCharType="separate"/>
            </w:r>
            <w:r>
              <w:rPr>
                <w:rFonts w:hint="eastAsia" w:hAnsi="宋体" w:cs="宋体"/>
                <w:color w:val="auto"/>
                <w:kern w:val="2"/>
                <w:szCs w:val="21"/>
              </w:rPr>
              <w:t>⑤</w:t>
            </w:r>
            <w:r>
              <w:rPr>
                <w:rFonts w:ascii="Times New Roman" w:eastAsia="黑体"/>
                <w:snapToGrid w:val="0"/>
                <w:color w:val="auto"/>
                <w:spacing w:val="-16"/>
                <w:kern w:val="21"/>
                <w:szCs w:val="21"/>
              </w:rPr>
              <w:fldChar w:fldCharType="end"/>
            </w:r>
          </w:p>
        </w:tc>
        <w:tc>
          <w:tcPr>
            <w:tcW w:w="1843" w:type="dxa"/>
            <w:tcMar>
              <w:left w:w="28" w:type="dxa"/>
              <w:right w:w="28" w:type="dxa"/>
            </w:tcMar>
            <w:vAlign w:val="center"/>
          </w:tcPr>
          <w:p>
            <w:pPr>
              <w:pStyle w:val="31"/>
              <w:spacing w:beforeLines="0" w:afterLines="0" w:line="240" w:lineRule="auto"/>
              <w:rPr>
                <w:rFonts w:ascii="Times New Roman" w:eastAsia="黑体"/>
                <w:snapToGrid w:val="0"/>
                <w:color w:val="auto"/>
                <w:spacing w:val="-16"/>
                <w:kern w:val="21"/>
                <w:szCs w:val="21"/>
              </w:rPr>
            </w:pPr>
            <w:r>
              <w:rPr>
                <w:rFonts w:ascii="Times New Roman" w:eastAsia="黑体"/>
                <w:snapToGrid w:val="0"/>
                <w:color w:val="auto"/>
                <w:spacing w:val="-16"/>
                <w:kern w:val="21"/>
                <w:szCs w:val="21"/>
              </w:rPr>
              <w:t>本项目建成后</w:t>
            </w:r>
          </w:p>
          <w:p>
            <w:pPr>
              <w:pStyle w:val="31"/>
              <w:spacing w:beforeLines="0" w:afterLines="0" w:line="240" w:lineRule="auto"/>
              <w:rPr>
                <w:rFonts w:ascii="Times New Roman" w:eastAsia="黑体"/>
                <w:snapToGrid w:val="0"/>
                <w:color w:val="auto"/>
                <w:spacing w:val="-16"/>
                <w:kern w:val="21"/>
                <w:szCs w:val="21"/>
              </w:rPr>
            </w:pPr>
            <w:r>
              <w:rPr>
                <w:rFonts w:ascii="Times New Roman" w:eastAsia="黑体"/>
                <w:snapToGrid w:val="0"/>
                <w:color w:val="auto"/>
                <w:spacing w:val="-16"/>
                <w:kern w:val="21"/>
                <w:szCs w:val="21"/>
              </w:rPr>
              <w:t>全厂排放量（固体废物产生量）</w:t>
            </w:r>
            <w:r>
              <w:rPr>
                <w:rFonts w:ascii="Times New Roman" w:eastAsia="黑体"/>
                <w:snapToGrid w:val="0"/>
                <w:color w:val="auto"/>
                <w:spacing w:val="-16"/>
                <w:kern w:val="21"/>
                <w:szCs w:val="21"/>
              </w:rPr>
              <w:fldChar w:fldCharType="begin"/>
            </w:r>
            <w:r>
              <w:rPr>
                <w:rFonts w:ascii="Times New Roman" w:eastAsia="黑体"/>
                <w:snapToGrid w:val="0"/>
                <w:color w:val="auto"/>
                <w:spacing w:val="-16"/>
                <w:kern w:val="21"/>
                <w:szCs w:val="21"/>
              </w:rPr>
              <w:instrText xml:space="preserve"> = 6 \* GB3 \* MERGEFORMAT </w:instrText>
            </w:r>
            <w:r>
              <w:rPr>
                <w:rFonts w:ascii="Times New Roman" w:eastAsia="黑体"/>
                <w:snapToGrid w:val="0"/>
                <w:color w:val="auto"/>
                <w:spacing w:val="-16"/>
                <w:kern w:val="21"/>
                <w:szCs w:val="21"/>
              </w:rPr>
              <w:fldChar w:fldCharType="separate"/>
            </w:r>
            <w:r>
              <w:rPr>
                <w:rFonts w:hint="eastAsia" w:hAnsi="宋体" w:cs="宋体"/>
                <w:color w:val="auto"/>
                <w:kern w:val="2"/>
                <w:szCs w:val="21"/>
              </w:rPr>
              <w:t>⑥</w:t>
            </w:r>
            <w:r>
              <w:rPr>
                <w:rFonts w:ascii="Times New Roman" w:eastAsia="黑体"/>
                <w:snapToGrid w:val="0"/>
                <w:color w:val="auto"/>
                <w:spacing w:val="-16"/>
                <w:kern w:val="21"/>
                <w:szCs w:val="21"/>
              </w:rPr>
              <w:fldChar w:fldCharType="end"/>
            </w:r>
          </w:p>
        </w:tc>
        <w:tc>
          <w:tcPr>
            <w:tcW w:w="1279" w:type="dxa"/>
            <w:tcMar>
              <w:left w:w="28" w:type="dxa"/>
              <w:right w:w="28" w:type="dxa"/>
            </w:tcMar>
            <w:vAlign w:val="center"/>
          </w:tcPr>
          <w:p>
            <w:pPr>
              <w:pStyle w:val="31"/>
              <w:spacing w:beforeLines="0" w:afterLines="0" w:line="240" w:lineRule="auto"/>
              <w:rPr>
                <w:rFonts w:ascii="Times New Roman" w:eastAsia="黑体"/>
                <w:snapToGrid w:val="0"/>
                <w:color w:val="auto"/>
                <w:spacing w:val="-6"/>
                <w:kern w:val="21"/>
                <w:szCs w:val="21"/>
              </w:rPr>
            </w:pPr>
            <w:r>
              <w:rPr>
                <w:rFonts w:ascii="Times New Roman" w:eastAsia="黑体"/>
                <w:snapToGrid w:val="0"/>
                <w:color w:val="auto"/>
                <w:spacing w:val="-6"/>
                <w:kern w:val="21"/>
                <w:szCs w:val="21"/>
              </w:rPr>
              <w:t>变化量</w:t>
            </w:r>
            <w:r>
              <w:rPr>
                <w:rFonts w:ascii="Times New Roman" w:eastAsia="黑体"/>
                <w:snapToGrid w:val="0"/>
                <w:color w:val="auto"/>
                <w:spacing w:val="-6"/>
                <w:kern w:val="21"/>
                <w:szCs w:val="21"/>
              </w:rPr>
              <w:fldChar w:fldCharType="begin"/>
            </w:r>
            <w:r>
              <w:rPr>
                <w:rFonts w:ascii="Times New Roman" w:eastAsia="黑体"/>
                <w:snapToGrid w:val="0"/>
                <w:color w:val="auto"/>
                <w:spacing w:val="-6"/>
                <w:kern w:val="21"/>
                <w:szCs w:val="21"/>
              </w:rPr>
              <w:instrText xml:space="preserve"> = 7 \* GB3 \* MERGEFORMAT </w:instrText>
            </w:r>
            <w:r>
              <w:rPr>
                <w:rFonts w:ascii="Times New Roman" w:eastAsia="黑体"/>
                <w:snapToGrid w:val="0"/>
                <w:color w:val="auto"/>
                <w:spacing w:val="-6"/>
                <w:kern w:val="21"/>
                <w:szCs w:val="21"/>
              </w:rPr>
              <w:fldChar w:fldCharType="separate"/>
            </w:r>
            <w:r>
              <w:rPr>
                <w:rFonts w:hint="eastAsia" w:hAnsi="宋体" w:cs="宋体"/>
                <w:color w:val="auto"/>
                <w:kern w:val="2"/>
                <w:szCs w:val="21"/>
              </w:rPr>
              <w:t>⑦</w:t>
            </w:r>
            <w:r>
              <w:rPr>
                <w:rFonts w:ascii="Times New Roman" w:eastAsia="黑体"/>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restart"/>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废气</w:t>
            </w:r>
          </w:p>
        </w:tc>
        <w:tc>
          <w:tcPr>
            <w:tcW w:w="1417"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颗粒物</w:t>
            </w: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w:t>
            </w:r>
            <w:r>
              <w:rPr>
                <w:rFonts w:ascii="Times New Roman"/>
                <w:color w:val="auto"/>
                <w:szCs w:val="21"/>
              </w:rPr>
              <w:t xml:space="preserve"> t/a</w:t>
            </w:r>
          </w:p>
        </w:tc>
        <w:tc>
          <w:tcPr>
            <w:tcW w:w="155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color w:val="auto"/>
                <w:szCs w:val="21"/>
              </w:rPr>
              <w:t>0.</w:t>
            </w:r>
            <w:r>
              <w:rPr>
                <w:rFonts w:hint="eastAsia" w:ascii="Times New Roman"/>
                <w:color w:val="auto"/>
                <w:szCs w:val="21"/>
              </w:rPr>
              <w:t>03687</w:t>
            </w:r>
            <w:r>
              <w:rPr>
                <w:rFonts w:ascii="Times New Roman"/>
                <w:color w:val="auto"/>
                <w:szCs w:val="21"/>
              </w:rPr>
              <w:t xml:space="preserve">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center"/>
          </w:tcPr>
          <w:p>
            <w:pPr>
              <w:jc w:val="center"/>
              <w:rPr>
                <w:color w:val="auto"/>
                <w:szCs w:val="21"/>
              </w:rPr>
            </w:pPr>
            <w:r>
              <w:rPr>
                <w:color w:val="auto"/>
                <w:szCs w:val="21"/>
              </w:rPr>
              <w:t>0.</w:t>
            </w:r>
            <w:r>
              <w:rPr>
                <w:rFonts w:hint="eastAsia"/>
                <w:color w:val="auto"/>
                <w:szCs w:val="21"/>
              </w:rPr>
              <w:t>03687</w:t>
            </w:r>
            <w:r>
              <w:rPr>
                <w:color w:val="auto"/>
                <w:szCs w:val="21"/>
              </w:rPr>
              <w:t xml:space="preserve"> t/a</w:t>
            </w:r>
          </w:p>
        </w:tc>
        <w:tc>
          <w:tcPr>
            <w:tcW w:w="1279" w:type="dxa"/>
            <w:tcMar>
              <w:left w:w="28" w:type="dxa"/>
              <w:right w:w="28" w:type="dxa"/>
            </w:tcMar>
            <w:vAlign w:val="center"/>
          </w:tcPr>
          <w:p>
            <w:pPr>
              <w:jc w:val="center"/>
              <w:rPr>
                <w:color w:val="auto"/>
                <w:szCs w:val="21"/>
              </w:rPr>
            </w:pPr>
            <w:r>
              <w:rPr>
                <w:color w:val="auto"/>
                <w:szCs w:val="21"/>
              </w:rPr>
              <w:t>+0.</w:t>
            </w:r>
            <w:r>
              <w:rPr>
                <w:rFonts w:hint="eastAsia"/>
                <w:color w:val="auto"/>
                <w:szCs w:val="21"/>
              </w:rPr>
              <w:t>03687</w:t>
            </w:r>
            <w:r>
              <w:rPr>
                <w:color w:val="auto"/>
                <w:szCs w:val="21"/>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417"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非甲烷总烃</w:t>
            </w: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339.1</w:t>
            </w:r>
            <w:r>
              <w:rPr>
                <w:rFonts w:ascii="Times New Roman"/>
                <w:color w:val="auto"/>
                <w:szCs w:val="21"/>
              </w:rPr>
              <w:t xml:space="preserve"> t/a</w:t>
            </w:r>
          </w:p>
        </w:tc>
        <w:tc>
          <w:tcPr>
            <w:tcW w:w="155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w:t>
            </w:r>
            <w:r>
              <w:rPr>
                <w:rFonts w:ascii="Times New Roman"/>
                <w:color w:val="auto"/>
                <w:szCs w:val="21"/>
              </w:rPr>
              <w:t xml:space="preserve">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339.1</w:t>
            </w:r>
            <w:r>
              <w:rPr>
                <w:rFonts w:ascii="Times New Roman"/>
                <w:color w:val="auto"/>
                <w:szCs w:val="21"/>
              </w:rPr>
              <w:t xml:space="preserve"> t/a</w:t>
            </w:r>
          </w:p>
        </w:tc>
        <w:tc>
          <w:tcPr>
            <w:tcW w:w="1279" w:type="dxa"/>
            <w:tcMar>
              <w:left w:w="28" w:type="dxa"/>
              <w:right w:w="28" w:type="dxa"/>
            </w:tcMar>
            <w:vAlign w:val="center"/>
          </w:tcPr>
          <w:p>
            <w:pPr>
              <w:jc w:val="center"/>
              <w:rPr>
                <w:color w:val="auto"/>
                <w:szCs w:val="21"/>
              </w:rPr>
            </w:pPr>
            <w:r>
              <w:rPr>
                <w:color w:val="auto"/>
                <w:szCs w:val="21"/>
              </w:rPr>
              <w:t>0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417"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烟尘</w:t>
            </w:r>
          </w:p>
        </w:tc>
        <w:tc>
          <w:tcPr>
            <w:tcW w:w="1701" w:type="dxa"/>
            <w:tcMar>
              <w:left w:w="28" w:type="dxa"/>
              <w:right w:w="28" w:type="dxa"/>
            </w:tcMar>
            <w:vAlign w:val="center"/>
          </w:tcPr>
          <w:p>
            <w:pPr>
              <w:spacing w:line="320" w:lineRule="exact"/>
              <w:contextualSpacing/>
              <w:jc w:val="center"/>
              <w:rPr>
                <w:color w:val="auto"/>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spacing w:line="320" w:lineRule="exact"/>
              <w:contextualSpacing/>
              <w:jc w:val="center"/>
              <w:rPr>
                <w:color w:val="auto"/>
                <w:szCs w:val="21"/>
              </w:rPr>
            </w:pPr>
            <w:r>
              <w:rPr>
                <w:color w:val="auto"/>
                <w:szCs w:val="21"/>
              </w:rPr>
              <w:t>180 t/a</w:t>
            </w:r>
          </w:p>
        </w:tc>
        <w:tc>
          <w:tcPr>
            <w:tcW w:w="155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w:t>
            </w:r>
            <w:r>
              <w:rPr>
                <w:rFonts w:ascii="Times New Roman"/>
                <w:color w:val="auto"/>
                <w:szCs w:val="21"/>
              </w:rPr>
              <w:t xml:space="preserve">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center"/>
          </w:tcPr>
          <w:p>
            <w:pPr>
              <w:spacing w:line="320" w:lineRule="exact"/>
              <w:contextualSpacing/>
              <w:jc w:val="center"/>
              <w:rPr>
                <w:color w:val="auto"/>
                <w:szCs w:val="21"/>
              </w:rPr>
            </w:pPr>
            <w:r>
              <w:rPr>
                <w:color w:val="auto"/>
                <w:szCs w:val="21"/>
              </w:rPr>
              <w:t>180 t/a</w:t>
            </w:r>
          </w:p>
        </w:tc>
        <w:tc>
          <w:tcPr>
            <w:tcW w:w="1279" w:type="dxa"/>
            <w:tcMar>
              <w:left w:w="28" w:type="dxa"/>
              <w:right w:w="28" w:type="dxa"/>
            </w:tcMar>
            <w:vAlign w:val="center"/>
          </w:tcPr>
          <w:p>
            <w:pPr>
              <w:jc w:val="center"/>
              <w:rPr>
                <w:color w:val="auto"/>
                <w:szCs w:val="21"/>
              </w:rPr>
            </w:pPr>
            <w:r>
              <w:rPr>
                <w:color w:val="auto"/>
                <w:szCs w:val="21"/>
              </w:rPr>
              <w:t>0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417" w:type="dxa"/>
            <w:tcMar>
              <w:left w:w="28" w:type="dxa"/>
              <w:right w:w="28" w:type="dxa"/>
            </w:tcMar>
            <w:vAlign w:val="center"/>
          </w:tcPr>
          <w:p>
            <w:pPr>
              <w:spacing w:line="320" w:lineRule="exact"/>
              <w:contextualSpacing/>
              <w:jc w:val="center"/>
              <w:rPr>
                <w:color w:val="auto"/>
                <w:szCs w:val="21"/>
              </w:rPr>
            </w:pPr>
            <w:r>
              <w:rPr>
                <w:color w:val="auto"/>
                <w:szCs w:val="21"/>
              </w:rPr>
              <w:t>SO</w:t>
            </w:r>
            <w:r>
              <w:rPr>
                <w:color w:val="auto"/>
                <w:szCs w:val="21"/>
                <w:vertAlign w:val="subscript"/>
              </w:rPr>
              <w:t>2</w:t>
            </w:r>
          </w:p>
        </w:tc>
        <w:tc>
          <w:tcPr>
            <w:tcW w:w="1701" w:type="dxa"/>
            <w:tcMar>
              <w:left w:w="28" w:type="dxa"/>
              <w:right w:w="28" w:type="dxa"/>
            </w:tcMar>
            <w:vAlign w:val="center"/>
          </w:tcPr>
          <w:p>
            <w:pPr>
              <w:spacing w:line="320" w:lineRule="exact"/>
              <w:contextualSpacing/>
              <w:jc w:val="center"/>
              <w:rPr>
                <w:color w:val="auto"/>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spacing w:line="320" w:lineRule="exact"/>
              <w:contextualSpacing/>
              <w:jc w:val="center"/>
              <w:rPr>
                <w:color w:val="auto"/>
                <w:szCs w:val="21"/>
              </w:rPr>
            </w:pPr>
            <w:r>
              <w:rPr>
                <w:color w:val="auto"/>
                <w:szCs w:val="21"/>
              </w:rPr>
              <w:t>150 t/a</w:t>
            </w:r>
          </w:p>
        </w:tc>
        <w:tc>
          <w:tcPr>
            <w:tcW w:w="155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w:t>
            </w:r>
            <w:r>
              <w:rPr>
                <w:rFonts w:ascii="Times New Roman"/>
                <w:color w:val="auto"/>
                <w:szCs w:val="21"/>
              </w:rPr>
              <w:t xml:space="preserve">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center"/>
          </w:tcPr>
          <w:p>
            <w:pPr>
              <w:spacing w:line="320" w:lineRule="exact"/>
              <w:contextualSpacing/>
              <w:jc w:val="center"/>
              <w:rPr>
                <w:color w:val="auto"/>
                <w:szCs w:val="21"/>
              </w:rPr>
            </w:pPr>
            <w:r>
              <w:rPr>
                <w:color w:val="auto"/>
                <w:szCs w:val="21"/>
              </w:rPr>
              <w:t>150 t/a</w:t>
            </w:r>
          </w:p>
        </w:tc>
        <w:tc>
          <w:tcPr>
            <w:tcW w:w="1279" w:type="dxa"/>
            <w:tcMar>
              <w:left w:w="28" w:type="dxa"/>
              <w:right w:w="28" w:type="dxa"/>
            </w:tcMar>
            <w:vAlign w:val="center"/>
          </w:tcPr>
          <w:p>
            <w:pPr>
              <w:jc w:val="center"/>
              <w:rPr>
                <w:color w:val="auto"/>
                <w:szCs w:val="21"/>
              </w:rPr>
            </w:pPr>
            <w:r>
              <w:rPr>
                <w:color w:val="auto"/>
                <w:szCs w:val="21"/>
              </w:rPr>
              <w:t>0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417" w:type="dxa"/>
            <w:tcMar>
              <w:left w:w="28" w:type="dxa"/>
              <w:right w:w="28" w:type="dxa"/>
            </w:tcMar>
            <w:vAlign w:val="center"/>
          </w:tcPr>
          <w:p>
            <w:pPr>
              <w:spacing w:line="320" w:lineRule="exact"/>
              <w:contextualSpacing/>
              <w:jc w:val="center"/>
              <w:rPr>
                <w:color w:val="auto"/>
                <w:szCs w:val="21"/>
              </w:rPr>
            </w:pPr>
            <w:r>
              <w:rPr>
                <w:color w:val="auto"/>
                <w:szCs w:val="21"/>
              </w:rPr>
              <w:t>NO</w:t>
            </w:r>
            <w:r>
              <w:rPr>
                <w:color w:val="auto"/>
                <w:szCs w:val="21"/>
                <w:vertAlign w:val="subscript"/>
              </w:rPr>
              <w:t>X</w:t>
            </w:r>
          </w:p>
        </w:tc>
        <w:tc>
          <w:tcPr>
            <w:tcW w:w="1701" w:type="dxa"/>
            <w:tcMar>
              <w:left w:w="28" w:type="dxa"/>
              <w:right w:w="28" w:type="dxa"/>
            </w:tcMar>
            <w:vAlign w:val="center"/>
          </w:tcPr>
          <w:p>
            <w:pPr>
              <w:spacing w:line="320" w:lineRule="exact"/>
              <w:contextualSpacing/>
              <w:jc w:val="center"/>
              <w:rPr>
                <w:color w:val="auto"/>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spacing w:line="320" w:lineRule="exact"/>
              <w:contextualSpacing/>
              <w:jc w:val="center"/>
              <w:rPr>
                <w:color w:val="auto"/>
                <w:szCs w:val="21"/>
              </w:rPr>
            </w:pPr>
            <w:r>
              <w:rPr>
                <w:color w:val="auto"/>
                <w:szCs w:val="21"/>
              </w:rPr>
              <w:t>945 t/a</w:t>
            </w:r>
          </w:p>
        </w:tc>
        <w:tc>
          <w:tcPr>
            <w:tcW w:w="155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w:t>
            </w:r>
            <w:r>
              <w:rPr>
                <w:rFonts w:ascii="Times New Roman"/>
                <w:color w:val="auto"/>
                <w:szCs w:val="21"/>
              </w:rPr>
              <w:t xml:space="preserve">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center"/>
          </w:tcPr>
          <w:p>
            <w:pPr>
              <w:spacing w:line="320" w:lineRule="exact"/>
              <w:contextualSpacing/>
              <w:jc w:val="center"/>
              <w:rPr>
                <w:color w:val="auto"/>
                <w:szCs w:val="21"/>
              </w:rPr>
            </w:pPr>
            <w:r>
              <w:rPr>
                <w:color w:val="auto"/>
                <w:szCs w:val="21"/>
              </w:rPr>
              <w:t>945 t/a</w:t>
            </w:r>
          </w:p>
        </w:tc>
        <w:tc>
          <w:tcPr>
            <w:tcW w:w="1279" w:type="dxa"/>
            <w:tcMar>
              <w:left w:w="28" w:type="dxa"/>
              <w:right w:w="28" w:type="dxa"/>
            </w:tcMar>
            <w:vAlign w:val="center"/>
          </w:tcPr>
          <w:p>
            <w:pPr>
              <w:jc w:val="center"/>
              <w:rPr>
                <w:color w:val="auto"/>
                <w:szCs w:val="21"/>
              </w:rPr>
            </w:pPr>
            <w:r>
              <w:rPr>
                <w:color w:val="auto"/>
                <w:szCs w:val="21"/>
              </w:rPr>
              <w:t>0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417" w:type="dxa"/>
            <w:tcMar>
              <w:left w:w="28" w:type="dxa"/>
              <w:right w:w="28" w:type="dxa"/>
            </w:tcMar>
            <w:vAlign w:val="center"/>
          </w:tcPr>
          <w:p>
            <w:pPr>
              <w:pStyle w:val="31"/>
              <w:spacing w:beforeLines="0" w:afterLines="0" w:line="240" w:lineRule="auto"/>
              <w:rPr>
                <w:rFonts w:ascii="Times New Roman"/>
                <w:color w:val="auto"/>
                <w:szCs w:val="21"/>
              </w:rPr>
            </w:pPr>
            <w:r>
              <w:rPr>
                <w:rFonts w:ascii="Times New Roman"/>
                <w:color w:val="auto"/>
                <w:szCs w:val="21"/>
              </w:rPr>
              <w:t>油烟</w:t>
            </w:r>
          </w:p>
        </w:tc>
        <w:tc>
          <w:tcPr>
            <w:tcW w:w="1701" w:type="dxa"/>
            <w:tcMar>
              <w:left w:w="28" w:type="dxa"/>
              <w:right w:w="28" w:type="dxa"/>
            </w:tcMar>
            <w:vAlign w:val="center"/>
          </w:tcPr>
          <w:p>
            <w:pPr>
              <w:spacing w:line="320" w:lineRule="exact"/>
              <w:contextualSpacing/>
              <w:jc w:val="center"/>
              <w:rPr>
                <w:color w:val="auto"/>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spacing w:line="320" w:lineRule="exact"/>
              <w:contextualSpacing/>
              <w:jc w:val="center"/>
              <w:rPr>
                <w:color w:val="auto"/>
                <w:szCs w:val="21"/>
              </w:rPr>
            </w:pPr>
            <w:r>
              <w:rPr>
                <w:color w:val="auto"/>
                <w:szCs w:val="21"/>
              </w:rPr>
              <w:t>4.05 t/a</w:t>
            </w:r>
          </w:p>
        </w:tc>
        <w:tc>
          <w:tcPr>
            <w:tcW w:w="155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w:t>
            </w:r>
            <w:r>
              <w:rPr>
                <w:rFonts w:ascii="Times New Roman"/>
                <w:color w:val="auto"/>
                <w:szCs w:val="21"/>
              </w:rPr>
              <w:t xml:space="preserve">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center"/>
          </w:tcPr>
          <w:p>
            <w:pPr>
              <w:spacing w:line="320" w:lineRule="exact"/>
              <w:contextualSpacing/>
              <w:jc w:val="center"/>
              <w:rPr>
                <w:color w:val="auto"/>
                <w:szCs w:val="21"/>
              </w:rPr>
            </w:pPr>
            <w:r>
              <w:rPr>
                <w:color w:val="auto"/>
                <w:szCs w:val="21"/>
              </w:rPr>
              <w:t>4.05 t/a</w:t>
            </w:r>
          </w:p>
        </w:tc>
        <w:tc>
          <w:tcPr>
            <w:tcW w:w="1279" w:type="dxa"/>
            <w:tcMar>
              <w:left w:w="28" w:type="dxa"/>
              <w:right w:w="28" w:type="dxa"/>
            </w:tcMar>
            <w:vAlign w:val="center"/>
          </w:tcPr>
          <w:p>
            <w:pPr>
              <w:jc w:val="center"/>
              <w:rPr>
                <w:color w:val="auto"/>
                <w:szCs w:val="21"/>
              </w:rPr>
            </w:pPr>
            <w:r>
              <w:rPr>
                <w:color w:val="auto"/>
                <w:szCs w:val="21"/>
              </w:rPr>
              <w:t>0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restart"/>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废水</w:t>
            </w:r>
          </w:p>
        </w:tc>
        <w:tc>
          <w:tcPr>
            <w:tcW w:w="1417" w:type="dxa"/>
            <w:tcMar>
              <w:left w:w="28" w:type="dxa"/>
              <w:right w:w="28" w:type="dxa"/>
            </w:tcMar>
            <w:vAlign w:val="center"/>
          </w:tcPr>
          <w:p>
            <w:pPr>
              <w:spacing w:line="320" w:lineRule="exact"/>
              <w:contextualSpacing/>
              <w:jc w:val="center"/>
              <w:rPr>
                <w:color w:val="auto"/>
                <w:szCs w:val="21"/>
              </w:rPr>
            </w:pPr>
            <w:r>
              <w:rPr>
                <w:color w:val="auto"/>
                <w:szCs w:val="21"/>
              </w:rPr>
              <w:t>COD</w:t>
            </w: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spacing w:line="320" w:lineRule="exact"/>
              <w:contextualSpacing/>
              <w:jc w:val="center"/>
              <w:rPr>
                <w:color w:val="auto"/>
                <w:szCs w:val="21"/>
              </w:rPr>
            </w:pPr>
            <w:r>
              <w:rPr>
                <w:color w:val="auto"/>
                <w:szCs w:val="21"/>
              </w:rPr>
              <w:t>0.048 t/a</w:t>
            </w:r>
          </w:p>
        </w:tc>
        <w:tc>
          <w:tcPr>
            <w:tcW w:w="1559" w:type="dxa"/>
            <w:tcMar>
              <w:left w:w="28" w:type="dxa"/>
              <w:right w:w="28" w:type="dxa"/>
            </w:tcMar>
            <w:vAlign w:val="center"/>
          </w:tcPr>
          <w:p>
            <w:pPr>
              <w:spacing w:line="320" w:lineRule="exact"/>
              <w:contextualSpacing/>
              <w:jc w:val="center"/>
              <w:rPr>
                <w:color w:val="auto"/>
                <w:szCs w:val="21"/>
              </w:rPr>
            </w:pPr>
            <w:r>
              <w:rPr>
                <w:color w:val="auto"/>
                <w:szCs w:val="21"/>
              </w:rPr>
              <w:t>0.76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bottom"/>
          </w:tcPr>
          <w:p>
            <w:pPr>
              <w:jc w:val="center"/>
              <w:rPr>
                <w:color w:val="auto"/>
                <w:szCs w:val="21"/>
              </w:rPr>
            </w:pPr>
            <w:r>
              <w:rPr>
                <w:color w:val="auto"/>
                <w:szCs w:val="21"/>
              </w:rPr>
              <w:t>0.808 t/a</w:t>
            </w:r>
          </w:p>
        </w:tc>
        <w:tc>
          <w:tcPr>
            <w:tcW w:w="1279" w:type="dxa"/>
            <w:tcMar>
              <w:left w:w="28" w:type="dxa"/>
              <w:right w:w="28" w:type="dxa"/>
            </w:tcMar>
            <w:vAlign w:val="center"/>
          </w:tcPr>
          <w:p>
            <w:pPr>
              <w:spacing w:line="320" w:lineRule="exact"/>
              <w:contextualSpacing/>
              <w:jc w:val="center"/>
              <w:rPr>
                <w:color w:val="auto"/>
                <w:szCs w:val="21"/>
              </w:rPr>
            </w:pPr>
            <w:r>
              <w:rPr>
                <w:color w:val="auto"/>
                <w:szCs w:val="21"/>
              </w:rPr>
              <w:t>+0.76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417" w:type="dxa"/>
            <w:tcMar>
              <w:left w:w="28" w:type="dxa"/>
              <w:right w:w="28" w:type="dxa"/>
            </w:tcMar>
            <w:vAlign w:val="center"/>
          </w:tcPr>
          <w:p>
            <w:pPr>
              <w:spacing w:line="320" w:lineRule="exact"/>
              <w:contextualSpacing/>
              <w:jc w:val="center"/>
              <w:rPr>
                <w:color w:val="auto"/>
                <w:szCs w:val="21"/>
              </w:rPr>
            </w:pPr>
            <w:r>
              <w:rPr>
                <w:color w:val="auto"/>
                <w:szCs w:val="21"/>
              </w:rPr>
              <w:t>BOD</w:t>
            </w:r>
            <w:r>
              <w:rPr>
                <w:color w:val="auto"/>
                <w:szCs w:val="21"/>
                <w:vertAlign w:val="subscript"/>
              </w:rPr>
              <w:t>5</w:t>
            </w: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spacing w:line="320" w:lineRule="exact"/>
              <w:contextualSpacing/>
              <w:jc w:val="center"/>
              <w:rPr>
                <w:color w:val="auto"/>
                <w:szCs w:val="21"/>
              </w:rPr>
            </w:pPr>
            <w:r>
              <w:rPr>
                <w:color w:val="auto"/>
                <w:szCs w:val="21"/>
              </w:rPr>
              <w:t>0.024 t/a</w:t>
            </w:r>
          </w:p>
        </w:tc>
        <w:tc>
          <w:tcPr>
            <w:tcW w:w="1559" w:type="dxa"/>
            <w:tcMar>
              <w:left w:w="28" w:type="dxa"/>
              <w:right w:w="28" w:type="dxa"/>
            </w:tcMar>
            <w:vAlign w:val="center"/>
          </w:tcPr>
          <w:p>
            <w:pPr>
              <w:spacing w:line="320" w:lineRule="exact"/>
              <w:contextualSpacing/>
              <w:jc w:val="center"/>
              <w:rPr>
                <w:color w:val="auto"/>
                <w:szCs w:val="21"/>
              </w:rPr>
            </w:pPr>
            <w:r>
              <w:rPr>
                <w:color w:val="auto"/>
                <w:szCs w:val="21"/>
              </w:rPr>
              <w:t>0.39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bottom"/>
          </w:tcPr>
          <w:p>
            <w:pPr>
              <w:jc w:val="center"/>
              <w:rPr>
                <w:color w:val="auto"/>
                <w:szCs w:val="21"/>
              </w:rPr>
            </w:pPr>
            <w:r>
              <w:rPr>
                <w:color w:val="auto"/>
                <w:szCs w:val="21"/>
              </w:rPr>
              <w:t>0.414 t/a</w:t>
            </w:r>
          </w:p>
        </w:tc>
        <w:tc>
          <w:tcPr>
            <w:tcW w:w="1279" w:type="dxa"/>
            <w:tcMar>
              <w:left w:w="28" w:type="dxa"/>
              <w:right w:w="28" w:type="dxa"/>
            </w:tcMar>
            <w:vAlign w:val="center"/>
          </w:tcPr>
          <w:p>
            <w:pPr>
              <w:spacing w:line="320" w:lineRule="exact"/>
              <w:contextualSpacing/>
              <w:jc w:val="center"/>
              <w:rPr>
                <w:color w:val="auto"/>
                <w:szCs w:val="21"/>
              </w:rPr>
            </w:pPr>
            <w:r>
              <w:rPr>
                <w:color w:val="auto"/>
                <w:szCs w:val="21"/>
              </w:rPr>
              <w:t>+0.39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417" w:type="dxa"/>
            <w:tcMar>
              <w:left w:w="28" w:type="dxa"/>
              <w:right w:w="28" w:type="dxa"/>
            </w:tcMar>
            <w:vAlign w:val="center"/>
          </w:tcPr>
          <w:p>
            <w:pPr>
              <w:spacing w:line="320" w:lineRule="exact"/>
              <w:contextualSpacing/>
              <w:jc w:val="center"/>
              <w:rPr>
                <w:color w:val="auto"/>
                <w:szCs w:val="21"/>
              </w:rPr>
            </w:pPr>
            <w:r>
              <w:rPr>
                <w:color w:val="auto"/>
                <w:szCs w:val="21"/>
              </w:rPr>
              <w:t>SS</w:t>
            </w: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spacing w:line="320" w:lineRule="exact"/>
              <w:contextualSpacing/>
              <w:jc w:val="center"/>
              <w:rPr>
                <w:color w:val="auto"/>
                <w:szCs w:val="21"/>
              </w:rPr>
            </w:pPr>
            <w:r>
              <w:rPr>
                <w:color w:val="auto"/>
                <w:szCs w:val="21"/>
              </w:rPr>
              <w:t>0.018 t/a</w:t>
            </w:r>
          </w:p>
        </w:tc>
        <w:tc>
          <w:tcPr>
            <w:tcW w:w="1559" w:type="dxa"/>
            <w:tcMar>
              <w:left w:w="28" w:type="dxa"/>
              <w:right w:w="28" w:type="dxa"/>
            </w:tcMar>
            <w:vAlign w:val="center"/>
          </w:tcPr>
          <w:p>
            <w:pPr>
              <w:spacing w:line="320" w:lineRule="exact"/>
              <w:contextualSpacing/>
              <w:jc w:val="center"/>
              <w:rPr>
                <w:color w:val="auto"/>
                <w:szCs w:val="21"/>
              </w:rPr>
            </w:pPr>
            <w:r>
              <w:rPr>
                <w:color w:val="auto"/>
                <w:szCs w:val="21"/>
              </w:rPr>
              <w:t>0.47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bottom"/>
          </w:tcPr>
          <w:p>
            <w:pPr>
              <w:jc w:val="center"/>
              <w:rPr>
                <w:color w:val="auto"/>
                <w:szCs w:val="21"/>
              </w:rPr>
            </w:pPr>
            <w:r>
              <w:rPr>
                <w:color w:val="auto"/>
                <w:szCs w:val="21"/>
              </w:rPr>
              <w:t>0.488 t/a</w:t>
            </w:r>
          </w:p>
        </w:tc>
        <w:tc>
          <w:tcPr>
            <w:tcW w:w="1279" w:type="dxa"/>
            <w:tcMar>
              <w:left w:w="28" w:type="dxa"/>
              <w:right w:w="28" w:type="dxa"/>
            </w:tcMar>
            <w:vAlign w:val="center"/>
          </w:tcPr>
          <w:p>
            <w:pPr>
              <w:spacing w:line="320" w:lineRule="exact"/>
              <w:contextualSpacing/>
              <w:jc w:val="center"/>
              <w:rPr>
                <w:color w:val="auto"/>
                <w:szCs w:val="21"/>
              </w:rPr>
            </w:pPr>
            <w:r>
              <w:rPr>
                <w:color w:val="auto"/>
                <w:szCs w:val="21"/>
              </w:rPr>
              <w:t>+0.47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417" w:type="dxa"/>
            <w:tcMar>
              <w:left w:w="28" w:type="dxa"/>
              <w:right w:w="28" w:type="dxa"/>
            </w:tcMar>
            <w:vAlign w:val="center"/>
          </w:tcPr>
          <w:p>
            <w:pPr>
              <w:spacing w:line="320" w:lineRule="exact"/>
              <w:contextualSpacing/>
              <w:jc w:val="center"/>
              <w:rPr>
                <w:color w:val="auto"/>
                <w:szCs w:val="21"/>
              </w:rPr>
            </w:pPr>
            <w:r>
              <w:rPr>
                <w:color w:val="auto"/>
                <w:szCs w:val="21"/>
              </w:rPr>
              <w:t>NH</w:t>
            </w:r>
            <w:r>
              <w:rPr>
                <w:color w:val="auto"/>
                <w:szCs w:val="21"/>
                <w:vertAlign w:val="subscript"/>
              </w:rPr>
              <w:t>3</w:t>
            </w:r>
            <w:r>
              <w:rPr>
                <w:color w:val="auto"/>
                <w:szCs w:val="21"/>
              </w:rPr>
              <w:t>-N</w:t>
            </w: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spacing w:line="320" w:lineRule="exact"/>
              <w:contextualSpacing/>
              <w:jc w:val="center"/>
              <w:rPr>
                <w:color w:val="auto"/>
                <w:szCs w:val="21"/>
              </w:rPr>
            </w:pPr>
            <w:r>
              <w:rPr>
                <w:color w:val="auto"/>
                <w:szCs w:val="21"/>
              </w:rPr>
              <w:t>0.0024 t/a</w:t>
            </w:r>
          </w:p>
        </w:tc>
        <w:tc>
          <w:tcPr>
            <w:tcW w:w="1559" w:type="dxa"/>
            <w:tcMar>
              <w:left w:w="28" w:type="dxa"/>
              <w:right w:w="28" w:type="dxa"/>
            </w:tcMar>
            <w:vAlign w:val="center"/>
          </w:tcPr>
          <w:p>
            <w:pPr>
              <w:spacing w:line="320" w:lineRule="exact"/>
              <w:contextualSpacing/>
              <w:jc w:val="center"/>
              <w:rPr>
                <w:color w:val="auto"/>
                <w:szCs w:val="21"/>
              </w:rPr>
            </w:pPr>
            <w:r>
              <w:rPr>
                <w:color w:val="auto"/>
                <w:szCs w:val="21"/>
              </w:rPr>
              <w:t>0.08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bottom"/>
          </w:tcPr>
          <w:p>
            <w:pPr>
              <w:jc w:val="center"/>
              <w:rPr>
                <w:color w:val="auto"/>
                <w:szCs w:val="21"/>
              </w:rPr>
            </w:pPr>
            <w:r>
              <w:rPr>
                <w:color w:val="auto"/>
                <w:szCs w:val="21"/>
              </w:rPr>
              <w:t>0.0824 t/a</w:t>
            </w:r>
          </w:p>
        </w:tc>
        <w:tc>
          <w:tcPr>
            <w:tcW w:w="1279" w:type="dxa"/>
            <w:tcMar>
              <w:left w:w="28" w:type="dxa"/>
              <w:right w:w="28" w:type="dxa"/>
            </w:tcMar>
            <w:vAlign w:val="center"/>
          </w:tcPr>
          <w:p>
            <w:pPr>
              <w:spacing w:line="320" w:lineRule="exact"/>
              <w:contextualSpacing/>
              <w:jc w:val="center"/>
              <w:rPr>
                <w:color w:val="auto"/>
                <w:szCs w:val="21"/>
              </w:rPr>
            </w:pPr>
            <w:r>
              <w:rPr>
                <w:color w:val="auto"/>
                <w:szCs w:val="21"/>
              </w:rPr>
              <w:t>+0.08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417" w:type="dxa"/>
            <w:tcMar>
              <w:left w:w="28" w:type="dxa"/>
              <w:right w:w="28" w:type="dxa"/>
            </w:tcMar>
            <w:vAlign w:val="center"/>
          </w:tcPr>
          <w:p>
            <w:pPr>
              <w:spacing w:line="320" w:lineRule="exact"/>
              <w:contextualSpacing/>
              <w:jc w:val="center"/>
              <w:rPr>
                <w:color w:val="auto"/>
                <w:szCs w:val="21"/>
              </w:rPr>
            </w:pPr>
            <w:r>
              <w:rPr>
                <w:color w:val="auto"/>
                <w:szCs w:val="21"/>
              </w:rPr>
              <w:t>动植物油</w:t>
            </w: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spacing w:line="320" w:lineRule="exact"/>
              <w:contextualSpacing/>
              <w:jc w:val="center"/>
              <w:rPr>
                <w:color w:val="auto"/>
                <w:szCs w:val="21"/>
              </w:rPr>
            </w:pPr>
            <w:r>
              <w:rPr>
                <w:color w:val="auto"/>
                <w:szCs w:val="21"/>
              </w:rPr>
              <w:t>0.0036 t/a</w:t>
            </w:r>
          </w:p>
        </w:tc>
        <w:tc>
          <w:tcPr>
            <w:tcW w:w="1559" w:type="dxa"/>
            <w:tcMar>
              <w:left w:w="28" w:type="dxa"/>
              <w:right w:w="28" w:type="dxa"/>
            </w:tcMar>
            <w:vAlign w:val="center"/>
          </w:tcPr>
          <w:p>
            <w:pPr>
              <w:spacing w:line="320" w:lineRule="exact"/>
              <w:contextualSpacing/>
              <w:jc w:val="center"/>
              <w:rPr>
                <w:color w:val="auto"/>
                <w:szCs w:val="21"/>
              </w:rPr>
            </w:pPr>
            <w:r>
              <w:rPr>
                <w:color w:val="auto"/>
                <w:szCs w:val="21"/>
              </w:rPr>
              <w:t>0.39t/a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bottom"/>
          </w:tcPr>
          <w:p>
            <w:pPr>
              <w:jc w:val="center"/>
              <w:rPr>
                <w:color w:val="auto"/>
                <w:szCs w:val="21"/>
              </w:rPr>
            </w:pPr>
            <w:r>
              <w:rPr>
                <w:color w:val="auto"/>
                <w:szCs w:val="21"/>
              </w:rPr>
              <w:t>0.3936 t/a</w:t>
            </w:r>
          </w:p>
        </w:tc>
        <w:tc>
          <w:tcPr>
            <w:tcW w:w="1279" w:type="dxa"/>
            <w:tcMar>
              <w:left w:w="28" w:type="dxa"/>
              <w:right w:w="28" w:type="dxa"/>
            </w:tcMar>
            <w:vAlign w:val="center"/>
          </w:tcPr>
          <w:p>
            <w:pPr>
              <w:spacing w:line="320" w:lineRule="exact"/>
              <w:contextualSpacing/>
              <w:jc w:val="center"/>
              <w:rPr>
                <w:color w:val="auto"/>
                <w:szCs w:val="21"/>
              </w:rPr>
            </w:pPr>
            <w:r>
              <w:rPr>
                <w:color w:val="auto"/>
                <w:szCs w:val="21"/>
              </w:rPr>
              <w:t>+0.39t/a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restart"/>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一般工业</w:t>
            </w:r>
          </w:p>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固体废物</w:t>
            </w:r>
          </w:p>
        </w:tc>
        <w:tc>
          <w:tcPr>
            <w:tcW w:w="1417"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生活垃圾</w:t>
            </w: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15</w:t>
            </w:r>
            <w:r>
              <w:rPr>
                <w:rFonts w:ascii="Times New Roman"/>
                <w:color w:val="auto"/>
                <w:szCs w:val="21"/>
              </w:rPr>
              <w:t xml:space="preserve"> t/a</w:t>
            </w:r>
          </w:p>
        </w:tc>
        <w:tc>
          <w:tcPr>
            <w:tcW w:w="155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13.5</w:t>
            </w:r>
            <w:r>
              <w:rPr>
                <w:rFonts w:ascii="Times New Roman"/>
                <w:color w:val="auto"/>
                <w:szCs w:val="21"/>
              </w:rPr>
              <w:t xml:space="preserve">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28.5</w:t>
            </w:r>
            <w:r>
              <w:rPr>
                <w:rFonts w:ascii="Times New Roman"/>
                <w:color w:val="auto"/>
                <w:szCs w:val="21"/>
              </w:rPr>
              <w:t xml:space="preserve"> t/a</w:t>
            </w:r>
          </w:p>
        </w:tc>
        <w:tc>
          <w:tcPr>
            <w:tcW w:w="1279" w:type="dxa"/>
            <w:tcMar>
              <w:left w:w="28" w:type="dxa"/>
              <w:right w:w="28" w:type="dxa"/>
            </w:tcMar>
            <w:vAlign w:val="center"/>
          </w:tcPr>
          <w:p>
            <w:pPr>
              <w:pStyle w:val="31"/>
              <w:spacing w:beforeLines="0" w:afterLines="0" w:line="240" w:lineRule="auto"/>
              <w:rPr>
                <w:rFonts w:ascii="Times New Roman"/>
                <w:snapToGrid w:val="0"/>
                <w:color w:val="auto"/>
                <w:kern w:val="21"/>
                <w:szCs w:val="21"/>
                <w:vertAlign w:val="subscript"/>
              </w:rPr>
            </w:pPr>
            <w:r>
              <w:rPr>
                <w:rFonts w:ascii="Times New Roman"/>
                <w:snapToGrid w:val="0"/>
                <w:color w:val="auto"/>
                <w:kern w:val="21"/>
                <w:szCs w:val="21"/>
                <w:vertAlign w:val="subscript"/>
              </w:rPr>
              <w:t>+</w:t>
            </w:r>
            <w:r>
              <w:rPr>
                <w:rFonts w:ascii="Times New Roman"/>
                <w:snapToGrid w:val="0"/>
                <w:color w:val="auto"/>
                <w:kern w:val="21"/>
                <w:szCs w:val="21"/>
              </w:rPr>
              <w:t>13.5</w:t>
            </w:r>
            <w:r>
              <w:rPr>
                <w:rFonts w:ascii="Times New Roman"/>
                <w:color w:val="auto"/>
                <w:szCs w:val="21"/>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417"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废包装材料</w:t>
            </w: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w:t>
            </w:r>
            <w:r>
              <w:rPr>
                <w:rFonts w:ascii="Times New Roman"/>
                <w:color w:val="auto"/>
                <w:szCs w:val="21"/>
              </w:rPr>
              <w:t xml:space="preserve"> t/a</w:t>
            </w:r>
          </w:p>
        </w:tc>
        <w:tc>
          <w:tcPr>
            <w:tcW w:w="155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0.5</w:t>
            </w:r>
            <w:r>
              <w:rPr>
                <w:rFonts w:ascii="Times New Roman"/>
                <w:color w:val="auto"/>
                <w:szCs w:val="21"/>
              </w:rPr>
              <w:t xml:space="preserve">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0.5</w:t>
            </w:r>
            <w:r>
              <w:rPr>
                <w:rFonts w:ascii="Times New Roman"/>
                <w:color w:val="auto"/>
                <w:szCs w:val="21"/>
              </w:rPr>
              <w:t xml:space="preserve"> t/a</w:t>
            </w:r>
          </w:p>
        </w:tc>
        <w:tc>
          <w:tcPr>
            <w:tcW w:w="127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+0.5</w:t>
            </w:r>
            <w:r>
              <w:rPr>
                <w:rFonts w:ascii="Times New Roman"/>
                <w:color w:val="auto"/>
                <w:szCs w:val="21"/>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417" w:type="dxa"/>
            <w:tcMar>
              <w:left w:w="28" w:type="dxa"/>
              <w:right w:w="28" w:type="dxa"/>
            </w:tcMar>
            <w:vAlign w:val="center"/>
          </w:tcPr>
          <w:p>
            <w:pPr>
              <w:widowControl/>
              <w:jc w:val="center"/>
              <w:rPr>
                <w:color w:val="auto"/>
                <w:spacing w:val="-4"/>
                <w:kern w:val="0"/>
                <w:szCs w:val="21"/>
              </w:rPr>
            </w:pPr>
            <w:r>
              <w:rPr>
                <w:color w:val="auto"/>
                <w:spacing w:val="-4"/>
                <w:kern w:val="0"/>
                <w:szCs w:val="21"/>
              </w:rPr>
              <w:t>不合格品</w:t>
            </w:r>
          </w:p>
        </w:tc>
        <w:tc>
          <w:tcPr>
            <w:tcW w:w="1701" w:type="dxa"/>
            <w:tcMar>
              <w:left w:w="28" w:type="dxa"/>
              <w:right w:w="28" w:type="dxa"/>
            </w:tcMar>
            <w:vAlign w:val="center"/>
          </w:tcPr>
          <w:p>
            <w:pPr>
              <w:widowControl/>
              <w:jc w:val="center"/>
              <w:rPr>
                <w:color w:val="auto"/>
                <w:spacing w:val="-4"/>
                <w:kern w:val="0"/>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w:t>
            </w:r>
            <w:r>
              <w:rPr>
                <w:rFonts w:ascii="Times New Roman"/>
                <w:color w:val="auto"/>
                <w:szCs w:val="21"/>
              </w:rPr>
              <w:t xml:space="preserve"> t/a</w:t>
            </w:r>
          </w:p>
        </w:tc>
        <w:tc>
          <w:tcPr>
            <w:tcW w:w="155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100</w:t>
            </w:r>
            <w:r>
              <w:rPr>
                <w:rFonts w:ascii="Times New Roman"/>
                <w:color w:val="auto"/>
                <w:szCs w:val="21"/>
              </w:rPr>
              <w:t xml:space="preserve">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100</w:t>
            </w:r>
            <w:r>
              <w:rPr>
                <w:rFonts w:ascii="Times New Roman"/>
                <w:color w:val="auto"/>
                <w:szCs w:val="21"/>
              </w:rPr>
              <w:t xml:space="preserve"> t/a</w:t>
            </w:r>
          </w:p>
        </w:tc>
        <w:tc>
          <w:tcPr>
            <w:tcW w:w="127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+100</w:t>
            </w:r>
            <w:r>
              <w:rPr>
                <w:rFonts w:ascii="Times New Roman"/>
                <w:color w:val="auto"/>
                <w:szCs w:val="21"/>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417" w:type="dxa"/>
            <w:tcMar>
              <w:left w:w="28" w:type="dxa"/>
              <w:right w:w="28" w:type="dxa"/>
            </w:tcMar>
            <w:vAlign w:val="center"/>
          </w:tcPr>
          <w:p>
            <w:pPr>
              <w:widowControl/>
              <w:jc w:val="center"/>
              <w:rPr>
                <w:rFonts w:hint="default" w:ascii="Times New Roman" w:hAnsi="Times New Roman" w:cs="Times New Roman"/>
                <w:color w:val="auto"/>
                <w:spacing w:val="-4"/>
                <w:kern w:val="0"/>
                <w:szCs w:val="21"/>
                <w:highlight w:val="none"/>
              </w:rPr>
            </w:pPr>
            <w:r>
              <w:rPr>
                <w:rFonts w:hint="default" w:ascii="Times New Roman" w:hAnsi="Times New Roman" w:cs="Times New Roman"/>
                <w:color w:val="auto"/>
                <w:spacing w:val="-4"/>
                <w:kern w:val="0"/>
                <w:szCs w:val="21"/>
                <w:highlight w:val="none"/>
              </w:rPr>
              <w:t>除尘器收集的粉尘</w:t>
            </w:r>
          </w:p>
        </w:tc>
        <w:tc>
          <w:tcPr>
            <w:tcW w:w="1701" w:type="dxa"/>
            <w:tcMar>
              <w:left w:w="28" w:type="dxa"/>
              <w:right w:w="28" w:type="dxa"/>
            </w:tcMar>
            <w:vAlign w:val="center"/>
          </w:tcPr>
          <w:p>
            <w:pPr>
              <w:widowControl/>
              <w:jc w:val="center"/>
              <w:rPr>
                <w:rFonts w:hint="default" w:ascii="Times New Roman" w:hAnsi="Times New Roman" w:cs="Times New Roman"/>
                <w:color w:val="auto"/>
                <w:spacing w:val="-4"/>
                <w:kern w:val="0"/>
                <w:szCs w:val="21"/>
                <w:highlight w:val="none"/>
              </w:rPr>
            </w:pPr>
          </w:p>
        </w:tc>
        <w:tc>
          <w:tcPr>
            <w:tcW w:w="1276" w:type="dxa"/>
            <w:tcMar>
              <w:left w:w="28" w:type="dxa"/>
              <w:right w:w="28" w:type="dxa"/>
            </w:tcMar>
            <w:vAlign w:val="center"/>
          </w:tcPr>
          <w:p>
            <w:pPr>
              <w:pStyle w:val="31"/>
              <w:spacing w:beforeLines="0" w:afterLines="0" w:line="240" w:lineRule="auto"/>
              <w:rPr>
                <w:rFonts w:hint="default" w:ascii="Times New Roman" w:hAnsi="Times New Roman" w:cs="Times New Roman"/>
                <w:snapToGrid w:val="0"/>
                <w:color w:val="auto"/>
                <w:kern w:val="21"/>
                <w:szCs w:val="21"/>
                <w:highlight w:val="none"/>
              </w:rPr>
            </w:pPr>
          </w:p>
        </w:tc>
        <w:tc>
          <w:tcPr>
            <w:tcW w:w="1701" w:type="dxa"/>
            <w:tcMar>
              <w:left w:w="28" w:type="dxa"/>
              <w:right w:w="28" w:type="dxa"/>
            </w:tcMar>
            <w:vAlign w:val="center"/>
          </w:tcPr>
          <w:p>
            <w:pPr>
              <w:pStyle w:val="31"/>
              <w:spacing w:beforeLines="0" w:afterLines="0" w:line="240" w:lineRule="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0</w:t>
            </w:r>
            <w:r>
              <w:rPr>
                <w:rFonts w:hint="default" w:ascii="Times New Roman" w:hAnsi="Times New Roman" w:cs="Times New Roman"/>
                <w:color w:val="auto"/>
                <w:szCs w:val="21"/>
                <w:highlight w:val="none"/>
              </w:rPr>
              <w:t xml:space="preserve"> t/a</w:t>
            </w:r>
          </w:p>
        </w:tc>
        <w:tc>
          <w:tcPr>
            <w:tcW w:w="1559" w:type="dxa"/>
            <w:tcMar>
              <w:left w:w="28" w:type="dxa"/>
              <w:right w:w="28" w:type="dxa"/>
            </w:tcMar>
            <w:vAlign w:val="center"/>
          </w:tcPr>
          <w:p>
            <w:pPr>
              <w:pStyle w:val="31"/>
              <w:spacing w:beforeLines="0" w:afterLines="0" w:line="240" w:lineRule="auto"/>
              <w:rPr>
                <w:rFonts w:hint="default" w:ascii="Times New Roman" w:hAnsi="Times New Roman" w:cs="Times New Roman"/>
                <w:snapToGrid w:val="0"/>
                <w:color w:val="auto"/>
                <w:kern w:val="21"/>
                <w:szCs w:val="21"/>
                <w:highlight w:val="none"/>
              </w:rPr>
            </w:pPr>
            <w:r>
              <w:rPr>
                <w:rFonts w:hint="default" w:ascii="Times New Roman" w:hAnsi="Times New Roman" w:cs="Times New Roman"/>
                <w:color w:val="auto"/>
                <w:szCs w:val="21"/>
                <w:highlight w:val="none"/>
              </w:rPr>
              <w:t>34.25313 t/a</w:t>
            </w:r>
          </w:p>
        </w:tc>
        <w:tc>
          <w:tcPr>
            <w:tcW w:w="1424" w:type="dxa"/>
            <w:tcMar>
              <w:left w:w="28" w:type="dxa"/>
              <w:right w:w="28" w:type="dxa"/>
            </w:tcMar>
            <w:vAlign w:val="center"/>
          </w:tcPr>
          <w:p>
            <w:pPr>
              <w:pStyle w:val="31"/>
              <w:spacing w:beforeLines="0" w:afterLines="0" w:line="240" w:lineRule="auto"/>
              <w:rPr>
                <w:rFonts w:hint="default" w:ascii="Times New Roman" w:hAnsi="Times New Roman" w:cs="Times New Roman"/>
                <w:snapToGrid w:val="0"/>
                <w:color w:val="auto"/>
                <w:kern w:val="21"/>
                <w:szCs w:val="21"/>
                <w:highlight w:val="none"/>
              </w:rPr>
            </w:pPr>
          </w:p>
        </w:tc>
        <w:tc>
          <w:tcPr>
            <w:tcW w:w="1843" w:type="dxa"/>
            <w:tcMar>
              <w:left w:w="28" w:type="dxa"/>
              <w:right w:w="28" w:type="dxa"/>
            </w:tcMar>
            <w:vAlign w:val="center"/>
          </w:tcPr>
          <w:p>
            <w:pPr>
              <w:pStyle w:val="31"/>
              <w:spacing w:beforeLines="0" w:afterLines="0" w:line="240" w:lineRule="auto"/>
              <w:rPr>
                <w:rFonts w:hint="default" w:ascii="Times New Roman" w:hAnsi="Times New Roman" w:cs="Times New Roman"/>
                <w:snapToGrid w:val="0"/>
                <w:color w:val="auto"/>
                <w:kern w:val="21"/>
                <w:szCs w:val="21"/>
                <w:highlight w:val="none"/>
              </w:rPr>
            </w:pPr>
            <w:r>
              <w:rPr>
                <w:rFonts w:hint="default" w:ascii="Times New Roman" w:hAnsi="Times New Roman" w:cs="Times New Roman"/>
                <w:color w:val="auto"/>
                <w:szCs w:val="21"/>
                <w:highlight w:val="none"/>
              </w:rPr>
              <w:t>34.25313 t/a</w:t>
            </w:r>
          </w:p>
        </w:tc>
        <w:tc>
          <w:tcPr>
            <w:tcW w:w="1279" w:type="dxa"/>
            <w:tcMar>
              <w:left w:w="28" w:type="dxa"/>
              <w:right w:w="28" w:type="dxa"/>
            </w:tcMar>
            <w:vAlign w:val="center"/>
          </w:tcPr>
          <w:p>
            <w:pPr>
              <w:pStyle w:val="31"/>
              <w:spacing w:beforeLines="0" w:afterLines="0" w:line="240" w:lineRule="auto"/>
              <w:rPr>
                <w:rFonts w:hint="default" w:ascii="Times New Roman" w:hAnsi="Times New Roman" w:cs="Times New Roman"/>
                <w:snapToGrid w:val="0"/>
                <w:color w:val="auto"/>
                <w:kern w:val="21"/>
                <w:szCs w:val="21"/>
                <w:highlight w:val="none"/>
              </w:rPr>
            </w:pPr>
            <w:r>
              <w:rPr>
                <w:rFonts w:hint="default" w:ascii="Times New Roman" w:hAnsi="Times New Roman" w:cs="Times New Roman"/>
                <w:snapToGrid w:val="0"/>
                <w:color w:val="auto"/>
                <w:kern w:val="21"/>
                <w:szCs w:val="21"/>
                <w:highlight w:val="none"/>
              </w:rPr>
              <w:t>+</w:t>
            </w:r>
            <w:r>
              <w:rPr>
                <w:rFonts w:hint="default" w:ascii="Times New Roman" w:hAnsi="Times New Roman" w:cs="Times New Roman"/>
                <w:color w:val="auto"/>
                <w:szCs w:val="21"/>
                <w:highlight w:val="none"/>
              </w:rPr>
              <w:t>34.25313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restart"/>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危险废物</w:t>
            </w:r>
          </w:p>
        </w:tc>
        <w:tc>
          <w:tcPr>
            <w:tcW w:w="1417" w:type="dxa"/>
            <w:tcMar>
              <w:left w:w="28" w:type="dxa"/>
              <w:right w:w="28" w:type="dxa"/>
            </w:tcMar>
            <w:vAlign w:val="center"/>
          </w:tcPr>
          <w:p>
            <w:pPr>
              <w:spacing w:line="320" w:lineRule="exact"/>
              <w:contextualSpacing/>
              <w:jc w:val="center"/>
              <w:rPr>
                <w:color w:val="auto"/>
                <w:szCs w:val="21"/>
              </w:rPr>
            </w:pPr>
            <w:r>
              <w:rPr>
                <w:color w:val="auto"/>
                <w:szCs w:val="21"/>
              </w:rPr>
              <w:t>废活性炭</w:t>
            </w: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spacing w:line="320" w:lineRule="exact"/>
              <w:contextualSpacing/>
              <w:jc w:val="center"/>
              <w:rPr>
                <w:color w:val="auto"/>
                <w:szCs w:val="21"/>
              </w:rPr>
            </w:pPr>
            <w:r>
              <w:rPr>
                <w:color w:val="auto"/>
                <w:szCs w:val="21"/>
              </w:rPr>
              <w:t>13.7 t/a</w:t>
            </w:r>
          </w:p>
        </w:tc>
        <w:tc>
          <w:tcPr>
            <w:tcW w:w="155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color w:val="auto"/>
                <w:szCs w:val="21"/>
              </w:rPr>
              <w:t>0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center"/>
          </w:tcPr>
          <w:p>
            <w:pPr>
              <w:spacing w:line="320" w:lineRule="exact"/>
              <w:contextualSpacing/>
              <w:jc w:val="center"/>
              <w:rPr>
                <w:color w:val="auto"/>
                <w:szCs w:val="21"/>
              </w:rPr>
            </w:pPr>
            <w:r>
              <w:rPr>
                <w:color w:val="auto"/>
                <w:szCs w:val="21"/>
              </w:rPr>
              <w:t>13.7 t/a</w:t>
            </w:r>
          </w:p>
        </w:tc>
        <w:tc>
          <w:tcPr>
            <w:tcW w:w="127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w:t>
            </w:r>
            <w:r>
              <w:rPr>
                <w:rFonts w:ascii="Times New Roman"/>
                <w:color w:val="auto"/>
                <w:szCs w:val="21"/>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417" w:type="dxa"/>
            <w:tcMar>
              <w:left w:w="28" w:type="dxa"/>
              <w:right w:w="28" w:type="dxa"/>
            </w:tcMar>
            <w:vAlign w:val="center"/>
          </w:tcPr>
          <w:p>
            <w:pPr>
              <w:spacing w:line="320" w:lineRule="exact"/>
              <w:contextualSpacing/>
              <w:jc w:val="center"/>
              <w:rPr>
                <w:color w:val="auto"/>
                <w:szCs w:val="21"/>
              </w:rPr>
            </w:pPr>
            <w:r>
              <w:rPr>
                <w:color w:val="auto"/>
                <w:szCs w:val="21"/>
              </w:rPr>
              <w:t>不合格品</w:t>
            </w: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spacing w:line="320" w:lineRule="exact"/>
              <w:contextualSpacing/>
              <w:jc w:val="center"/>
              <w:rPr>
                <w:color w:val="auto"/>
                <w:szCs w:val="21"/>
              </w:rPr>
            </w:pPr>
            <w:r>
              <w:rPr>
                <w:color w:val="auto"/>
                <w:szCs w:val="21"/>
              </w:rPr>
              <w:t>12 t/a</w:t>
            </w:r>
          </w:p>
        </w:tc>
        <w:tc>
          <w:tcPr>
            <w:tcW w:w="155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hint="eastAsia" w:ascii="Times New Roman"/>
                <w:color w:val="auto"/>
                <w:szCs w:val="21"/>
              </w:rPr>
              <w:t>100</w:t>
            </w:r>
            <w:r>
              <w:rPr>
                <w:rFonts w:ascii="Times New Roman"/>
                <w:color w:val="auto"/>
                <w:szCs w:val="21"/>
              </w:rPr>
              <w:t xml:space="preserve">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center"/>
          </w:tcPr>
          <w:p>
            <w:pPr>
              <w:spacing w:line="320" w:lineRule="exact"/>
              <w:contextualSpacing/>
              <w:jc w:val="center"/>
              <w:rPr>
                <w:color w:val="auto"/>
                <w:szCs w:val="21"/>
              </w:rPr>
            </w:pPr>
            <w:r>
              <w:rPr>
                <w:rFonts w:hint="eastAsia"/>
                <w:color w:val="auto"/>
                <w:szCs w:val="21"/>
              </w:rPr>
              <w:t>112</w:t>
            </w:r>
            <w:r>
              <w:rPr>
                <w:color w:val="auto"/>
                <w:szCs w:val="21"/>
              </w:rPr>
              <w:t xml:space="preserve"> t/a</w:t>
            </w:r>
          </w:p>
        </w:tc>
        <w:tc>
          <w:tcPr>
            <w:tcW w:w="127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hint="eastAsia" w:ascii="Times New Roman"/>
                <w:snapToGrid w:val="0"/>
                <w:color w:val="auto"/>
                <w:kern w:val="21"/>
                <w:szCs w:val="21"/>
              </w:rPr>
              <w:t>100</w:t>
            </w:r>
            <w:r>
              <w:rPr>
                <w:rFonts w:ascii="Times New Roman"/>
                <w:color w:val="auto"/>
                <w:szCs w:val="21"/>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417"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color w:val="auto"/>
                <w:szCs w:val="21"/>
              </w:rPr>
              <w:t>废包装桶</w:t>
            </w: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spacing w:line="320" w:lineRule="exact"/>
              <w:contextualSpacing/>
              <w:jc w:val="center"/>
              <w:rPr>
                <w:color w:val="auto"/>
                <w:szCs w:val="21"/>
              </w:rPr>
            </w:pPr>
            <w:r>
              <w:rPr>
                <w:color w:val="auto"/>
                <w:szCs w:val="21"/>
              </w:rPr>
              <w:t>9 t/a</w:t>
            </w:r>
          </w:p>
        </w:tc>
        <w:tc>
          <w:tcPr>
            <w:tcW w:w="155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color w:val="auto"/>
                <w:szCs w:val="21"/>
              </w:rPr>
              <w:t>0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center"/>
          </w:tcPr>
          <w:p>
            <w:pPr>
              <w:spacing w:line="320" w:lineRule="exact"/>
              <w:contextualSpacing/>
              <w:jc w:val="center"/>
              <w:rPr>
                <w:color w:val="auto"/>
                <w:szCs w:val="21"/>
              </w:rPr>
            </w:pPr>
            <w:r>
              <w:rPr>
                <w:color w:val="auto"/>
                <w:szCs w:val="21"/>
              </w:rPr>
              <w:t>9 t/a</w:t>
            </w:r>
          </w:p>
        </w:tc>
        <w:tc>
          <w:tcPr>
            <w:tcW w:w="127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w:t>
            </w:r>
            <w:r>
              <w:rPr>
                <w:rFonts w:ascii="Times New Roman"/>
                <w:color w:val="auto"/>
                <w:szCs w:val="21"/>
              </w:rPr>
              <w:t xml:space="preserve"> 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88" w:type="dxa"/>
            <w:vMerge w:val="continue"/>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417" w:type="dxa"/>
            <w:tcMar>
              <w:left w:w="28" w:type="dxa"/>
              <w:right w:w="28" w:type="dxa"/>
            </w:tcMar>
            <w:vAlign w:val="center"/>
          </w:tcPr>
          <w:p>
            <w:pPr>
              <w:pStyle w:val="31"/>
              <w:spacing w:beforeLines="0" w:afterLines="0" w:line="240" w:lineRule="auto"/>
              <w:rPr>
                <w:rFonts w:ascii="Times New Roman"/>
                <w:color w:val="auto"/>
                <w:szCs w:val="21"/>
              </w:rPr>
            </w:pPr>
            <w:r>
              <w:rPr>
                <w:rFonts w:ascii="Times New Roman"/>
                <w:color w:val="auto"/>
                <w:szCs w:val="21"/>
              </w:rPr>
              <w:t>废润滑油</w:t>
            </w:r>
          </w:p>
        </w:tc>
        <w:tc>
          <w:tcPr>
            <w:tcW w:w="1701"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276"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701" w:type="dxa"/>
            <w:tcMar>
              <w:left w:w="28" w:type="dxa"/>
              <w:right w:w="28" w:type="dxa"/>
            </w:tcMar>
            <w:vAlign w:val="center"/>
          </w:tcPr>
          <w:p>
            <w:pPr>
              <w:spacing w:line="320" w:lineRule="exact"/>
              <w:contextualSpacing/>
              <w:jc w:val="center"/>
              <w:rPr>
                <w:color w:val="auto"/>
                <w:szCs w:val="21"/>
              </w:rPr>
            </w:pPr>
            <w:r>
              <w:rPr>
                <w:color w:val="auto"/>
                <w:szCs w:val="21"/>
              </w:rPr>
              <w:t>0 t/a</w:t>
            </w:r>
          </w:p>
        </w:tc>
        <w:tc>
          <w:tcPr>
            <w:tcW w:w="155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0.5</w:t>
            </w:r>
            <w:r>
              <w:rPr>
                <w:rFonts w:ascii="Times New Roman"/>
                <w:color w:val="auto"/>
                <w:szCs w:val="21"/>
              </w:rPr>
              <w:t xml:space="preserve"> t/a</w:t>
            </w:r>
          </w:p>
        </w:tc>
        <w:tc>
          <w:tcPr>
            <w:tcW w:w="1424" w:type="dxa"/>
            <w:tcMar>
              <w:left w:w="28" w:type="dxa"/>
              <w:right w:w="28" w:type="dxa"/>
            </w:tcMar>
            <w:vAlign w:val="center"/>
          </w:tcPr>
          <w:p>
            <w:pPr>
              <w:pStyle w:val="31"/>
              <w:spacing w:beforeLines="0" w:afterLines="0" w:line="240" w:lineRule="auto"/>
              <w:rPr>
                <w:rFonts w:ascii="Times New Roman"/>
                <w:snapToGrid w:val="0"/>
                <w:color w:val="auto"/>
                <w:kern w:val="21"/>
                <w:szCs w:val="21"/>
              </w:rPr>
            </w:pPr>
          </w:p>
        </w:tc>
        <w:tc>
          <w:tcPr>
            <w:tcW w:w="1843"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0.5</w:t>
            </w:r>
            <w:r>
              <w:rPr>
                <w:rFonts w:ascii="Times New Roman"/>
                <w:color w:val="auto"/>
                <w:szCs w:val="21"/>
              </w:rPr>
              <w:t xml:space="preserve"> t/a</w:t>
            </w:r>
          </w:p>
        </w:tc>
        <w:tc>
          <w:tcPr>
            <w:tcW w:w="1279" w:type="dxa"/>
            <w:tcMar>
              <w:left w:w="28" w:type="dxa"/>
              <w:right w:w="28" w:type="dxa"/>
            </w:tcMar>
            <w:vAlign w:val="center"/>
          </w:tcPr>
          <w:p>
            <w:pPr>
              <w:pStyle w:val="31"/>
              <w:spacing w:beforeLines="0" w:afterLines="0" w:line="240" w:lineRule="auto"/>
              <w:rPr>
                <w:rFonts w:ascii="Times New Roman"/>
                <w:snapToGrid w:val="0"/>
                <w:color w:val="auto"/>
                <w:kern w:val="21"/>
                <w:szCs w:val="21"/>
              </w:rPr>
            </w:pPr>
            <w:r>
              <w:rPr>
                <w:rFonts w:ascii="Times New Roman"/>
                <w:snapToGrid w:val="0"/>
                <w:color w:val="auto"/>
                <w:kern w:val="21"/>
                <w:szCs w:val="21"/>
              </w:rPr>
              <w:t>+0.5</w:t>
            </w:r>
            <w:r>
              <w:rPr>
                <w:rFonts w:ascii="Times New Roman"/>
                <w:color w:val="auto"/>
                <w:szCs w:val="21"/>
              </w:rPr>
              <w:t xml:space="preserve"> t/a</w:t>
            </w:r>
          </w:p>
        </w:tc>
      </w:tr>
    </w:tbl>
    <w:p>
      <w:pPr>
        <w:pStyle w:val="31"/>
        <w:spacing w:before="192" w:beforeLines="80" w:after="24"/>
        <w:ind w:firstLine="420" w:firstLineChars="200"/>
        <w:jc w:val="left"/>
        <w:rPr>
          <w:rFonts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bookmarkEnd w:id="4"/>
    <w:sectPr>
      <w:footerReference r:id="rId7"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1"/>
      </w:rPr>
    </w:pPr>
    <w:r>
      <w:fldChar w:fldCharType="begin"/>
    </w:r>
    <w:r>
      <w:rPr>
        <w:rStyle w:val="21"/>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30</w:t>
    </w:r>
    <w:r>
      <w:rPr>
        <w:sz w:val="21"/>
        <w:szCs w:val="21"/>
      </w:rPr>
      <w:fldChar w:fldCharType="end"/>
    </w:r>
  </w:p>
  <w:p>
    <w:pPr>
      <w:pStyle w:val="11"/>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2E3B"/>
    <w:rsid w:val="00003459"/>
    <w:rsid w:val="00005450"/>
    <w:rsid w:val="000060B3"/>
    <w:rsid w:val="000062CD"/>
    <w:rsid w:val="000102AA"/>
    <w:rsid w:val="00011519"/>
    <w:rsid w:val="00011FAE"/>
    <w:rsid w:val="00012AE3"/>
    <w:rsid w:val="00013626"/>
    <w:rsid w:val="00013EBB"/>
    <w:rsid w:val="00015CEA"/>
    <w:rsid w:val="00016F0B"/>
    <w:rsid w:val="000236AB"/>
    <w:rsid w:val="000241C4"/>
    <w:rsid w:val="00033546"/>
    <w:rsid w:val="00034114"/>
    <w:rsid w:val="0003687C"/>
    <w:rsid w:val="0004194F"/>
    <w:rsid w:val="0004253C"/>
    <w:rsid w:val="00042917"/>
    <w:rsid w:val="00042B92"/>
    <w:rsid w:val="00042CE9"/>
    <w:rsid w:val="000434AE"/>
    <w:rsid w:val="0004364B"/>
    <w:rsid w:val="00051FE5"/>
    <w:rsid w:val="0005318B"/>
    <w:rsid w:val="0005321D"/>
    <w:rsid w:val="00054DBE"/>
    <w:rsid w:val="00055386"/>
    <w:rsid w:val="00061B1F"/>
    <w:rsid w:val="00062338"/>
    <w:rsid w:val="00062B27"/>
    <w:rsid w:val="000647CE"/>
    <w:rsid w:val="0006664F"/>
    <w:rsid w:val="000670B6"/>
    <w:rsid w:val="00067C10"/>
    <w:rsid w:val="00070CF4"/>
    <w:rsid w:val="0007157F"/>
    <w:rsid w:val="000733C4"/>
    <w:rsid w:val="00074783"/>
    <w:rsid w:val="00074908"/>
    <w:rsid w:val="0007627F"/>
    <w:rsid w:val="00077CC3"/>
    <w:rsid w:val="0008070B"/>
    <w:rsid w:val="00080B6C"/>
    <w:rsid w:val="00080F5D"/>
    <w:rsid w:val="00080FCC"/>
    <w:rsid w:val="000810AC"/>
    <w:rsid w:val="00081A02"/>
    <w:rsid w:val="00082231"/>
    <w:rsid w:val="000824EF"/>
    <w:rsid w:val="00083CB0"/>
    <w:rsid w:val="000851F9"/>
    <w:rsid w:val="000860E7"/>
    <w:rsid w:val="00092632"/>
    <w:rsid w:val="00092903"/>
    <w:rsid w:val="00092A3F"/>
    <w:rsid w:val="00092D38"/>
    <w:rsid w:val="0009377B"/>
    <w:rsid w:val="00093F78"/>
    <w:rsid w:val="000A06CA"/>
    <w:rsid w:val="000A0DBE"/>
    <w:rsid w:val="000A198F"/>
    <w:rsid w:val="000A1B4E"/>
    <w:rsid w:val="000A20C9"/>
    <w:rsid w:val="000A324B"/>
    <w:rsid w:val="000A35F0"/>
    <w:rsid w:val="000A4864"/>
    <w:rsid w:val="000A6110"/>
    <w:rsid w:val="000A63DC"/>
    <w:rsid w:val="000A6505"/>
    <w:rsid w:val="000A67B1"/>
    <w:rsid w:val="000A693A"/>
    <w:rsid w:val="000A7AD8"/>
    <w:rsid w:val="000A7D58"/>
    <w:rsid w:val="000B058F"/>
    <w:rsid w:val="000B0C5B"/>
    <w:rsid w:val="000B137F"/>
    <w:rsid w:val="000B28C5"/>
    <w:rsid w:val="000B4467"/>
    <w:rsid w:val="000B4DB9"/>
    <w:rsid w:val="000B63EB"/>
    <w:rsid w:val="000C09AC"/>
    <w:rsid w:val="000C0E69"/>
    <w:rsid w:val="000C1BE8"/>
    <w:rsid w:val="000C1D12"/>
    <w:rsid w:val="000C3F10"/>
    <w:rsid w:val="000C4BAD"/>
    <w:rsid w:val="000C56D0"/>
    <w:rsid w:val="000C5B28"/>
    <w:rsid w:val="000C6117"/>
    <w:rsid w:val="000C72A0"/>
    <w:rsid w:val="000C73D7"/>
    <w:rsid w:val="000C767F"/>
    <w:rsid w:val="000C7A0C"/>
    <w:rsid w:val="000C7C16"/>
    <w:rsid w:val="000C7D8B"/>
    <w:rsid w:val="000D5A44"/>
    <w:rsid w:val="000D63B4"/>
    <w:rsid w:val="000D793D"/>
    <w:rsid w:val="000E0C6F"/>
    <w:rsid w:val="000E1D68"/>
    <w:rsid w:val="000E3ED2"/>
    <w:rsid w:val="000E5F22"/>
    <w:rsid w:val="000E6CA4"/>
    <w:rsid w:val="000E73D2"/>
    <w:rsid w:val="000F308D"/>
    <w:rsid w:val="000F328A"/>
    <w:rsid w:val="000F341D"/>
    <w:rsid w:val="000F376B"/>
    <w:rsid w:val="000F457D"/>
    <w:rsid w:val="000F7C71"/>
    <w:rsid w:val="0010433B"/>
    <w:rsid w:val="00105531"/>
    <w:rsid w:val="001062DD"/>
    <w:rsid w:val="00106B5C"/>
    <w:rsid w:val="00107614"/>
    <w:rsid w:val="00107ADA"/>
    <w:rsid w:val="00111CBD"/>
    <w:rsid w:val="00111DE3"/>
    <w:rsid w:val="00115CC3"/>
    <w:rsid w:val="00116B36"/>
    <w:rsid w:val="00116F9E"/>
    <w:rsid w:val="00117FB8"/>
    <w:rsid w:val="00121535"/>
    <w:rsid w:val="001227CA"/>
    <w:rsid w:val="00122BBE"/>
    <w:rsid w:val="00124DC9"/>
    <w:rsid w:val="00125ACD"/>
    <w:rsid w:val="00126192"/>
    <w:rsid w:val="00127F26"/>
    <w:rsid w:val="0013034C"/>
    <w:rsid w:val="001306A9"/>
    <w:rsid w:val="00131F42"/>
    <w:rsid w:val="0013315E"/>
    <w:rsid w:val="00133450"/>
    <w:rsid w:val="00134C3C"/>
    <w:rsid w:val="00134D72"/>
    <w:rsid w:val="001357F1"/>
    <w:rsid w:val="001358CC"/>
    <w:rsid w:val="00135C2D"/>
    <w:rsid w:val="0013601D"/>
    <w:rsid w:val="0013661D"/>
    <w:rsid w:val="00140D50"/>
    <w:rsid w:val="00140E88"/>
    <w:rsid w:val="00140FA8"/>
    <w:rsid w:val="00141454"/>
    <w:rsid w:val="00142FEB"/>
    <w:rsid w:val="0014356A"/>
    <w:rsid w:val="00143A2D"/>
    <w:rsid w:val="00145A41"/>
    <w:rsid w:val="001462AD"/>
    <w:rsid w:val="00146904"/>
    <w:rsid w:val="00151675"/>
    <w:rsid w:val="00153623"/>
    <w:rsid w:val="001566F3"/>
    <w:rsid w:val="00157435"/>
    <w:rsid w:val="001577BC"/>
    <w:rsid w:val="00162485"/>
    <w:rsid w:val="00163F1E"/>
    <w:rsid w:val="00166B83"/>
    <w:rsid w:val="00172E42"/>
    <w:rsid w:val="001748C7"/>
    <w:rsid w:val="00174C56"/>
    <w:rsid w:val="0017504D"/>
    <w:rsid w:val="00176430"/>
    <w:rsid w:val="0017671A"/>
    <w:rsid w:val="00177422"/>
    <w:rsid w:val="00180817"/>
    <w:rsid w:val="00182D2A"/>
    <w:rsid w:val="001835E3"/>
    <w:rsid w:val="00184590"/>
    <w:rsid w:val="00184843"/>
    <w:rsid w:val="00184919"/>
    <w:rsid w:val="00184DDA"/>
    <w:rsid w:val="0018646F"/>
    <w:rsid w:val="001870D1"/>
    <w:rsid w:val="0018781E"/>
    <w:rsid w:val="00190F03"/>
    <w:rsid w:val="0019262D"/>
    <w:rsid w:val="001926CE"/>
    <w:rsid w:val="001928C3"/>
    <w:rsid w:val="00192E85"/>
    <w:rsid w:val="00193AFE"/>
    <w:rsid w:val="00195EEA"/>
    <w:rsid w:val="001A1B35"/>
    <w:rsid w:val="001A22B7"/>
    <w:rsid w:val="001A27F8"/>
    <w:rsid w:val="001A48A2"/>
    <w:rsid w:val="001A5DB2"/>
    <w:rsid w:val="001A6245"/>
    <w:rsid w:val="001A6AA2"/>
    <w:rsid w:val="001A6F61"/>
    <w:rsid w:val="001B4448"/>
    <w:rsid w:val="001B4BFD"/>
    <w:rsid w:val="001B5401"/>
    <w:rsid w:val="001B6655"/>
    <w:rsid w:val="001B72B8"/>
    <w:rsid w:val="001B7856"/>
    <w:rsid w:val="001C04FC"/>
    <w:rsid w:val="001C1CC6"/>
    <w:rsid w:val="001C5D79"/>
    <w:rsid w:val="001C69B3"/>
    <w:rsid w:val="001C6F53"/>
    <w:rsid w:val="001D20DB"/>
    <w:rsid w:val="001D3F13"/>
    <w:rsid w:val="001D5152"/>
    <w:rsid w:val="001D5595"/>
    <w:rsid w:val="001D659C"/>
    <w:rsid w:val="001D724A"/>
    <w:rsid w:val="001D7874"/>
    <w:rsid w:val="001D7F22"/>
    <w:rsid w:val="001E0B4A"/>
    <w:rsid w:val="001E3A26"/>
    <w:rsid w:val="001E632E"/>
    <w:rsid w:val="001E7124"/>
    <w:rsid w:val="001E748C"/>
    <w:rsid w:val="001F01E5"/>
    <w:rsid w:val="001F0443"/>
    <w:rsid w:val="001F0F17"/>
    <w:rsid w:val="001F21B0"/>
    <w:rsid w:val="001F2BCE"/>
    <w:rsid w:val="001F3347"/>
    <w:rsid w:val="001F4CEF"/>
    <w:rsid w:val="001F6004"/>
    <w:rsid w:val="001F65BA"/>
    <w:rsid w:val="001F69E4"/>
    <w:rsid w:val="001F6A36"/>
    <w:rsid w:val="00201939"/>
    <w:rsid w:val="00203082"/>
    <w:rsid w:val="00203C65"/>
    <w:rsid w:val="00203FEC"/>
    <w:rsid w:val="0020676F"/>
    <w:rsid w:val="00206C41"/>
    <w:rsid w:val="002120BD"/>
    <w:rsid w:val="002125B4"/>
    <w:rsid w:val="00212FD7"/>
    <w:rsid w:val="002155B8"/>
    <w:rsid w:val="00223285"/>
    <w:rsid w:val="00224839"/>
    <w:rsid w:val="002249B2"/>
    <w:rsid w:val="00226574"/>
    <w:rsid w:val="00226A25"/>
    <w:rsid w:val="002278EC"/>
    <w:rsid w:val="00231BC4"/>
    <w:rsid w:val="0023280E"/>
    <w:rsid w:val="00233721"/>
    <w:rsid w:val="002338D7"/>
    <w:rsid w:val="002350A2"/>
    <w:rsid w:val="00236412"/>
    <w:rsid w:val="002367E0"/>
    <w:rsid w:val="002377D1"/>
    <w:rsid w:val="00240D04"/>
    <w:rsid w:val="0024242C"/>
    <w:rsid w:val="00242795"/>
    <w:rsid w:val="00242FBB"/>
    <w:rsid w:val="002506BC"/>
    <w:rsid w:val="00254345"/>
    <w:rsid w:val="002546EA"/>
    <w:rsid w:val="00256821"/>
    <w:rsid w:val="0025752C"/>
    <w:rsid w:val="00264557"/>
    <w:rsid w:val="00264B74"/>
    <w:rsid w:val="002650E7"/>
    <w:rsid w:val="00265A22"/>
    <w:rsid w:val="00266135"/>
    <w:rsid w:val="00266B22"/>
    <w:rsid w:val="00267428"/>
    <w:rsid w:val="00267952"/>
    <w:rsid w:val="00271136"/>
    <w:rsid w:val="002728E1"/>
    <w:rsid w:val="00274ABF"/>
    <w:rsid w:val="00274BB3"/>
    <w:rsid w:val="002773E2"/>
    <w:rsid w:val="002801A1"/>
    <w:rsid w:val="002805AB"/>
    <w:rsid w:val="00280B3A"/>
    <w:rsid w:val="00281FC7"/>
    <w:rsid w:val="00284204"/>
    <w:rsid w:val="00284C47"/>
    <w:rsid w:val="00284C51"/>
    <w:rsid w:val="00290252"/>
    <w:rsid w:val="002914CC"/>
    <w:rsid w:val="00291773"/>
    <w:rsid w:val="00292112"/>
    <w:rsid w:val="00292CD1"/>
    <w:rsid w:val="00293469"/>
    <w:rsid w:val="0029391A"/>
    <w:rsid w:val="00294185"/>
    <w:rsid w:val="002946B8"/>
    <w:rsid w:val="00296885"/>
    <w:rsid w:val="002976CC"/>
    <w:rsid w:val="00297D2C"/>
    <w:rsid w:val="00297F4C"/>
    <w:rsid w:val="002A0449"/>
    <w:rsid w:val="002A168C"/>
    <w:rsid w:val="002A253F"/>
    <w:rsid w:val="002A3DC7"/>
    <w:rsid w:val="002A695D"/>
    <w:rsid w:val="002A7B3C"/>
    <w:rsid w:val="002A7CCF"/>
    <w:rsid w:val="002B32CA"/>
    <w:rsid w:val="002B49E2"/>
    <w:rsid w:val="002B7B00"/>
    <w:rsid w:val="002B7C44"/>
    <w:rsid w:val="002C07F9"/>
    <w:rsid w:val="002C0F49"/>
    <w:rsid w:val="002C12A2"/>
    <w:rsid w:val="002C20F8"/>
    <w:rsid w:val="002C2B17"/>
    <w:rsid w:val="002C350D"/>
    <w:rsid w:val="002C3BC5"/>
    <w:rsid w:val="002C3F78"/>
    <w:rsid w:val="002C432A"/>
    <w:rsid w:val="002C47A7"/>
    <w:rsid w:val="002C64C8"/>
    <w:rsid w:val="002C67C0"/>
    <w:rsid w:val="002C6B7F"/>
    <w:rsid w:val="002D26A3"/>
    <w:rsid w:val="002D2A22"/>
    <w:rsid w:val="002D2B5F"/>
    <w:rsid w:val="002D3DD0"/>
    <w:rsid w:val="002D5CC4"/>
    <w:rsid w:val="002D6CE7"/>
    <w:rsid w:val="002D7B9B"/>
    <w:rsid w:val="002E1F3A"/>
    <w:rsid w:val="002E298A"/>
    <w:rsid w:val="002E399E"/>
    <w:rsid w:val="002E67C7"/>
    <w:rsid w:val="002E6FB9"/>
    <w:rsid w:val="002E71B0"/>
    <w:rsid w:val="002F13A4"/>
    <w:rsid w:val="002F1D7F"/>
    <w:rsid w:val="002F21F2"/>
    <w:rsid w:val="002F427F"/>
    <w:rsid w:val="002F4F07"/>
    <w:rsid w:val="002F4FED"/>
    <w:rsid w:val="002F5200"/>
    <w:rsid w:val="002F6BD7"/>
    <w:rsid w:val="002F7CB5"/>
    <w:rsid w:val="003003AF"/>
    <w:rsid w:val="00301978"/>
    <w:rsid w:val="00301BEB"/>
    <w:rsid w:val="0030229A"/>
    <w:rsid w:val="003024C8"/>
    <w:rsid w:val="00302A13"/>
    <w:rsid w:val="00302C13"/>
    <w:rsid w:val="0030332C"/>
    <w:rsid w:val="003051C2"/>
    <w:rsid w:val="003071D6"/>
    <w:rsid w:val="0030772D"/>
    <w:rsid w:val="003106D0"/>
    <w:rsid w:val="00311C9E"/>
    <w:rsid w:val="0031217B"/>
    <w:rsid w:val="00312296"/>
    <w:rsid w:val="00312BA9"/>
    <w:rsid w:val="00312BE9"/>
    <w:rsid w:val="00312DA9"/>
    <w:rsid w:val="0031384C"/>
    <w:rsid w:val="00314F0E"/>
    <w:rsid w:val="00317204"/>
    <w:rsid w:val="0032037E"/>
    <w:rsid w:val="00321B8F"/>
    <w:rsid w:val="00321D8E"/>
    <w:rsid w:val="00322328"/>
    <w:rsid w:val="003235EF"/>
    <w:rsid w:val="0032505A"/>
    <w:rsid w:val="003252C2"/>
    <w:rsid w:val="00325928"/>
    <w:rsid w:val="003262BE"/>
    <w:rsid w:val="003264F3"/>
    <w:rsid w:val="00330A82"/>
    <w:rsid w:val="0033191E"/>
    <w:rsid w:val="00332863"/>
    <w:rsid w:val="0033398C"/>
    <w:rsid w:val="0033451D"/>
    <w:rsid w:val="00334B66"/>
    <w:rsid w:val="00336367"/>
    <w:rsid w:val="0033684D"/>
    <w:rsid w:val="00337B42"/>
    <w:rsid w:val="0034152E"/>
    <w:rsid w:val="003419C5"/>
    <w:rsid w:val="00341B42"/>
    <w:rsid w:val="003426C2"/>
    <w:rsid w:val="0034272F"/>
    <w:rsid w:val="00342F34"/>
    <w:rsid w:val="0034348F"/>
    <w:rsid w:val="003436D2"/>
    <w:rsid w:val="00343EC3"/>
    <w:rsid w:val="00344772"/>
    <w:rsid w:val="00344D6C"/>
    <w:rsid w:val="00346AAD"/>
    <w:rsid w:val="00347223"/>
    <w:rsid w:val="0035013C"/>
    <w:rsid w:val="00352E05"/>
    <w:rsid w:val="00353BC0"/>
    <w:rsid w:val="00353DAB"/>
    <w:rsid w:val="00354208"/>
    <w:rsid w:val="00355478"/>
    <w:rsid w:val="003559D2"/>
    <w:rsid w:val="00355A0E"/>
    <w:rsid w:val="00355A66"/>
    <w:rsid w:val="00356653"/>
    <w:rsid w:val="0035743F"/>
    <w:rsid w:val="00357BE2"/>
    <w:rsid w:val="00360E37"/>
    <w:rsid w:val="00360F9B"/>
    <w:rsid w:val="0036170C"/>
    <w:rsid w:val="00364E34"/>
    <w:rsid w:val="00366E0F"/>
    <w:rsid w:val="00371002"/>
    <w:rsid w:val="00371EC9"/>
    <w:rsid w:val="003727EF"/>
    <w:rsid w:val="00375064"/>
    <w:rsid w:val="003808B7"/>
    <w:rsid w:val="00381A72"/>
    <w:rsid w:val="00382C6B"/>
    <w:rsid w:val="00383C32"/>
    <w:rsid w:val="0038428B"/>
    <w:rsid w:val="00384676"/>
    <w:rsid w:val="003847CE"/>
    <w:rsid w:val="0039060A"/>
    <w:rsid w:val="00390857"/>
    <w:rsid w:val="00390DE6"/>
    <w:rsid w:val="00392F48"/>
    <w:rsid w:val="003930D5"/>
    <w:rsid w:val="00394126"/>
    <w:rsid w:val="00394AA3"/>
    <w:rsid w:val="003956D5"/>
    <w:rsid w:val="003960A5"/>
    <w:rsid w:val="00397153"/>
    <w:rsid w:val="00397D06"/>
    <w:rsid w:val="003A0059"/>
    <w:rsid w:val="003A1B24"/>
    <w:rsid w:val="003A223A"/>
    <w:rsid w:val="003A22EE"/>
    <w:rsid w:val="003A2E64"/>
    <w:rsid w:val="003A4947"/>
    <w:rsid w:val="003A4BF3"/>
    <w:rsid w:val="003B2CB1"/>
    <w:rsid w:val="003B420D"/>
    <w:rsid w:val="003C108A"/>
    <w:rsid w:val="003C29D1"/>
    <w:rsid w:val="003C2AD0"/>
    <w:rsid w:val="003C6C16"/>
    <w:rsid w:val="003C7002"/>
    <w:rsid w:val="003D15AD"/>
    <w:rsid w:val="003D275D"/>
    <w:rsid w:val="003D2854"/>
    <w:rsid w:val="003D2C54"/>
    <w:rsid w:val="003D622C"/>
    <w:rsid w:val="003D684A"/>
    <w:rsid w:val="003D7347"/>
    <w:rsid w:val="003D7794"/>
    <w:rsid w:val="003D794D"/>
    <w:rsid w:val="003E3058"/>
    <w:rsid w:val="003E3935"/>
    <w:rsid w:val="003E4DD1"/>
    <w:rsid w:val="003E658A"/>
    <w:rsid w:val="003E66D9"/>
    <w:rsid w:val="003E76A9"/>
    <w:rsid w:val="003F0809"/>
    <w:rsid w:val="003F3531"/>
    <w:rsid w:val="003F4318"/>
    <w:rsid w:val="003F5422"/>
    <w:rsid w:val="003F5464"/>
    <w:rsid w:val="003F55A7"/>
    <w:rsid w:val="003F6A8C"/>
    <w:rsid w:val="003F755C"/>
    <w:rsid w:val="003F7F2A"/>
    <w:rsid w:val="004021DB"/>
    <w:rsid w:val="00402F66"/>
    <w:rsid w:val="00403A17"/>
    <w:rsid w:val="00405EAF"/>
    <w:rsid w:val="00406F01"/>
    <w:rsid w:val="00411033"/>
    <w:rsid w:val="00411FF4"/>
    <w:rsid w:val="004127F6"/>
    <w:rsid w:val="0041367C"/>
    <w:rsid w:val="004137D8"/>
    <w:rsid w:val="00415103"/>
    <w:rsid w:val="00416D50"/>
    <w:rsid w:val="00416FD5"/>
    <w:rsid w:val="00417772"/>
    <w:rsid w:val="00417D98"/>
    <w:rsid w:val="00420E37"/>
    <w:rsid w:val="00420E6A"/>
    <w:rsid w:val="00425A9E"/>
    <w:rsid w:val="00426D6B"/>
    <w:rsid w:val="004272B8"/>
    <w:rsid w:val="00431E6C"/>
    <w:rsid w:val="00432AB0"/>
    <w:rsid w:val="00433CE7"/>
    <w:rsid w:val="004344C5"/>
    <w:rsid w:val="004353DC"/>
    <w:rsid w:val="00436AF2"/>
    <w:rsid w:val="00437E30"/>
    <w:rsid w:val="00441E6B"/>
    <w:rsid w:val="00444663"/>
    <w:rsid w:val="00447855"/>
    <w:rsid w:val="004507F8"/>
    <w:rsid w:val="00452003"/>
    <w:rsid w:val="00452738"/>
    <w:rsid w:val="00452F4B"/>
    <w:rsid w:val="00454169"/>
    <w:rsid w:val="00454EBB"/>
    <w:rsid w:val="004551F1"/>
    <w:rsid w:val="00456091"/>
    <w:rsid w:val="0045794D"/>
    <w:rsid w:val="00457CF4"/>
    <w:rsid w:val="00462F3E"/>
    <w:rsid w:val="0046432A"/>
    <w:rsid w:val="00465AAD"/>
    <w:rsid w:val="00465DD7"/>
    <w:rsid w:val="00466321"/>
    <w:rsid w:val="004678C3"/>
    <w:rsid w:val="0047311D"/>
    <w:rsid w:val="004747A9"/>
    <w:rsid w:val="00477BF9"/>
    <w:rsid w:val="00480870"/>
    <w:rsid w:val="00481DAF"/>
    <w:rsid w:val="004820FE"/>
    <w:rsid w:val="004842B8"/>
    <w:rsid w:val="00484B9B"/>
    <w:rsid w:val="004855F6"/>
    <w:rsid w:val="00486031"/>
    <w:rsid w:val="0048661E"/>
    <w:rsid w:val="00486813"/>
    <w:rsid w:val="00486BCE"/>
    <w:rsid w:val="00487D0E"/>
    <w:rsid w:val="00493430"/>
    <w:rsid w:val="004944C1"/>
    <w:rsid w:val="004944E2"/>
    <w:rsid w:val="00494670"/>
    <w:rsid w:val="00495E17"/>
    <w:rsid w:val="004974EC"/>
    <w:rsid w:val="00497A63"/>
    <w:rsid w:val="004A1249"/>
    <w:rsid w:val="004A163B"/>
    <w:rsid w:val="004A2760"/>
    <w:rsid w:val="004A3823"/>
    <w:rsid w:val="004A4A1E"/>
    <w:rsid w:val="004A7E9B"/>
    <w:rsid w:val="004B008E"/>
    <w:rsid w:val="004B1E2B"/>
    <w:rsid w:val="004B2F31"/>
    <w:rsid w:val="004B323E"/>
    <w:rsid w:val="004B64EB"/>
    <w:rsid w:val="004B7944"/>
    <w:rsid w:val="004C0DC2"/>
    <w:rsid w:val="004C55CB"/>
    <w:rsid w:val="004C5730"/>
    <w:rsid w:val="004C7A36"/>
    <w:rsid w:val="004D00FF"/>
    <w:rsid w:val="004D01B7"/>
    <w:rsid w:val="004D1186"/>
    <w:rsid w:val="004D4143"/>
    <w:rsid w:val="004D4835"/>
    <w:rsid w:val="004D5C09"/>
    <w:rsid w:val="004E02F2"/>
    <w:rsid w:val="004E38A1"/>
    <w:rsid w:val="004E6946"/>
    <w:rsid w:val="004E6D79"/>
    <w:rsid w:val="004E7248"/>
    <w:rsid w:val="004E72E5"/>
    <w:rsid w:val="004F0694"/>
    <w:rsid w:val="004F1166"/>
    <w:rsid w:val="004F1AD8"/>
    <w:rsid w:val="004F2D23"/>
    <w:rsid w:val="004F336B"/>
    <w:rsid w:val="004F3B5E"/>
    <w:rsid w:val="004F3CB3"/>
    <w:rsid w:val="004F6767"/>
    <w:rsid w:val="004F79E2"/>
    <w:rsid w:val="005017DC"/>
    <w:rsid w:val="00502A96"/>
    <w:rsid w:val="0050308B"/>
    <w:rsid w:val="005039C4"/>
    <w:rsid w:val="005039CB"/>
    <w:rsid w:val="005048E2"/>
    <w:rsid w:val="0050558F"/>
    <w:rsid w:val="00505F2D"/>
    <w:rsid w:val="00506286"/>
    <w:rsid w:val="005102BC"/>
    <w:rsid w:val="0051039A"/>
    <w:rsid w:val="00510813"/>
    <w:rsid w:val="00511990"/>
    <w:rsid w:val="00511DE0"/>
    <w:rsid w:val="005123A4"/>
    <w:rsid w:val="005143F1"/>
    <w:rsid w:val="005145B2"/>
    <w:rsid w:val="00514870"/>
    <w:rsid w:val="00514B9B"/>
    <w:rsid w:val="005150F3"/>
    <w:rsid w:val="00515E9A"/>
    <w:rsid w:val="005171E8"/>
    <w:rsid w:val="00517F02"/>
    <w:rsid w:val="00520AA5"/>
    <w:rsid w:val="00522880"/>
    <w:rsid w:val="005230EF"/>
    <w:rsid w:val="00524303"/>
    <w:rsid w:val="005250E9"/>
    <w:rsid w:val="005258A2"/>
    <w:rsid w:val="00526D97"/>
    <w:rsid w:val="00531146"/>
    <w:rsid w:val="0053125C"/>
    <w:rsid w:val="00531793"/>
    <w:rsid w:val="005329B5"/>
    <w:rsid w:val="005330FF"/>
    <w:rsid w:val="00533C59"/>
    <w:rsid w:val="00534351"/>
    <w:rsid w:val="00535FEE"/>
    <w:rsid w:val="0053720F"/>
    <w:rsid w:val="005401AE"/>
    <w:rsid w:val="00540888"/>
    <w:rsid w:val="005415C9"/>
    <w:rsid w:val="005415E8"/>
    <w:rsid w:val="005427E3"/>
    <w:rsid w:val="00542C0C"/>
    <w:rsid w:val="00542E07"/>
    <w:rsid w:val="00543085"/>
    <w:rsid w:val="0054496F"/>
    <w:rsid w:val="00544D96"/>
    <w:rsid w:val="00544DE5"/>
    <w:rsid w:val="00545424"/>
    <w:rsid w:val="0054736B"/>
    <w:rsid w:val="00550229"/>
    <w:rsid w:val="005510CE"/>
    <w:rsid w:val="00554A7B"/>
    <w:rsid w:val="0055572C"/>
    <w:rsid w:val="00560890"/>
    <w:rsid w:val="0056106A"/>
    <w:rsid w:val="00561FDF"/>
    <w:rsid w:val="00564A80"/>
    <w:rsid w:val="00564C1B"/>
    <w:rsid w:val="00565429"/>
    <w:rsid w:val="0056643C"/>
    <w:rsid w:val="005708DA"/>
    <w:rsid w:val="005715C8"/>
    <w:rsid w:val="005720AE"/>
    <w:rsid w:val="00573521"/>
    <w:rsid w:val="00573A34"/>
    <w:rsid w:val="00574DC9"/>
    <w:rsid w:val="00575D8D"/>
    <w:rsid w:val="005806A1"/>
    <w:rsid w:val="005806D6"/>
    <w:rsid w:val="00582153"/>
    <w:rsid w:val="005839FA"/>
    <w:rsid w:val="00587B5B"/>
    <w:rsid w:val="005904A1"/>
    <w:rsid w:val="00592D7B"/>
    <w:rsid w:val="005931AD"/>
    <w:rsid w:val="0059433C"/>
    <w:rsid w:val="005944A1"/>
    <w:rsid w:val="00594D77"/>
    <w:rsid w:val="005969E4"/>
    <w:rsid w:val="005972C0"/>
    <w:rsid w:val="005A06B7"/>
    <w:rsid w:val="005A1759"/>
    <w:rsid w:val="005A2BEE"/>
    <w:rsid w:val="005A32CE"/>
    <w:rsid w:val="005A47B4"/>
    <w:rsid w:val="005A4FBE"/>
    <w:rsid w:val="005A5E7E"/>
    <w:rsid w:val="005A655D"/>
    <w:rsid w:val="005A68A7"/>
    <w:rsid w:val="005B093B"/>
    <w:rsid w:val="005B217B"/>
    <w:rsid w:val="005B4B48"/>
    <w:rsid w:val="005B61B8"/>
    <w:rsid w:val="005C03EA"/>
    <w:rsid w:val="005C1CC0"/>
    <w:rsid w:val="005C323C"/>
    <w:rsid w:val="005C7439"/>
    <w:rsid w:val="005C74E2"/>
    <w:rsid w:val="005C7D3D"/>
    <w:rsid w:val="005D0531"/>
    <w:rsid w:val="005D0C9B"/>
    <w:rsid w:val="005D1129"/>
    <w:rsid w:val="005D1254"/>
    <w:rsid w:val="005D2E6B"/>
    <w:rsid w:val="005D36AB"/>
    <w:rsid w:val="005D4080"/>
    <w:rsid w:val="005D75B7"/>
    <w:rsid w:val="005E273A"/>
    <w:rsid w:val="005E2783"/>
    <w:rsid w:val="005E451A"/>
    <w:rsid w:val="005E4529"/>
    <w:rsid w:val="005E462E"/>
    <w:rsid w:val="005F0728"/>
    <w:rsid w:val="005F0958"/>
    <w:rsid w:val="005F1329"/>
    <w:rsid w:val="005F1E94"/>
    <w:rsid w:val="005F39CF"/>
    <w:rsid w:val="005F46EB"/>
    <w:rsid w:val="005F7930"/>
    <w:rsid w:val="005F7952"/>
    <w:rsid w:val="00600A1E"/>
    <w:rsid w:val="00602586"/>
    <w:rsid w:val="00602676"/>
    <w:rsid w:val="006028F8"/>
    <w:rsid w:val="00602CA2"/>
    <w:rsid w:val="00603F4F"/>
    <w:rsid w:val="00604F88"/>
    <w:rsid w:val="0060532B"/>
    <w:rsid w:val="00607EB7"/>
    <w:rsid w:val="00610990"/>
    <w:rsid w:val="0061176F"/>
    <w:rsid w:val="00612216"/>
    <w:rsid w:val="00614A8A"/>
    <w:rsid w:val="006164E8"/>
    <w:rsid w:val="00616AD3"/>
    <w:rsid w:val="00617BF3"/>
    <w:rsid w:val="00617CC3"/>
    <w:rsid w:val="00623862"/>
    <w:rsid w:val="00625B59"/>
    <w:rsid w:val="00626750"/>
    <w:rsid w:val="006268DB"/>
    <w:rsid w:val="00627F2D"/>
    <w:rsid w:val="00631811"/>
    <w:rsid w:val="00631846"/>
    <w:rsid w:val="00632DC5"/>
    <w:rsid w:val="006377A6"/>
    <w:rsid w:val="00637A3D"/>
    <w:rsid w:val="00640042"/>
    <w:rsid w:val="006410EB"/>
    <w:rsid w:val="006411EF"/>
    <w:rsid w:val="00642206"/>
    <w:rsid w:val="00642C92"/>
    <w:rsid w:val="0064325D"/>
    <w:rsid w:val="0064675A"/>
    <w:rsid w:val="00646D75"/>
    <w:rsid w:val="00651ADE"/>
    <w:rsid w:val="006543B8"/>
    <w:rsid w:val="0065585E"/>
    <w:rsid w:val="00655941"/>
    <w:rsid w:val="00660405"/>
    <w:rsid w:val="00660AA0"/>
    <w:rsid w:val="006612A0"/>
    <w:rsid w:val="00666489"/>
    <w:rsid w:val="00666A31"/>
    <w:rsid w:val="00667E47"/>
    <w:rsid w:val="0067129C"/>
    <w:rsid w:val="006713BE"/>
    <w:rsid w:val="006741BE"/>
    <w:rsid w:val="006748B8"/>
    <w:rsid w:val="0067544E"/>
    <w:rsid w:val="00675BBB"/>
    <w:rsid w:val="006775C3"/>
    <w:rsid w:val="00677B16"/>
    <w:rsid w:val="006801CF"/>
    <w:rsid w:val="0068058D"/>
    <w:rsid w:val="00680653"/>
    <w:rsid w:val="00682738"/>
    <w:rsid w:val="006827BC"/>
    <w:rsid w:val="006828A3"/>
    <w:rsid w:val="00682EBD"/>
    <w:rsid w:val="0068386E"/>
    <w:rsid w:val="00683CC1"/>
    <w:rsid w:val="00683EEC"/>
    <w:rsid w:val="0069290A"/>
    <w:rsid w:val="00692B8C"/>
    <w:rsid w:val="00695449"/>
    <w:rsid w:val="00696C94"/>
    <w:rsid w:val="0069775A"/>
    <w:rsid w:val="00697813"/>
    <w:rsid w:val="006A1181"/>
    <w:rsid w:val="006A2541"/>
    <w:rsid w:val="006A37FE"/>
    <w:rsid w:val="006A3EE8"/>
    <w:rsid w:val="006A4665"/>
    <w:rsid w:val="006A4711"/>
    <w:rsid w:val="006A6166"/>
    <w:rsid w:val="006A6A6F"/>
    <w:rsid w:val="006A72BF"/>
    <w:rsid w:val="006B03F2"/>
    <w:rsid w:val="006B37DC"/>
    <w:rsid w:val="006B4D22"/>
    <w:rsid w:val="006B4F68"/>
    <w:rsid w:val="006B7256"/>
    <w:rsid w:val="006B754F"/>
    <w:rsid w:val="006B7B11"/>
    <w:rsid w:val="006B7E8A"/>
    <w:rsid w:val="006B7F72"/>
    <w:rsid w:val="006C0592"/>
    <w:rsid w:val="006C1BC6"/>
    <w:rsid w:val="006C272E"/>
    <w:rsid w:val="006C34FE"/>
    <w:rsid w:val="006C5479"/>
    <w:rsid w:val="006C58AC"/>
    <w:rsid w:val="006D0C32"/>
    <w:rsid w:val="006D13B5"/>
    <w:rsid w:val="006D21AC"/>
    <w:rsid w:val="006D224D"/>
    <w:rsid w:val="006D233C"/>
    <w:rsid w:val="006D292B"/>
    <w:rsid w:val="006D424A"/>
    <w:rsid w:val="006D4290"/>
    <w:rsid w:val="006D485A"/>
    <w:rsid w:val="006D617A"/>
    <w:rsid w:val="006D6847"/>
    <w:rsid w:val="006E12A8"/>
    <w:rsid w:val="006E12FF"/>
    <w:rsid w:val="006E1F26"/>
    <w:rsid w:val="006E34BB"/>
    <w:rsid w:val="006E607E"/>
    <w:rsid w:val="006E6A17"/>
    <w:rsid w:val="006E6A67"/>
    <w:rsid w:val="006F6FF3"/>
    <w:rsid w:val="006F7FB4"/>
    <w:rsid w:val="007006FE"/>
    <w:rsid w:val="00701EB7"/>
    <w:rsid w:val="00702217"/>
    <w:rsid w:val="007054EC"/>
    <w:rsid w:val="00706569"/>
    <w:rsid w:val="00706C5D"/>
    <w:rsid w:val="00706CDB"/>
    <w:rsid w:val="00711E64"/>
    <w:rsid w:val="00712123"/>
    <w:rsid w:val="00713BFE"/>
    <w:rsid w:val="00714388"/>
    <w:rsid w:val="00714B62"/>
    <w:rsid w:val="0071500D"/>
    <w:rsid w:val="00720AD9"/>
    <w:rsid w:val="00720E20"/>
    <w:rsid w:val="00722E10"/>
    <w:rsid w:val="00724152"/>
    <w:rsid w:val="0072621A"/>
    <w:rsid w:val="0072777C"/>
    <w:rsid w:val="00730DF2"/>
    <w:rsid w:val="00732922"/>
    <w:rsid w:val="00735639"/>
    <w:rsid w:val="00737F35"/>
    <w:rsid w:val="00740D02"/>
    <w:rsid w:val="0074270D"/>
    <w:rsid w:val="00745402"/>
    <w:rsid w:val="0074558D"/>
    <w:rsid w:val="00745983"/>
    <w:rsid w:val="0074744B"/>
    <w:rsid w:val="00747C3F"/>
    <w:rsid w:val="00747F6C"/>
    <w:rsid w:val="0075162E"/>
    <w:rsid w:val="00752B66"/>
    <w:rsid w:val="00754034"/>
    <w:rsid w:val="00756556"/>
    <w:rsid w:val="007618C4"/>
    <w:rsid w:val="00761B8B"/>
    <w:rsid w:val="00763B59"/>
    <w:rsid w:val="00764A23"/>
    <w:rsid w:val="007660F6"/>
    <w:rsid w:val="00767980"/>
    <w:rsid w:val="0077071F"/>
    <w:rsid w:val="007707C9"/>
    <w:rsid w:val="00770A1C"/>
    <w:rsid w:val="00770B19"/>
    <w:rsid w:val="00770D0F"/>
    <w:rsid w:val="00772162"/>
    <w:rsid w:val="00772BF8"/>
    <w:rsid w:val="007731BF"/>
    <w:rsid w:val="00773344"/>
    <w:rsid w:val="0077463F"/>
    <w:rsid w:val="0077599B"/>
    <w:rsid w:val="00776B5E"/>
    <w:rsid w:val="007804F9"/>
    <w:rsid w:val="0078092E"/>
    <w:rsid w:val="00780CF2"/>
    <w:rsid w:val="007817F5"/>
    <w:rsid w:val="00782F6D"/>
    <w:rsid w:val="00783413"/>
    <w:rsid w:val="007836EA"/>
    <w:rsid w:val="00784CDA"/>
    <w:rsid w:val="00785686"/>
    <w:rsid w:val="00787C03"/>
    <w:rsid w:val="007906C4"/>
    <w:rsid w:val="00791360"/>
    <w:rsid w:val="00793F28"/>
    <w:rsid w:val="007940EA"/>
    <w:rsid w:val="00795924"/>
    <w:rsid w:val="007967E8"/>
    <w:rsid w:val="007A16F9"/>
    <w:rsid w:val="007A2170"/>
    <w:rsid w:val="007A22BF"/>
    <w:rsid w:val="007A3323"/>
    <w:rsid w:val="007A3C15"/>
    <w:rsid w:val="007A4348"/>
    <w:rsid w:val="007A5C68"/>
    <w:rsid w:val="007A7343"/>
    <w:rsid w:val="007A7BA2"/>
    <w:rsid w:val="007B0D69"/>
    <w:rsid w:val="007B27BA"/>
    <w:rsid w:val="007B299B"/>
    <w:rsid w:val="007B2A42"/>
    <w:rsid w:val="007B336B"/>
    <w:rsid w:val="007B35FB"/>
    <w:rsid w:val="007B4136"/>
    <w:rsid w:val="007B4447"/>
    <w:rsid w:val="007B5AE1"/>
    <w:rsid w:val="007B72B8"/>
    <w:rsid w:val="007B7A58"/>
    <w:rsid w:val="007C0A11"/>
    <w:rsid w:val="007C21B5"/>
    <w:rsid w:val="007C5D8F"/>
    <w:rsid w:val="007C60EA"/>
    <w:rsid w:val="007C7D00"/>
    <w:rsid w:val="007D244F"/>
    <w:rsid w:val="007D3FB0"/>
    <w:rsid w:val="007D4A10"/>
    <w:rsid w:val="007D5D0C"/>
    <w:rsid w:val="007D6FC5"/>
    <w:rsid w:val="007E0186"/>
    <w:rsid w:val="007E227A"/>
    <w:rsid w:val="007E2367"/>
    <w:rsid w:val="007E2A1E"/>
    <w:rsid w:val="007E3F7B"/>
    <w:rsid w:val="007E4BC4"/>
    <w:rsid w:val="007E4BD2"/>
    <w:rsid w:val="007E57CB"/>
    <w:rsid w:val="007E671C"/>
    <w:rsid w:val="007E6A70"/>
    <w:rsid w:val="007F1B51"/>
    <w:rsid w:val="007F4193"/>
    <w:rsid w:val="007F769A"/>
    <w:rsid w:val="007F7D6B"/>
    <w:rsid w:val="00801393"/>
    <w:rsid w:val="00801A3B"/>
    <w:rsid w:val="008022D9"/>
    <w:rsid w:val="00802F88"/>
    <w:rsid w:val="00803715"/>
    <w:rsid w:val="008043C4"/>
    <w:rsid w:val="00804F5D"/>
    <w:rsid w:val="00807815"/>
    <w:rsid w:val="0081293E"/>
    <w:rsid w:val="00814D16"/>
    <w:rsid w:val="00815465"/>
    <w:rsid w:val="00815D39"/>
    <w:rsid w:val="00816D3B"/>
    <w:rsid w:val="00817E9A"/>
    <w:rsid w:val="00820C31"/>
    <w:rsid w:val="00822205"/>
    <w:rsid w:val="0082430F"/>
    <w:rsid w:val="0082482B"/>
    <w:rsid w:val="00825D49"/>
    <w:rsid w:val="00830400"/>
    <w:rsid w:val="008306BD"/>
    <w:rsid w:val="00831A80"/>
    <w:rsid w:val="00833743"/>
    <w:rsid w:val="008340A4"/>
    <w:rsid w:val="008341C2"/>
    <w:rsid w:val="00834BD8"/>
    <w:rsid w:val="00836E98"/>
    <w:rsid w:val="00836F6C"/>
    <w:rsid w:val="0084243D"/>
    <w:rsid w:val="00842C55"/>
    <w:rsid w:val="008431FF"/>
    <w:rsid w:val="0084431F"/>
    <w:rsid w:val="00844440"/>
    <w:rsid w:val="0084557D"/>
    <w:rsid w:val="00847CD7"/>
    <w:rsid w:val="0085107B"/>
    <w:rsid w:val="008530B8"/>
    <w:rsid w:val="00853815"/>
    <w:rsid w:val="0085614C"/>
    <w:rsid w:val="00862D2C"/>
    <w:rsid w:val="008649FE"/>
    <w:rsid w:val="00864B5F"/>
    <w:rsid w:val="008669D6"/>
    <w:rsid w:val="00866C99"/>
    <w:rsid w:val="00870D60"/>
    <w:rsid w:val="0087135F"/>
    <w:rsid w:val="008716DC"/>
    <w:rsid w:val="00871C28"/>
    <w:rsid w:val="00871FAB"/>
    <w:rsid w:val="00872010"/>
    <w:rsid w:val="00872871"/>
    <w:rsid w:val="00872AC5"/>
    <w:rsid w:val="00872D94"/>
    <w:rsid w:val="008731EF"/>
    <w:rsid w:val="00873B85"/>
    <w:rsid w:val="00874599"/>
    <w:rsid w:val="00874FFD"/>
    <w:rsid w:val="0087541E"/>
    <w:rsid w:val="008762D4"/>
    <w:rsid w:val="00877383"/>
    <w:rsid w:val="00880364"/>
    <w:rsid w:val="008812ED"/>
    <w:rsid w:val="008819FB"/>
    <w:rsid w:val="00881A51"/>
    <w:rsid w:val="00881A83"/>
    <w:rsid w:val="008834D1"/>
    <w:rsid w:val="0088477A"/>
    <w:rsid w:val="00890780"/>
    <w:rsid w:val="00891592"/>
    <w:rsid w:val="00891D90"/>
    <w:rsid w:val="00891E9E"/>
    <w:rsid w:val="0089569E"/>
    <w:rsid w:val="0089644C"/>
    <w:rsid w:val="00896523"/>
    <w:rsid w:val="008A123A"/>
    <w:rsid w:val="008A23C3"/>
    <w:rsid w:val="008A2F68"/>
    <w:rsid w:val="008A3B69"/>
    <w:rsid w:val="008A56FD"/>
    <w:rsid w:val="008A5DD6"/>
    <w:rsid w:val="008A6290"/>
    <w:rsid w:val="008A76B6"/>
    <w:rsid w:val="008B0E01"/>
    <w:rsid w:val="008B0E50"/>
    <w:rsid w:val="008B445D"/>
    <w:rsid w:val="008B4C82"/>
    <w:rsid w:val="008B4FA6"/>
    <w:rsid w:val="008B5282"/>
    <w:rsid w:val="008B59BB"/>
    <w:rsid w:val="008B649C"/>
    <w:rsid w:val="008B754F"/>
    <w:rsid w:val="008B7C17"/>
    <w:rsid w:val="008C0C6D"/>
    <w:rsid w:val="008C124F"/>
    <w:rsid w:val="008C1CF4"/>
    <w:rsid w:val="008C2D01"/>
    <w:rsid w:val="008C3F0D"/>
    <w:rsid w:val="008C40E6"/>
    <w:rsid w:val="008C583E"/>
    <w:rsid w:val="008C5A6D"/>
    <w:rsid w:val="008D04AE"/>
    <w:rsid w:val="008D08E2"/>
    <w:rsid w:val="008D0F7A"/>
    <w:rsid w:val="008D143E"/>
    <w:rsid w:val="008D2EC0"/>
    <w:rsid w:val="008D49E2"/>
    <w:rsid w:val="008D68E4"/>
    <w:rsid w:val="008D7B1D"/>
    <w:rsid w:val="008E00FB"/>
    <w:rsid w:val="008E0506"/>
    <w:rsid w:val="008E0695"/>
    <w:rsid w:val="008E0AAC"/>
    <w:rsid w:val="008E0C36"/>
    <w:rsid w:val="008E0CFF"/>
    <w:rsid w:val="008E1972"/>
    <w:rsid w:val="008E1A0E"/>
    <w:rsid w:val="008E3153"/>
    <w:rsid w:val="008E3347"/>
    <w:rsid w:val="008E3F9D"/>
    <w:rsid w:val="008E3FAA"/>
    <w:rsid w:val="008E417D"/>
    <w:rsid w:val="008E4213"/>
    <w:rsid w:val="008E4DA1"/>
    <w:rsid w:val="008E5D6B"/>
    <w:rsid w:val="008E6158"/>
    <w:rsid w:val="008E6C21"/>
    <w:rsid w:val="008E76F0"/>
    <w:rsid w:val="008E7DED"/>
    <w:rsid w:val="008F15FE"/>
    <w:rsid w:val="008F2D29"/>
    <w:rsid w:val="008F5187"/>
    <w:rsid w:val="008F5E36"/>
    <w:rsid w:val="008F60D8"/>
    <w:rsid w:val="009010A4"/>
    <w:rsid w:val="0090256A"/>
    <w:rsid w:val="00902727"/>
    <w:rsid w:val="00902A9F"/>
    <w:rsid w:val="0090312B"/>
    <w:rsid w:val="00903B69"/>
    <w:rsid w:val="0090545D"/>
    <w:rsid w:val="00905980"/>
    <w:rsid w:val="00910CA1"/>
    <w:rsid w:val="0091103E"/>
    <w:rsid w:val="00913A23"/>
    <w:rsid w:val="00914635"/>
    <w:rsid w:val="0091736D"/>
    <w:rsid w:val="009209B3"/>
    <w:rsid w:val="00923BCB"/>
    <w:rsid w:val="009254BD"/>
    <w:rsid w:val="00925F82"/>
    <w:rsid w:val="0092719A"/>
    <w:rsid w:val="0093037A"/>
    <w:rsid w:val="0093350A"/>
    <w:rsid w:val="0093358F"/>
    <w:rsid w:val="009351B4"/>
    <w:rsid w:val="00935330"/>
    <w:rsid w:val="00935A1C"/>
    <w:rsid w:val="00937108"/>
    <w:rsid w:val="00937DF7"/>
    <w:rsid w:val="0094154D"/>
    <w:rsid w:val="00944F86"/>
    <w:rsid w:val="00945A69"/>
    <w:rsid w:val="009461AF"/>
    <w:rsid w:val="00950B4E"/>
    <w:rsid w:val="0095155F"/>
    <w:rsid w:val="00953DE7"/>
    <w:rsid w:val="00954429"/>
    <w:rsid w:val="0095548F"/>
    <w:rsid w:val="009556A7"/>
    <w:rsid w:val="009563CE"/>
    <w:rsid w:val="00956FE7"/>
    <w:rsid w:val="00962D60"/>
    <w:rsid w:val="00963A09"/>
    <w:rsid w:val="00965542"/>
    <w:rsid w:val="00967602"/>
    <w:rsid w:val="00971896"/>
    <w:rsid w:val="009746F3"/>
    <w:rsid w:val="00976328"/>
    <w:rsid w:val="0097680D"/>
    <w:rsid w:val="00976DF6"/>
    <w:rsid w:val="00980BEB"/>
    <w:rsid w:val="009819D2"/>
    <w:rsid w:val="00982438"/>
    <w:rsid w:val="0098343E"/>
    <w:rsid w:val="00983758"/>
    <w:rsid w:val="00983AF7"/>
    <w:rsid w:val="0098404C"/>
    <w:rsid w:val="00985283"/>
    <w:rsid w:val="00985E51"/>
    <w:rsid w:val="00994107"/>
    <w:rsid w:val="009952F9"/>
    <w:rsid w:val="00995992"/>
    <w:rsid w:val="0099640C"/>
    <w:rsid w:val="0099648F"/>
    <w:rsid w:val="0099652C"/>
    <w:rsid w:val="00996676"/>
    <w:rsid w:val="009971EC"/>
    <w:rsid w:val="009A03E5"/>
    <w:rsid w:val="009A076D"/>
    <w:rsid w:val="009A0F3B"/>
    <w:rsid w:val="009A1BB4"/>
    <w:rsid w:val="009A2628"/>
    <w:rsid w:val="009A27E6"/>
    <w:rsid w:val="009A3200"/>
    <w:rsid w:val="009A67AE"/>
    <w:rsid w:val="009A77E5"/>
    <w:rsid w:val="009A7A46"/>
    <w:rsid w:val="009B04AF"/>
    <w:rsid w:val="009B0897"/>
    <w:rsid w:val="009B1898"/>
    <w:rsid w:val="009B2207"/>
    <w:rsid w:val="009B2BC7"/>
    <w:rsid w:val="009B431E"/>
    <w:rsid w:val="009B4661"/>
    <w:rsid w:val="009B476B"/>
    <w:rsid w:val="009B5124"/>
    <w:rsid w:val="009B6813"/>
    <w:rsid w:val="009B69FC"/>
    <w:rsid w:val="009B7BD9"/>
    <w:rsid w:val="009C005D"/>
    <w:rsid w:val="009C1342"/>
    <w:rsid w:val="009C5ACA"/>
    <w:rsid w:val="009C7DD5"/>
    <w:rsid w:val="009D187A"/>
    <w:rsid w:val="009D22A1"/>
    <w:rsid w:val="009D5434"/>
    <w:rsid w:val="009D5889"/>
    <w:rsid w:val="009D742B"/>
    <w:rsid w:val="009D7D11"/>
    <w:rsid w:val="009E0C28"/>
    <w:rsid w:val="009E1042"/>
    <w:rsid w:val="009E1E19"/>
    <w:rsid w:val="009E1E87"/>
    <w:rsid w:val="009E227D"/>
    <w:rsid w:val="009E2CCE"/>
    <w:rsid w:val="009E40AB"/>
    <w:rsid w:val="009E5019"/>
    <w:rsid w:val="009E5AB3"/>
    <w:rsid w:val="009E5DB5"/>
    <w:rsid w:val="009F0889"/>
    <w:rsid w:val="009F179C"/>
    <w:rsid w:val="009F230C"/>
    <w:rsid w:val="009F2976"/>
    <w:rsid w:val="00A01C71"/>
    <w:rsid w:val="00A02E52"/>
    <w:rsid w:val="00A04F1B"/>
    <w:rsid w:val="00A0501B"/>
    <w:rsid w:val="00A071CB"/>
    <w:rsid w:val="00A073DC"/>
    <w:rsid w:val="00A107B6"/>
    <w:rsid w:val="00A10B64"/>
    <w:rsid w:val="00A11737"/>
    <w:rsid w:val="00A11B5E"/>
    <w:rsid w:val="00A12417"/>
    <w:rsid w:val="00A130CA"/>
    <w:rsid w:val="00A1346E"/>
    <w:rsid w:val="00A14947"/>
    <w:rsid w:val="00A17350"/>
    <w:rsid w:val="00A222D0"/>
    <w:rsid w:val="00A22905"/>
    <w:rsid w:val="00A25750"/>
    <w:rsid w:val="00A25EE4"/>
    <w:rsid w:val="00A25FB5"/>
    <w:rsid w:val="00A31694"/>
    <w:rsid w:val="00A32A83"/>
    <w:rsid w:val="00A335EC"/>
    <w:rsid w:val="00A368DB"/>
    <w:rsid w:val="00A3749A"/>
    <w:rsid w:val="00A40B99"/>
    <w:rsid w:val="00A4156B"/>
    <w:rsid w:val="00A423AA"/>
    <w:rsid w:val="00A42A8D"/>
    <w:rsid w:val="00A43175"/>
    <w:rsid w:val="00A431A5"/>
    <w:rsid w:val="00A43DE9"/>
    <w:rsid w:val="00A4610B"/>
    <w:rsid w:val="00A50835"/>
    <w:rsid w:val="00A516F3"/>
    <w:rsid w:val="00A53EC6"/>
    <w:rsid w:val="00A55C0F"/>
    <w:rsid w:val="00A560D6"/>
    <w:rsid w:val="00A56F0A"/>
    <w:rsid w:val="00A573B1"/>
    <w:rsid w:val="00A57EC4"/>
    <w:rsid w:val="00A60ABA"/>
    <w:rsid w:val="00A62CF8"/>
    <w:rsid w:val="00A6454E"/>
    <w:rsid w:val="00A645E7"/>
    <w:rsid w:val="00A64969"/>
    <w:rsid w:val="00A66D0B"/>
    <w:rsid w:val="00A67B06"/>
    <w:rsid w:val="00A71993"/>
    <w:rsid w:val="00A72448"/>
    <w:rsid w:val="00A73744"/>
    <w:rsid w:val="00A74079"/>
    <w:rsid w:val="00A75752"/>
    <w:rsid w:val="00A777E1"/>
    <w:rsid w:val="00A8064C"/>
    <w:rsid w:val="00A8076A"/>
    <w:rsid w:val="00A838D9"/>
    <w:rsid w:val="00A83F3B"/>
    <w:rsid w:val="00A8713F"/>
    <w:rsid w:val="00A90BA1"/>
    <w:rsid w:val="00A92009"/>
    <w:rsid w:val="00A92E0D"/>
    <w:rsid w:val="00A95A53"/>
    <w:rsid w:val="00A95B63"/>
    <w:rsid w:val="00A960F4"/>
    <w:rsid w:val="00A97A9A"/>
    <w:rsid w:val="00AA0671"/>
    <w:rsid w:val="00AA0E32"/>
    <w:rsid w:val="00AA12EF"/>
    <w:rsid w:val="00AA2531"/>
    <w:rsid w:val="00AA3240"/>
    <w:rsid w:val="00AA5C04"/>
    <w:rsid w:val="00AA76DA"/>
    <w:rsid w:val="00AB1A49"/>
    <w:rsid w:val="00AB1E09"/>
    <w:rsid w:val="00AB2EB9"/>
    <w:rsid w:val="00AB5045"/>
    <w:rsid w:val="00AB5330"/>
    <w:rsid w:val="00AB5B17"/>
    <w:rsid w:val="00AB6163"/>
    <w:rsid w:val="00AB7747"/>
    <w:rsid w:val="00AB7F34"/>
    <w:rsid w:val="00AC08AC"/>
    <w:rsid w:val="00AC0F12"/>
    <w:rsid w:val="00AC14CE"/>
    <w:rsid w:val="00AC1E71"/>
    <w:rsid w:val="00AC24ED"/>
    <w:rsid w:val="00AC264C"/>
    <w:rsid w:val="00AC2A56"/>
    <w:rsid w:val="00AC3DEF"/>
    <w:rsid w:val="00AC407D"/>
    <w:rsid w:val="00AC4A37"/>
    <w:rsid w:val="00AC6E97"/>
    <w:rsid w:val="00AC7EAA"/>
    <w:rsid w:val="00AD055E"/>
    <w:rsid w:val="00AD3415"/>
    <w:rsid w:val="00AD47A7"/>
    <w:rsid w:val="00AD51E9"/>
    <w:rsid w:val="00AD5E95"/>
    <w:rsid w:val="00AD63F7"/>
    <w:rsid w:val="00AD6F64"/>
    <w:rsid w:val="00AD7156"/>
    <w:rsid w:val="00AE1B4F"/>
    <w:rsid w:val="00AE525C"/>
    <w:rsid w:val="00AE52B8"/>
    <w:rsid w:val="00AE76E1"/>
    <w:rsid w:val="00AF0CBF"/>
    <w:rsid w:val="00AF257F"/>
    <w:rsid w:val="00AF33CF"/>
    <w:rsid w:val="00AF443F"/>
    <w:rsid w:val="00AF4D50"/>
    <w:rsid w:val="00AF6179"/>
    <w:rsid w:val="00AF65D8"/>
    <w:rsid w:val="00B0069E"/>
    <w:rsid w:val="00B0199D"/>
    <w:rsid w:val="00B019F0"/>
    <w:rsid w:val="00B02BB7"/>
    <w:rsid w:val="00B02F48"/>
    <w:rsid w:val="00B04B14"/>
    <w:rsid w:val="00B0535C"/>
    <w:rsid w:val="00B1176D"/>
    <w:rsid w:val="00B1295A"/>
    <w:rsid w:val="00B136CF"/>
    <w:rsid w:val="00B16117"/>
    <w:rsid w:val="00B1673C"/>
    <w:rsid w:val="00B17017"/>
    <w:rsid w:val="00B171EA"/>
    <w:rsid w:val="00B17BA8"/>
    <w:rsid w:val="00B20A45"/>
    <w:rsid w:val="00B217D2"/>
    <w:rsid w:val="00B228AE"/>
    <w:rsid w:val="00B22C5C"/>
    <w:rsid w:val="00B24F30"/>
    <w:rsid w:val="00B27AF7"/>
    <w:rsid w:val="00B27E17"/>
    <w:rsid w:val="00B30340"/>
    <w:rsid w:val="00B30D5F"/>
    <w:rsid w:val="00B31ABF"/>
    <w:rsid w:val="00B32F66"/>
    <w:rsid w:val="00B33260"/>
    <w:rsid w:val="00B33BE3"/>
    <w:rsid w:val="00B33F50"/>
    <w:rsid w:val="00B345BF"/>
    <w:rsid w:val="00B36C3B"/>
    <w:rsid w:val="00B42367"/>
    <w:rsid w:val="00B42775"/>
    <w:rsid w:val="00B455C3"/>
    <w:rsid w:val="00B45AAE"/>
    <w:rsid w:val="00B46A7D"/>
    <w:rsid w:val="00B505FF"/>
    <w:rsid w:val="00B5154F"/>
    <w:rsid w:val="00B521A5"/>
    <w:rsid w:val="00B52F69"/>
    <w:rsid w:val="00B53B5D"/>
    <w:rsid w:val="00B56784"/>
    <w:rsid w:val="00B56973"/>
    <w:rsid w:val="00B577F2"/>
    <w:rsid w:val="00B6055E"/>
    <w:rsid w:val="00B60B28"/>
    <w:rsid w:val="00B625A5"/>
    <w:rsid w:val="00B6317D"/>
    <w:rsid w:val="00B6386B"/>
    <w:rsid w:val="00B6445C"/>
    <w:rsid w:val="00B65E64"/>
    <w:rsid w:val="00B66196"/>
    <w:rsid w:val="00B67001"/>
    <w:rsid w:val="00B67BAB"/>
    <w:rsid w:val="00B72204"/>
    <w:rsid w:val="00B7392B"/>
    <w:rsid w:val="00B7568D"/>
    <w:rsid w:val="00B7723F"/>
    <w:rsid w:val="00B80534"/>
    <w:rsid w:val="00B815F2"/>
    <w:rsid w:val="00B837C0"/>
    <w:rsid w:val="00B83FA4"/>
    <w:rsid w:val="00B8433C"/>
    <w:rsid w:val="00B85BE6"/>
    <w:rsid w:val="00B86099"/>
    <w:rsid w:val="00B8635D"/>
    <w:rsid w:val="00B87491"/>
    <w:rsid w:val="00B953A1"/>
    <w:rsid w:val="00B95B6F"/>
    <w:rsid w:val="00B95C78"/>
    <w:rsid w:val="00BA262A"/>
    <w:rsid w:val="00BA29E9"/>
    <w:rsid w:val="00BA419E"/>
    <w:rsid w:val="00BA7142"/>
    <w:rsid w:val="00BA793C"/>
    <w:rsid w:val="00BA794D"/>
    <w:rsid w:val="00BB0979"/>
    <w:rsid w:val="00BB17CF"/>
    <w:rsid w:val="00BB1EEA"/>
    <w:rsid w:val="00BB237C"/>
    <w:rsid w:val="00BB2B71"/>
    <w:rsid w:val="00BB3B54"/>
    <w:rsid w:val="00BB41A3"/>
    <w:rsid w:val="00BB4DBC"/>
    <w:rsid w:val="00BB5EB5"/>
    <w:rsid w:val="00BC16E8"/>
    <w:rsid w:val="00BC32DC"/>
    <w:rsid w:val="00BC35B6"/>
    <w:rsid w:val="00BC4F04"/>
    <w:rsid w:val="00BD1B51"/>
    <w:rsid w:val="00BD4596"/>
    <w:rsid w:val="00BD4EFC"/>
    <w:rsid w:val="00BD7A18"/>
    <w:rsid w:val="00BE033D"/>
    <w:rsid w:val="00BE04E4"/>
    <w:rsid w:val="00BE09D9"/>
    <w:rsid w:val="00BE0DBC"/>
    <w:rsid w:val="00BE0DCE"/>
    <w:rsid w:val="00BE1405"/>
    <w:rsid w:val="00BE1A26"/>
    <w:rsid w:val="00BE1F88"/>
    <w:rsid w:val="00BE308F"/>
    <w:rsid w:val="00BE312D"/>
    <w:rsid w:val="00BE4CDE"/>
    <w:rsid w:val="00BE585D"/>
    <w:rsid w:val="00BE738D"/>
    <w:rsid w:val="00BE766B"/>
    <w:rsid w:val="00BF02F5"/>
    <w:rsid w:val="00BF1C20"/>
    <w:rsid w:val="00BF2AF3"/>
    <w:rsid w:val="00BF348A"/>
    <w:rsid w:val="00BF44A9"/>
    <w:rsid w:val="00BF5524"/>
    <w:rsid w:val="00C03952"/>
    <w:rsid w:val="00C068DF"/>
    <w:rsid w:val="00C10578"/>
    <w:rsid w:val="00C12610"/>
    <w:rsid w:val="00C135BC"/>
    <w:rsid w:val="00C154E6"/>
    <w:rsid w:val="00C15C95"/>
    <w:rsid w:val="00C1603B"/>
    <w:rsid w:val="00C179CB"/>
    <w:rsid w:val="00C21CB8"/>
    <w:rsid w:val="00C23ABC"/>
    <w:rsid w:val="00C2596A"/>
    <w:rsid w:val="00C25B51"/>
    <w:rsid w:val="00C26440"/>
    <w:rsid w:val="00C272BC"/>
    <w:rsid w:val="00C27537"/>
    <w:rsid w:val="00C328FE"/>
    <w:rsid w:val="00C32C7B"/>
    <w:rsid w:val="00C33507"/>
    <w:rsid w:val="00C36A5E"/>
    <w:rsid w:val="00C3719C"/>
    <w:rsid w:val="00C40314"/>
    <w:rsid w:val="00C40973"/>
    <w:rsid w:val="00C4186F"/>
    <w:rsid w:val="00C42C1D"/>
    <w:rsid w:val="00C4409D"/>
    <w:rsid w:val="00C442A4"/>
    <w:rsid w:val="00C44E72"/>
    <w:rsid w:val="00C44FC5"/>
    <w:rsid w:val="00C45A06"/>
    <w:rsid w:val="00C4633B"/>
    <w:rsid w:val="00C477D2"/>
    <w:rsid w:val="00C47E5B"/>
    <w:rsid w:val="00C50370"/>
    <w:rsid w:val="00C50DB2"/>
    <w:rsid w:val="00C51A4C"/>
    <w:rsid w:val="00C51A59"/>
    <w:rsid w:val="00C53136"/>
    <w:rsid w:val="00C55426"/>
    <w:rsid w:val="00C56A86"/>
    <w:rsid w:val="00C56F24"/>
    <w:rsid w:val="00C570EA"/>
    <w:rsid w:val="00C57435"/>
    <w:rsid w:val="00C57461"/>
    <w:rsid w:val="00C57C58"/>
    <w:rsid w:val="00C57F67"/>
    <w:rsid w:val="00C6136C"/>
    <w:rsid w:val="00C61E4B"/>
    <w:rsid w:val="00C63106"/>
    <w:rsid w:val="00C64BFF"/>
    <w:rsid w:val="00C65A89"/>
    <w:rsid w:val="00C6606F"/>
    <w:rsid w:val="00C67E90"/>
    <w:rsid w:val="00C704E9"/>
    <w:rsid w:val="00C71804"/>
    <w:rsid w:val="00C72998"/>
    <w:rsid w:val="00C758A6"/>
    <w:rsid w:val="00C763C9"/>
    <w:rsid w:val="00C7644E"/>
    <w:rsid w:val="00C7672D"/>
    <w:rsid w:val="00C76A08"/>
    <w:rsid w:val="00C775D6"/>
    <w:rsid w:val="00C80057"/>
    <w:rsid w:val="00C8147D"/>
    <w:rsid w:val="00C82232"/>
    <w:rsid w:val="00C82913"/>
    <w:rsid w:val="00C832D8"/>
    <w:rsid w:val="00C8369F"/>
    <w:rsid w:val="00C91518"/>
    <w:rsid w:val="00C91E26"/>
    <w:rsid w:val="00C91E9B"/>
    <w:rsid w:val="00C92FAD"/>
    <w:rsid w:val="00C931EF"/>
    <w:rsid w:val="00C938D2"/>
    <w:rsid w:val="00C93C1A"/>
    <w:rsid w:val="00C943DF"/>
    <w:rsid w:val="00C94911"/>
    <w:rsid w:val="00C9550F"/>
    <w:rsid w:val="00C96C9A"/>
    <w:rsid w:val="00C970EE"/>
    <w:rsid w:val="00C972B1"/>
    <w:rsid w:val="00CA1408"/>
    <w:rsid w:val="00CA154E"/>
    <w:rsid w:val="00CA292E"/>
    <w:rsid w:val="00CA2CCE"/>
    <w:rsid w:val="00CA41A9"/>
    <w:rsid w:val="00CA43FD"/>
    <w:rsid w:val="00CA48C1"/>
    <w:rsid w:val="00CA5551"/>
    <w:rsid w:val="00CA5DB3"/>
    <w:rsid w:val="00CA7EF8"/>
    <w:rsid w:val="00CB0538"/>
    <w:rsid w:val="00CB0C70"/>
    <w:rsid w:val="00CB4036"/>
    <w:rsid w:val="00CB5904"/>
    <w:rsid w:val="00CB62B1"/>
    <w:rsid w:val="00CB6460"/>
    <w:rsid w:val="00CB661C"/>
    <w:rsid w:val="00CC0E6E"/>
    <w:rsid w:val="00CC0E85"/>
    <w:rsid w:val="00CC12CD"/>
    <w:rsid w:val="00CC1C1E"/>
    <w:rsid w:val="00CC1FDF"/>
    <w:rsid w:val="00CC2190"/>
    <w:rsid w:val="00CC489B"/>
    <w:rsid w:val="00CC4AE8"/>
    <w:rsid w:val="00CC6917"/>
    <w:rsid w:val="00CC76BA"/>
    <w:rsid w:val="00CD062F"/>
    <w:rsid w:val="00CD1BB3"/>
    <w:rsid w:val="00CD24CD"/>
    <w:rsid w:val="00CD254B"/>
    <w:rsid w:val="00CD2BCD"/>
    <w:rsid w:val="00CD34BE"/>
    <w:rsid w:val="00CD3A4C"/>
    <w:rsid w:val="00CD444A"/>
    <w:rsid w:val="00CD52D2"/>
    <w:rsid w:val="00CD5484"/>
    <w:rsid w:val="00CE10E9"/>
    <w:rsid w:val="00CE1326"/>
    <w:rsid w:val="00CE15C9"/>
    <w:rsid w:val="00CE16AC"/>
    <w:rsid w:val="00CE1C26"/>
    <w:rsid w:val="00CE20C8"/>
    <w:rsid w:val="00CE26F3"/>
    <w:rsid w:val="00CE2910"/>
    <w:rsid w:val="00CE3F86"/>
    <w:rsid w:val="00CE5393"/>
    <w:rsid w:val="00CF0029"/>
    <w:rsid w:val="00CF2476"/>
    <w:rsid w:val="00CF36BE"/>
    <w:rsid w:val="00CF4890"/>
    <w:rsid w:val="00CF4E76"/>
    <w:rsid w:val="00CF6000"/>
    <w:rsid w:val="00CF79D2"/>
    <w:rsid w:val="00D003F3"/>
    <w:rsid w:val="00D00BDB"/>
    <w:rsid w:val="00D01B54"/>
    <w:rsid w:val="00D02235"/>
    <w:rsid w:val="00D0364F"/>
    <w:rsid w:val="00D045A1"/>
    <w:rsid w:val="00D06834"/>
    <w:rsid w:val="00D073A0"/>
    <w:rsid w:val="00D11A31"/>
    <w:rsid w:val="00D13035"/>
    <w:rsid w:val="00D13898"/>
    <w:rsid w:val="00D17537"/>
    <w:rsid w:val="00D2436F"/>
    <w:rsid w:val="00D2766F"/>
    <w:rsid w:val="00D27DDE"/>
    <w:rsid w:val="00D3047F"/>
    <w:rsid w:val="00D308ED"/>
    <w:rsid w:val="00D327A2"/>
    <w:rsid w:val="00D344C6"/>
    <w:rsid w:val="00D34B68"/>
    <w:rsid w:val="00D35505"/>
    <w:rsid w:val="00D36884"/>
    <w:rsid w:val="00D36934"/>
    <w:rsid w:val="00D36D86"/>
    <w:rsid w:val="00D40359"/>
    <w:rsid w:val="00D40A0A"/>
    <w:rsid w:val="00D40E57"/>
    <w:rsid w:val="00D41BF4"/>
    <w:rsid w:val="00D428AA"/>
    <w:rsid w:val="00D42906"/>
    <w:rsid w:val="00D42B97"/>
    <w:rsid w:val="00D43DA9"/>
    <w:rsid w:val="00D4404B"/>
    <w:rsid w:val="00D44DA6"/>
    <w:rsid w:val="00D45FBE"/>
    <w:rsid w:val="00D50A34"/>
    <w:rsid w:val="00D5108E"/>
    <w:rsid w:val="00D51091"/>
    <w:rsid w:val="00D513AD"/>
    <w:rsid w:val="00D51974"/>
    <w:rsid w:val="00D520EC"/>
    <w:rsid w:val="00D52AFA"/>
    <w:rsid w:val="00D52DE8"/>
    <w:rsid w:val="00D5302A"/>
    <w:rsid w:val="00D53102"/>
    <w:rsid w:val="00D53EFA"/>
    <w:rsid w:val="00D5447F"/>
    <w:rsid w:val="00D5502C"/>
    <w:rsid w:val="00D575D0"/>
    <w:rsid w:val="00D62778"/>
    <w:rsid w:val="00D64723"/>
    <w:rsid w:val="00D64816"/>
    <w:rsid w:val="00D64859"/>
    <w:rsid w:val="00D64C56"/>
    <w:rsid w:val="00D64F31"/>
    <w:rsid w:val="00D657B0"/>
    <w:rsid w:val="00D6581E"/>
    <w:rsid w:val="00D679DE"/>
    <w:rsid w:val="00D67F98"/>
    <w:rsid w:val="00D70898"/>
    <w:rsid w:val="00D71A36"/>
    <w:rsid w:val="00D738D7"/>
    <w:rsid w:val="00D744AE"/>
    <w:rsid w:val="00D74871"/>
    <w:rsid w:val="00D81158"/>
    <w:rsid w:val="00D8151A"/>
    <w:rsid w:val="00D81A64"/>
    <w:rsid w:val="00D842DF"/>
    <w:rsid w:val="00D8704E"/>
    <w:rsid w:val="00D87193"/>
    <w:rsid w:val="00D90605"/>
    <w:rsid w:val="00D9116A"/>
    <w:rsid w:val="00D93996"/>
    <w:rsid w:val="00D93A51"/>
    <w:rsid w:val="00D94A7C"/>
    <w:rsid w:val="00D95572"/>
    <w:rsid w:val="00D956A1"/>
    <w:rsid w:val="00D95896"/>
    <w:rsid w:val="00D97DE3"/>
    <w:rsid w:val="00DA02A8"/>
    <w:rsid w:val="00DA0C4D"/>
    <w:rsid w:val="00DA23F8"/>
    <w:rsid w:val="00DA2D35"/>
    <w:rsid w:val="00DA41BC"/>
    <w:rsid w:val="00DA439A"/>
    <w:rsid w:val="00DB081F"/>
    <w:rsid w:val="00DB238A"/>
    <w:rsid w:val="00DB2983"/>
    <w:rsid w:val="00DB2B9B"/>
    <w:rsid w:val="00DB381D"/>
    <w:rsid w:val="00DB4901"/>
    <w:rsid w:val="00DC035B"/>
    <w:rsid w:val="00DC1257"/>
    <w:rsid w:val="00DC1730"/>
    <w:rsid w:val="00DC2043"/>
    <w:rsid w:val="00DC3DC0"/>
    <w:rsid w:val="00DC4C1E"/>
    <w:rsid w:val="00DC52F8"/>
    <w:rsid w:val="00DC5B2B"/>
    <w:rsid w:val="00DC62CE"/>
    <w:rsid w:val="00DC696F"/>
    <w:rsid w:val="00DD04E8"/>
    <w:rsid w:val="00DD12E9"/>
    <w:rsid w:val="00DD187E"/>
    <w:rsid w:val="00DD318D"/>
    <w:rsid w:val="00DD333D"/>
    <w:rsid w:val="00DD549D"/>
    <w:rsid w:val="00DD63BD"/>
    <w:rsid w:val="00DD715D"/>
    <w:rsid w:val="00DD7C0C"/>
    <w:rsid w:val="00DE0C7F"/>
    <w:rsid w:val="00DE16A9"/>
    <w:rsid w:val="00DE25E9"/>
    <w:rsid w:val="00DE27C3"/>
    <w:rsid w:val="00DE5195"/>
    <w:rsid w:val="00DE6A91"/>
    <w:rsid w:val="00DE7271"/>
    <w:rsid w:val="00DF1B19"/>
    <w:rsid w:val="00DF2E12"/>
    <w:rsid w:val="00DF3D66"/>
    <w:rsid w:val="00DF446D"/>
    <w:rsid w:val="00DF466E"/>
    <w:rsid w:val="00DF4FD8"/>
    <w:rsid w:val="00DF514A"/>
    <w:rsid w:val="00DF52D8"/>
    <w:rsid w:val="00DF61BC"/>
    <w:rsid w:val="00DF6690"/>
    <w:rsid w:val="00DF678C"/>
    <w:rsid w:val="00DF6804"/>
    <w:rsid w:val="00DF6C4E"/>
    <w:rsid w:val="00E00635"/>
    <w:rsid w:val="00E01E21"/>
    <w:rsid w:val="00E02013"/>
    <w:rsid w:val="00E02337"/>
    <w:rsid w:val="00E02E56"/>
    <w:rsid w:val="00E034BC"/>
    <w:rsid w:val="00E0358D"/>
    <w:rsid w:val="00E04323"/>
    <w:rsid w:val="00E04EAA"/>
    <w:rsid w:val="00E050F2"/>
    <w:rsid w:val="00E070A2"/>
    <w:rsid w:val="00E10ACC"/>
    <w:rsid w:val="00E1475F"/>
    <w:rsid w:val="00E14B8D"/>
    <w:rsid w:val="00E14CD0"/>
    <w:rsid w:val="00E16425"/>
    <w:rsid w:val="00E17008"/>
    <w:rsid w:val="00E17636"/>
    <w:rsid w:val="00E17734"/>
    <w:rsid w:val="00E20136"/>
    <w:rsid w:val="00E2309F"/>
    <w:rsid w:val="00E235FD"/>
    <w:rsid w:val="00E24262"/>
    <w:rsid w:val="00E24B61"/>
    <w:rsid w:val="00E2630E"/>
    <w:rsid w:val="00E264A0"/>
    <w:rsid w:val="00E2656A"/>
    <w:rsid w:val="00E3068E"/>
    <w:rsid w:val="00E31154"/>
    <w:rsid w:val="00E318BF"/>
    <w:rsid w:val="00E325D8"/>
    <w:rsid w:val="00E33E10"/>
    <w:rsid w:val="00E34874"/>
    <w:rsid w:val="00E378C1"/>
    <w:rsid w:val="00E412D0"/>
    <w:rsid w:val="00E45CD0"/>
    <w:rsid w:val="00E473D3"/>
    <w:rsid w:val="00E47B31"/>
    <w:rsid w:val="00E508B1"/>
    <w:rsid w:val="00E52461"/>
    <w:rsid w:val="00E53E99"/>
    <w:rsid w:val="00E53ED4"/>
    <w:rsid w:val="00E56322"/>
    <w:rsid w:val="00E57953"/>
    <w:rsid w:val="00E60982"/>
    <w:rsid w:val="00E60A2D"/>
    <w:rsid w:val="00E62C62"/>
    <w:rsid w:val="00E64873"/>
    <w:rsid w:val="00E651F1"/>
    <w:rsid w:val="00E654C1"/>
    <w:rsid w:val="00E65D97"/>
    <w:rsid w:val="00E67CD6"/>
    <w:rsid w:val="00E70085"/>
    <w:rsid w:val="00E71304"/>
    <w:rsid w:val="00E7141D"/>
    <w:rsid w:val="00E71901"/>
    <w:rsid w:val="00E71ED2"/>
    <w:rsid w:val="00E72A5A"/>
    <w:rsid w:val="00E73354"/>
    <w:rsid w:val="00E75102"/>
    <w:rsid w:val="00E752A7"/>
    <w:rsid w:val="00E77D8A"/>
    <w:rsid w:val="00E805C9"/>
    <w:rsid w:val="00E806D6"/>
    <w:rsid w:val="00E81AA9"/>
    <w:rsid w:val="00E81B45"/>
    <w:rsid w:val="00E825FD"/>
    <w:rsid w:val="00E868FE"/>
    <w:rsid w:val="00E9130E"/>
    <w:rsid w:val="00E9242D"/>
    <w:rsid w:val="00E94FDF"/>
    <w:rsid w:val="00E95697"/>
    <w:rsid w:val="00E96278"/>
    <w:rsid w:val="00E96823"/>
    <w:rsid w:val="00EA4687"/>
    <w:rsid w:val="00EA4C0A"/>
    <w:rsid w:val="00EA5734"/>
    <w:rsid w:val="00EA6339"/>
    <w:rsid w:val="00EB078E"/>
    <w:rsid w:val="00EB09DA"/>
    <w:rsid w:val="00EB1E1B"/>
    <w:rsid w:val="00EB5255"/>
    <w:rsid w:val="00EB5C47"/>
    <w:rsid w:val="00EC04DE"/>
    <w:rsid w:val="00EC1677"/>
    <w:rsid w:val="00EC3EA7"/>
    <w:rsid w:val="00EC42A7"/>
    <w:rsid w:val="00ED0639"/>
    <w:rsid w:val="00ED1671"/>
    <w:rsid w:val="00ED4C05"/>
    <w:rsid w:val="00ED5FFE"/>
    <w:rsid w:val="00ED665C"/>
    <w:rsid w:val="00ED6F16"/>
    <w:rsid w:val="00ED7A6F"/>
    <w:rsid w:val="00EE0830"/>
    <w:rsid w:val="00EE1EB4"/>
    <w:rsid w:val="00EE26E8"/>
    <w:rsid w:val="00EE3377"/>
    <w:rsid w:val="00EE35BB"/>
    <w:rsid w:val="00EE607E"/>
    <w:rsid w:val="00EF1F03"/>
    <w:rsid w:val="00EF2434"/>
    <w:rsid w:val="00EF28EF"/>
    <w:rsid w:val="00EF3DFC"/>
    <w:rsid w:val="00EF4755"/>
    <w:rsid w:val="00EF5264"/>
    <w:rsid w:val="00EF6412"/>
    <w:rsid w:val="00EF7135"/>
    <w:rsid w:val="00F011D1"/>
    <w:rsid w:val="00F01444"/>
    <w:rsid w:val="00F027DB"/>
    <w:rsid w:val="00F04DDA"/>
    <w:rsid w:val="00F04EBF"/>
    <w:rsid w:val="00F0544C"/>
    <w:rsid w:val="00F060C5"/>
    <w:rsid w:val="00F10600"/>
    <w:rsid w:val="00F123BE"/>
    <w:rsid w:val="00F14A7A"/>
    <w:rsid w:val="00F151C6"/>
    <w:rsid w:val="00F15636"/>
    <w:rsid w:val="00F1777B"/>
    <w:rsid w:val="00F22985"/>
    <w:rsid w:val="00F22DDF"/>
    <w:rsid w:val="00F25FED"/>
    <w:rsid w:val="00F2657B"/>
    <w:rsid w:val="00F31F99"/>
    <w:rsid w:val="00F332C9"/>
    <w:rsid w:val="00F3383E"/>
    <w:rsid w:val="00F35EAA"/>
    <w:rsid w:val="00F369A1"/>
    <w:rsid w:val="00F37A36"/>
    <w:rsid w:val="00F41DD3"/>
    <w:rsid w:val="00F44859"/>
    <w:rsid w:val="00F45745"/>
    <w:rsid w:val="00F458EB"/>
    <w:rsid w:val="00F462EA"/>
    <w:rsid w:val="00F465A7"/>
    <w:rsid w:val="00F504F0"/>
    <w:rsid w:val="00F50B7C"/>
    <w:rsid w:val="00F51B5B"/>
    <w:rsid w:val="00F51D98"/>
    <w:rsid w:val="00F51E41"/>
    <w:rsid w:val="00F520FB"/>
    <w:rsid w:val="00F533A8"/>
    <w:rsid w:val="00F550E6"/>
    <w:rsid w:val="00F55D72"/>
    <w:rsid w:val="00F6177E"/>
    <w:rsid w:val="00F62367"/>
    <w:rsid w:val="00F66017"/>
    <w:rsid w:val="00F66675"/>
    <w:rsid w:val="00F667DB"/>
    <w:rsid w:val="00F709D7"/>
    <w:rsid w:val="00F712F6"/>
    <w:rsid w:val="00F73242"/>
    <w:rsid w:val="00F74345"/>
    <w:rsid w:val="00F763CD"/>
    <w:rsid w:val="00F80A0A"/>
    <w:rsid w:val="00F819F9"/>
    <w:rsid w:val="00F82B19"/>
    <w:rsid w:val="00F82C91"/>
    <w:rsid w:val="00F8317A"/>
    <w:rsid w:val="00F843BF"/>
    <w:rsid w:val="00F848E6"/>
    <w:rsid w:val="00F862E7"/>
    <w:rsid w:val="00F87502"/>
    <w:rsid w:val="00F91D94"/>
    <w:rsid w:val="00F9212D"/>
    <w:rsid w:val="00F92A16"/>
    <w:rsid w:val="00F946DB"/>
    <w:rsid w:val="00F965DA"/>
    <w:rsid w:val="00F96F00"/>
    <w:rsid w:val="00FA0E6A"/>
    <w:rsid w:val="00FA13AA"/>
    <w:rsid w:val="00FA1B87"/>
    <w:rsid w:val="00FA2B48"/>
    <w:rsid w:val="00FA2F8D"/>
    <w:rsid w:val="00FA33FF"/>
    <w:rsid w:val="00FA406A"/>
    <w:rsid w:val="00FA4DA7"/>
    <w:rsid w:val="00FA52D9"/>
    <w:rsid w:val="00FA6408"/>
    <w:rsid w:val="00FB14D0"/>
    <w:rsid w:val="00FB2A16"/>
    <w:rsid w:val="00FB3898"/>
    <w:rsid w:val="00FB503A"/>
    <w:rsid w:val="00FB516C"/>
    <w:rsid w:val="00FB674E"/>
    <w:rsid w:val="00FB70F7"/>
    <w:rsid w:val="00FB7ADD"/>
    <w:rsid w:val="00FB7BE9"/>
    <w:rsid w:val="00FC0301"/>
    <w:rsid w:val="00FC1732"/>
    <w:rsid w:val="00FC4724"/>
    <w:rsid w:val="00FC48CF"/>
    <w:rsid w:val="00FC4DCB"/>
    <w:rsid w:val="00FC5799"/>
    <w:rsid w:val="00FC5ABE"/>
    <w:rsid w:val="00FD0236"/>
    <w:rsid w:val="00FD1268"/>
    <w:rsid w:val="00FD18F4"/>
    <w:rsid w:val="00FD3367"/>
    <w:rsid w:val="00FD54DB"/>
    <w:rsid w:val="00FD619F"/>
    <w:rsid w:val="00FD7052"/>
    <w:rsid w:val="00FD7071"/>
    <w:rsid w:val="00FD7B94"/>
    <w:rsid w:val="00FE03D2"/>
    <w:rsid w:val="00FE0451"/>
    <w:rsid w:val="00FE3409"/>
    <w:rsid w:val="00FE36BF"/>
    <w:rsid w:val="00FE43EF"/>
    <w:rsid w:val="00FE5D9C"/>
    <w:rsid w:val="00FF07E4"/>
    <w:rsid w:val="00FF1177"/>
    <w:rsid w:val="00FF30E6"/>
    <w:rsid w:val="00FF36BE"/>
    <w:rsid w:val="00FF419C"/>
    <w:rsid w:val="00FF41AD"/>
    <w:rsid w:val="00FF456C"/>
    <w:rsid w:val="00FF69B3"/>
    <w:rsid w:val="01290F7E"/>
    <w:rsid w:val="015D1E09"/>
    <w:rsid w:val="0164131B"/>
    <w:rsid w:val="02500680"/>
    <w:rsid w:val="02697903"/>
    <w:rsid w:val="0288005D"/>
    <w:rsid w:val="02F96569"/>
    <w:rsid w:val="03EA7B21"/>
    <w:rsid w:val="05F83EAE"/>
    <w:rsid w:val="063E7D85"/>
    <w:rsid w:val="07293586"/>
    <w:rsid w:val="07295285"/>
    <w:rsid w:val="073E4384"/>
    <w:rsid w:val="07636392"/>
    <w:rsid w:val="07770C56"/>
    <w:rsid w:val="07F03C04"/>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2A4818"/>
    <w:rsid w:val="135A7A9B"/>
    <w:rsid w:val="13951726"/>
    <w:rsid w:val="14396509"/>
    <w:rsid w:val="14B95E54"/>
    <w:rsid w:val="14DD2C3C"/>
    <w:rsid w:val="16087E1D"/>
    <w:rsid w:val="165027E8"/>
    <w:rsid w:val="17701D14"/>
    <w:rsid w:val="17735226"/>
    <w:rsid w:val="181A3DB0"/>
    <w:rsid w:val="189F624C"/>
    <w:rsid w:val="1A1C66C0"/>
    <w:rsid w:val="1A42393B"/>
    <w:rsid w:val="1AAD45DE"/>
    <w:rsid w:val="1B046F80"/>
    <w:rsid w:val="1B3267B5"/>
    <w:rsid w:val="1B40161D"/>
    <w:rsid w:val="1B441859"/>
    <w:rsid w:val="1B6606B1"/>
    <w:rsid w:val="1C5B3C94"/>
    <w:rsid w:val="1C5E7925"/>
    <w:rsid w:val="1CFD070F"/>
    <w:rsid w:val="1D5F6196"/>
    <w:rsid w:val="1D6132A5"/>
    <w:rsid w:val="1D8E56D5"/>
    <w:rsid w:val="1E7A43DA"/>
    <w:rsid w:val="1E8109D6"/>
    <w:rsid w:val="1EC76289"/>
    <w:rsid w:val="1FE7539E"/>
    <w:rsid w:val="20671BE0"/>
    <w:rsid w:val="208A63C4"/>
    <w:rsid w:val="20963CB8"/>
    <w:rsid w:val="20A81A1B"/>
    <w:rsid w:val="20B07FB6"/>
    <w:rsid w:val="20B646FB"/>
    <w:rsid w:val="213B74B1"/>
    <w:rsid w:val="215A2310"/>
    <w:rsid w:val="21764626"/>
    <w:rsid w:val="21C80F3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C7F0052"/>
    <w:rsid w:val="2D2B08F0"/>
    <w:rsid w:val="2D9E56F5"/>
    <w:rsid w:val="2E667F96"/>
    <w:rsid w:val="2E8226AB"/>
    <w:rsid w:val="2E935F8A"/>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5F60D4D"/>
    <w:rsid w:val="36074A7F"/>
    <w:rsid w:val="361C1179"/>
    <w:rsid w:val="36923549"/>
    <w:rsid w:val="36B75FBF"/>
    <w:rsid w:val="36BD0C45"/>
    <w:rsid w:val="37E00298"/>
    <w:rsid w:val="38B302F9"/>
    <w:rsid w:val="38F12CD3"/>
    <w:rsid w:val="38F94775"/>
    <w:rsid w:val="392971ED"/>
    <w:rsid w:val="39325651"/>
    <w:rsid w:val="39F663A3"/>
    <w:rsid w:val="3A872856"/>
    <w:rsid w:val="3B3763D1"/>
    <w:rsid w:val="3C2F6E1E"/>
    <w:rsid w:val="3C4F64BA"/>
    <w:rsid w:val="3C891496"/>
    <w:rsid w:val="3CDA245A"/>
    <w:rsid w:val="3D1E06B7"/>
    <w:rsid w:val="3EDA0523"/>
    <w:rsid w:val="407A6407"/>
    <w:rsid w:val="40A75988"/>
    <w:rsid w:val="4200449D"/>
    <w:rsid w:val="423A3BCC"/>
    <w:rsid w:val="424E57D2"/>
    <w:rsid w:val="42B26C49"/>
    <w:rsid w:val="433A6FE6"/>
    <w:rsid w:val="43480868"/>
    <w:rsid w:val="4350713C"/>
    <w:rsid w:val="436653E0"/>
    <w:rsid w:val="43C4431A"/>
    <w:rsid w:val="44B951CC"/>
    <w:rsid w:val="44CD14E0"/>
    <w:rsid w:val="44F20B0B"/>
    <w:rsid w:val="452E5F4C"/>
    <w:rsid w:val="45612018"/>
    <w:rsid w:val="457058D1"/>
    <w:rsid w:val="458946E9"/>
    <w:rsid w:val="45A47C0E"/>
    <w:rsid w:val="46577FD6"/>
    <w:rsid w:val="46D955A7"/>
    <w:rsid w:val="47133957"/>
    <w:rsid w:val="47394A4E"/>
    <w:rsid w:val="47A07E0C"/>
    <w:rsid w:val="4870272E"/>
    <w:rsid w:val="48B545A9"/>
    <w:rsid w:val="491A689A"/>
    <w:rsid w:val="49DC7715"/>
    <w:rsid w:val="4A023139"/>
    <w:rsid w:val="4A7B576F"/>
    <w:rsid w:val="4AF561A9"/>
    <w:rsid w:val="4C4A0649"/>
    <w:rsid w:val="4C7E5ECA"/>
    <w:rsid w:val="4C876AA5"/>
    <w:rsid w:val="4D0E00FB"/>
    <w:rsid w:val="4D176606"/>
    <w:rsid w:val="4D7F43BD"/>
    <w:rsid w:val="4DEC4FB0"/>
    <w:rsid w:val="4E075D8A"/>
    <w:rsid w:val="4EC00FAD"/>
    <w:rsid w:val="4EDF1230"/>
    <w:rsid w:val="4F9843DC"/>
    <w:rsid w:val="4FC62A8C"/>
    <w:rsid w:val="4FE20F0D"/>
    <w:rsid w:val="4FE51552"/>
    <w:rsid w:val="50504C4B"/>
    <w:rsid w:val="509C6E7C"/>
    <w:rsid w:val="5162104E"/>
    <w:rsid w:val="52BF15D6"/>
    <w:rsid w:val="532F51C7"/>
    <w:rsid w:val="53A039CC"/>
    <w:rsid w:val="53A1505A"/>
    <w:rsid w:val="54063E08"/>
    <w:rsid w:val="543437E8"/>
    <w:rsid w:val="54F73313"/>
    <w:rsid w:val="54F80955"/>
    <w:rsid w:val="555170A7"/>
    <w:rsid w:val="557E2677"/>
    <w:rsid w:val="5587536D"/>
    <w:rsid w:val="559B174B"/>
    <w:rsid w:val="55CE0CF4"/>
    <w:rsid w:val="56B22A9C"/>
    <w:rsid w:val="57B72A76"/>
    <w:rsid w:val="57C3426C"/>
    <w:rsid w:val="57CE1F93"/>
    <w:rsid w:val="57DD553C"/>
    <w:rsid w:val="588743D1"/>
    <w:rsid w:val="5887701A"/>
    <w:rsid w:val="59C0439F"/>
    <w:rsid w:val="5A6333C7"/>
    <w:rsid w:val="5ABE2233"/>
    <w:rsid w:val="5BDF5D95"/>
    <w:rsid w:val="5BFE7528"/>
    <w:rsid w:val="5C40275A"/>
    <w:rsid w:val="5E2467F1"/>
    <w:rsid w:val="5F1A2B43"/>
    <w:rsid w:val="5FB837BB"/>
    <w:rsid w:val="5FFD1529"/>
    <w:rsid w:val="60CC405A"/>
    <w:rsid w:val="61E215D8"/>
    <w:rsid w:val="621B3775"/>
    <w:rsid w:val="62364782"/>
    <w:rsid w:val="6394356A"/>
    <w:rsid w:val="63C61B2C"/>
    <w:rsid w:val="63D40BE9"/>
    <w:rsid w:val="64102431"/>
    <w:rsid w:val="64A5243A"/>
    <w:rsid w:val="64F531DE"/>
    <w:rsid w:val="65373578"/>
    <w:rsid w:val="655C5D19"/>
    <w:rsid w:val="65A71CAD"/>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112644"/>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DA0ECC"/>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41"/>
    <w:qFormat/>
    <w:locked/>
    <w:uiPriority w:val="0"/>
    <w:pPr>
      <w:ind w:firstLine="420"/>
    </w:pPr>
    <w:rPr>
      <w:szCs w:val="20"/>
    </w:rPr>
  </w:style>
  <w:style w:type="paragraph" w:styleId="4">
    <w:name w:val="annotation text"/>
    <w:basedOn w:val="1"/>
    <w:link w:val="29"/>
    <w:semiHidden/>
    <w:qFormat/>
    <w:uiPriority w:val="0"/>
    <w:pPr>
      <w:jc w:val="left"/>
    </w:pPr>
    <w:rPr>
      <w:kern w:val="0"/>
      <w:sz w:val="24"/>
      <w:szCs w:val="20"/>
    </w:rPr>
  </w:style>
  <w:style w:type="paragraph" w:styleId="5">
    <w:name w:val="Body Text"/>
    <w:basedOn w:val="1"/>
    <w:link w:val="28"/>
    <w:qFormat/>
    <w:uiPriority w:val="0"/>
    <w:pPr>
      <w:widowControl/>
      <w:snapToGrid w:val="0"/>
      <w:spacing w:before="60" w:after="160" w:line="259" w:lineRule="auto"/>
      <w:ind w:right="113"/>
    </w:pPr>
    <w:rPr>
      <w:kern w:val="0"/>
      <w:sz w:val="18"/>
      <w:szCs w:val="20"/>
    </w:rPr>
  </w:style>
  <w:style w:type="paragraph" w:styleId="6">
    <w:name w:val="Body Text Indent"/>
    <w:basedOn w:val="1"/>
    <w:link w:val="37"/>
    <w:qFormat/>
    <w:uiPriority w:val="0"/>
    <w:pPr>
      <w:spacing w:after="120"/>
      <w:ind w:left="420" w:leftChars="200"/>
    </w:pPr>
    <w:rPr>
      <w:kern w:val="0"/>
      <w:sz w:val="24"/>
      <w:szCs w:val="20"/>
    </w:rPr>
  </w:style>
  <w:style w:type="paragraph" w:styleId="7">
    <w:name w:val="Plain Text"/>
    <w:basedOn w:val="1"/>
    <w:link w:val="45"/>
    <w:qFormat/>
    <w:locked/>
    <w:uiPriority w:val="0"/>
    <w:rPr>
      <w:rFonts w:ascii="宋体" w:hAnsi="Courier New"/>
      <w:szCs w:val="20"/>
    </w:rPr>
  </w:style>
  <w:style w:type="paragraph" w:styleId="8">
    <w:name w:val="Date"/>
    <w:basedOn w:val="1"/>
    <w:next w:val="1"/>
    <w:link w:val="24"/>
    <w:qFormat/>
    <w:uiPriority w:val="0"/>
    <w:pPr>
      <w:ind w:left="100" w:leftChars="2500"/>
    </w:pPr>
    <w:rPr>
      <w:kern w:val="0"/>
      <w:sz w:val="24"/>
      <w:szCs w:val="20"/>
    </w:rPr>
  </w:style>
  <w:style w:type="paragraph" w:styleId="9">
    <w:name w:val="Body Text Indent 2"/>
    <w:basedOn w:val="1"/>
    <w:link w:val="40"/>
    <w:qFormat/>
    <w:locked/>
    <w:uiPriority w:val="0"/>
    <w:pPr>
      <w:spacing w:after="120" w:line="480" w:lineRule="auto"/>
      <w:ind w:left="420" w:leftChars="200"/>
    </w:pPr>
  </w:style>
  <w:style w:type="paragraph" w:styleId="10">
    <w:name w:val="Balloon Text"/>
    <w:basedOn w:val="1"/>
    <w:link w:val="33"/>
    <w:semiHidden/>
    <w:qFormat/>
    <w:uiPriority w:val="0"/>
    <w:rPr>
      <w:kern w:val="0"/>
      <w:sz w:val="18"/>
      <w:szCs w:val="20"/>
    </w:rPr>
  </w:style>
  <w:style w:type="paragraph" w:styleId="11">
    <w:name w:val="footer"/>
    <w:basedOn w:val="1"/>
    <w:link w:val="23"/>
    <w:qFormat/>
    <w:uiPriority w:val="99"/>
    <w:pPr>
      <w:tabs>
        <w:tab w:val="center" w:pos="4153"/>
        <w:tab w:val="right" w:pos="8306"/>
      </w:tabs>
      <w:snapToGrid w:val="0"/>
      <w:jc w:val="left"/>
    </w:pPr>
    <w:rPr>
      <w:kern w:val="0"/>
      <w:sz w:val="18"/>
      <w:szCs w:val="20"/>
    </w:rPr>
  </w:style>
  <w:style w:type="paragraph" w:styleId="12">
    <w:name w:val="header"/>
    <w:basedOn w:val="1"/>
    <w:link w:val="35"/>
    <w:qFormat/>
    <w:uiPriority w:val="0"/>
    <w:pPr>
      <w:pBdr>
        <w:bottom w:val="single" w:color="auto" w:sz="6" w:space="1"/>
      </w:pBdr>
      <w:tabs>
        <w:tab w:val="center" w:pos="4153"/>
        <w:tab w:val="right" w:pos="8306"/>
      </w:tabs>
      <w:snapToGrid w:val="0"/>
      <w:jc w:val="center"/>
    </w:pPr>
    <w:rPr>
      <w:kern w:val="0"/>
      <w:sz w:val="18"/>
      <w:szCs w:val="20"/>
    </w:rPr>
  </w:style>
  <w:style w:type="paragraph" w:styleId="13">
    <w:name w:val="Subtitle"/>
    <w:basedOn w:val="1"/>
    <w:next w:val="1"/>
    <w:link w:val="47"/>
    <w:qFormat/>
    <w:locked/>
    <w:uiPriority w:val="0"/>
    <w:pPr>
      <w:spacing w:before="240" w:after="60" w:line="312" w:lineRule="auto"/>
      <w:jc w:val="center"/>
      <w:outlineLvl w:val="1"/>
    </w:pPr>
    <w:rPr>
      <w:rFonts w:ascii="Cambria" w:hAnsi="Cambria"/>
      <w:b/>
      <w:bCs/>
      <w:kern w:val="28"/>
      <w:sz w:val="32"/>
      <w:szCs w:val="32"/>
    </w:rPr>
  </w:style>
  <w:style w:type="paragraph" w:styleId="14">
    <w:name w:val="Body Text Indent 3"/>
    <w:basedOn w:val="1"/>
    <w:link w:val="43"/>
    <w:qFormat/>
    <w:locked/>
    <w:uiPriority w:val="0"/>
    <w:pPr>
      <w:spacing w:after="120"/>
      <w:ind w:left="420" w:leftChars="200"/>
    </w:pPr>
    <w:rPr>
      <w:sz w:val="16"/>
      <w:szCs w:val="16"/>
    </w:rPr>
  </w:style>
  <w:style w:type="paragraph" w:styleId="15">
    <w:name w:val="Normal (Web)"/>
    <w:basedOn w:val="1"/>
    <w:link w:val="26"/>
    <w:qFormat/>
    <w:uiPriority w:val="0"/>
    <w:pPr>
      <w:widowControl/>
      <w:spacing w:before="100" w:beforeAutospacing="1" w:after="100" w:afterAutospacing="1"/>
      <w:jc w:val="left"/>
    </w:pPr>
    <w:rPr>
      <w:rFonts w:ascii="宋体" w:hAnsi="宋体"/>
      <w:kern w:val="0"/>
      <w:sz w:val="24"/>
      <w:szCs w:val="20"/>
    </w:rPr>
  </w:style>
  <w:style w:type="paragraph" w:styleId="16">
    <w:name w:val="annotation subject"/>
    <w:basedOn w:val="4"/>
    <w:next w:val="4"/>
    <w:link w:val="34"/>
    <w:semiHidden/>
    <w:qFormat/>
    <w:uiPriority w:val="0"/>
    <w:rPr>
      <w:b/>
    </w:rPr>
  </w:style>
  <w:style w:type="paragraph" w:styleId="17">
    <w:name w:val="Body Text First Indent 2"/>
    <w:basedOn w:val="6"/>
    <w:link w:val="51"/>
    <w:qFormat/>
    <w:locked/>
    <w:uiPriority w:val="0"/>
    <w:pPr>
      <w:ind w:firstLine="420" w:firstLineChars="200"/>
    </w:pPr>
    <w:rPr>
      <w:kern w:val="2"/>
      <w:sz w:val="21"/>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locked/>
    <w:uiPriority w:val="0"/>
  </w:style>
  <w:style w:type="character" w:styleId="22">
    <w:name w:val="annotation reference"/>
    <w:semiHidden/>
    <w:qFormat/>
    <w:uiPriority w:val="0"/>
    <w:rPr>
      <w:sz w:val="21"/>
    </w:rPr>
  </w:style>
  <w:style w:type="character" w:customStyle="1" w:styleId="23">
    <w:name w:val="页脚 Char"/>
    <w:link w:val="11"/>
    <w:qFormat/>
    <w:locked/>
    <w:uiPriority w:val="99"/>
    <w:rPr>
      <w:sz w:val="18"/>
    </w:rPr>
  </w:style>
  <w:style w:type="character" w:customStyle="1" w:styleId="24">
    <w:name w:val="日期 Char"/>
    <w:link w:val="8"/>
    <w:qFormat/>
    <w:locked/>
    <w:uiPriority w:val="0"/>
    <w:rPr>
      <w:rFonts w:ascii="Times New Roman" w:hAnsi="Times New Roman" w:eastAsia="宋体"/>
      <w:sz w:val="24"/>
    </w:rPr>
  </w:style>
  <w:style w:type="character" w:customStyle="1" w:styleId="25">
    <w:name w:val="页脚 字符"/>
    <w:basedOn w:val="20"/>
    <w:qFormat/>
    <w:uiPriority w:val="99"/>
  </w:style>
  <w:style w:type="character" w:customStyle="1" w:styleId="26">
    <w:name w:val="普通(网站) Char"/>
    <w:link w:val="15"/>
    <w:qFormat/>
    <w:locked/>
    <w:uiPriority w:val="0"/>
    <w:rPr>
      <w:rFonts w:ascii="宋体" w:hAnsi="宋体" w:eastAsia="宋体"/>
      <w:sz w:val="24"/>
    </w:rPr>
  </w:style>
  <w:style w:type="character" w:customStyle="1" w:styleId="27">
    <w:name w:val="正文文本 字符1"/>
    <w:semiHidden/>
    <w:qFormat/>
    <w:uiPriority w:val="0"/>
    <w:rPr>
      <w:rFonts w:ascii="Times New Roman" w:hAnsi="Times New Roman" w:eastAsia="宋体"/>
      <w:sz w:val="24"/>
    </w:rPr>
  </w:style>
  <w:style w:type="character" w:customStyle="1" w:styleId="28">
    <w:name w:val="正文文本 Char"/>
    <w:link w:val="5"/>
    <w:qFormat/>
    <w:locked/>
    <w:uiPriority w:val="0"/>
    <w:rPr>
      <w:sz w:val="18"/>
    </w:rPr>
  </w:style>
  <w:style w:type="character" w:customStyle="1" w:styleId="29">
    <w:name w:val="批注文字 Char"/>
    <w:link w:val="4"/>
    <w:qFormat/>
    <w:locked/>
    <w:uiPriority w:val="0"/>
    <w:rPr>
      <w:rFonts w:ascii="Times New Roman" w:hAnsi="Times New Roman" w:eastAsia="宋体"/>
      <w:sz w:val="24"/>
    </w:rPr>
  </w:style>
  <w:style w:type="character" w:customStyle="1" w:styleId="30">
    <w:name w:val="表格 Char"/>
    <w:link w:val="31"/>
    <w:qFormat/>
    <w:locked/>
    <w:uiPriority w:val="0"/>
    <w:rPr>
      <w:rFonts w:ascii="宋体"/>
      <w:sz w:val="21"/>
    </w:rPr>
  </w:style>
  <w:style w:type="paragraph" w:customStyle="1" w:styleId="31">
    <w:name w:val="表格"/>
    <w:basedOn w:val="1"/>
    <w:next w:val="1"/>
    <w:link w:val="30"/>
    <w:qFormat/>
    <w:uiPriority w:val="0"/>
    <w:pPr>
      <w:adjustRightInd w:val="0"/>
      <w:snapToGrid w:val="0"/>
      <w:spacing w:beforeLines="10" w:afterLines="10" w:line="259" w:lineRule="auto"/>
      <w:jc w:val="center"/>
    </w:pPr>
    <w:rPr>
      <w:rFonts w:ascii="宋体"/>
      <w:kern w:val="0"/>
      <w:szCs w:val="20"/>
    </w:rPr>
  </w:style>
  <w:style w:type="character" w:customStyle="1" w:styleId="32">
    <w:name w:val="日期 字符"/>
    <w:semiHidden/>
    <w:qFormat/>
    <w:uiPriority w:val="0"/>
    <w:rPr>
      <w:rFonts w:ascii="Times New Roman" w:hAnsi="Times New Roman" w:eastAsia="宋体"/>
      <w:sz w:val="24"/>
    </w:rPr>
  </w:style>
  <w:style w:type="character" w:customStyle="1" w:styleId="33">
    <w:name w:val="批注框文本 Char"/>
    <w:link w:val="10"/>
    <w:semiHidden/>
    <w:qFormat/>
    <w:locked/>
    <w:uiPriority w:val="0"/>
    <w:rPr>
      <w:rFonts w:ascii="Times New Roman" w:hAnsi="Times New Roman" w:eastAsia="宋体"/>
      <w:sz w:val="18"/>
    </w:rPr>
  </w:style>
  <w:style w:type="character" w:customStyle="1" w:styleId="34">
    <w:name w:val="批注主题 Char"/>
    <w:link w:val="16"/>
    <w:semiHidden/>
    <w:qFormat/>
    <w:locked/>
    <w:uiPriority w:val="0"/>
    <w:rPr>
      <w:rFonts w:ascii="Times New Roman" w:hAnsi="Times New Roman" w:eastAsia="宋体"/>
      <w:b/>
      <w:kern w:val="2"/>
      <w:sz w:val="24"/>
    </w:rPr>
  </w:style>
  <w:style w:type="character" w:customStyle="1" w:styleId="35">
    <w:name w:val="页眉 Char"/>
    <w:link w:val="12"/>
    <w:qFormat/>
    <w:locked/>
    <w:uiPriority w:val="0"/>
    <w:rPr>
      <w:sz w:val="18"/>
    </w:rPr>
  </w:style>
  <w:style w:type="character" w:customStyle="1" w:styleId="36">
    <w:name w:val="批注文字 字符1"/>
    <w:semiHidden/>
    <w:qFormat/>
    <w:uiPriority w:val="0"/>
    <w:rPr>
      <w:rFonts w:ascii="Times New Roman" w:hAnsi="Times New Roman" w:eastAsia="宋体"/>
      <w:sz w:val="24"/>
    </w:rPr>
  </w:style>
  <w:style w:type="character" w:customStyle="1" w:styleId="37">
    <w:name w:val="正文文本缩进 Char"/>
    <w:link w:val="6"/>
    <w:semiHidden/>
    <w:qFormat/>
    <w:locked/>
    <w:uiPriority w:val="0"/>
    <w:rPr>
      <w:rFonts w:ascii="Times New Roman" w:hAnsi="Times New Roman" w:eastAsia="宋体"/>
      <w:sz w:val="24"/>
    </w:rPr>
  </w:style>
  <w:style w:type="paragraph" w:customStyle="1" w:styleId="3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40">
    <w:name w:val="正文文本缩进 2 Char"/>
    <w:link w:val="9"/>
    <w:qFormat/>
    <w:uiPriority w:val="0"/>
    <w:rPr>
      <w:kern w:val="2"/>
      <w:sz w:val="21"/>
      <w:szCs w:val="24"/>
    </w:rPr>
  </w:style>
  <w:style w:type="character" w:customStyle="1" w:styleId="41">
    <w:name w:val="正文缩进 Char"/>
    <w:link w:val="3"/>
    <w:qFormat/>
    <w:uiPriority w:val="0"/>
    <w:rPr>
      <w:kern w:val="2"/>
      <w:sz w:val="21"/>
    </w:rPr>
  </w:style>
  <w:style w:type="character" w:customStyle="1" w:styleId="42">
    <w:name w:val="fontstyle01"/>
    <w:qFormat/>
    <w:uiPriority w:val="0"/>
    <w:rPr>
      <w:rFonts w:hint="eastAsia" w:ascii="宋体" w:hAnsi="宋体" w:eastAsia="宋体"/>
      <w:color w:val="000000"/>
      <w:sz w:val="24"/>
      <w:szCs w:val="24"/>
    </w:rPr>
  </w:style>
  <w:style w:type="character" w:customStyle="1" w:styleId="43">
    <w:name w:val="正文文本缩进 3 Char"/>
    <w:link w:val="14"/>
    <w:qFormat/>
    <w:uiPriority w:val="0"/>
    <w:rPr>
      <w:kern w:val="2"/>
      <w:sz w:val="16"/>
      <w:szCs w:val="16"/>
    </w:rPr>
  </w:style>
  <w:style w:type="paragraph" w:styleId="44">
    <w:name w:val="List Paragraph"/>
    <w:basedOn w:val="1"/>
    <w:qFormat/>
    <w:uiPriority w:val="34"/>
    <w:pPr>
      <w:widowControl/>
      <w:spacing w:line="320" w:lineRule="exact"/>
      <w:contextualSpacing/>
      <w:jc w:val="center"/>
    </w:pPr>
    <w:rPr>
      <w:kern w:val="0"/>
      <w:szCs w:val="22"/>
    </w:rPr>
  </w:style>
  <w:style w:type="character" w:customStyle="1" w:styleId="45">
    <w:name w:val="纯文本 Char1"/>
    <w:link w:val="7"/>
    <w:qFormat/>
    <w:uiPriority w:val="0"/>
    <w:rPr>
      <w:rFonts w:ascii="宋体" w:hAnsi="Courier New"/>
      <w:kern w:val="2"/>
      <w:sz w:val="21"/>
    </w:rPr>
  </w:style>
  <w:style w:type="character" w:customStyle="1" w:styleId="46">
    <w:name w:val="纯文本 Char"/>
    <w:qFormat/>
    <w:uiPriority w:val="0"/>
    <w:rPr>
      <w:rFonts w:ascii="宋体" w:hAnsi="Courier New" w:cs="Courier New"/>
      <w:kern w:val="2"/>
      <w:sz w:val="21"/>
      <w:szCs w:val="21"/>
    </w:rPr>
  </w:style>
  <w:style w:type="character" w:customStyle="1" w:styleId="47">
    <w:name w:val="副标题 Char"/>
    <w:link w:val="13"/>
    <w:qFormat/>
    <w:uiPriority w:val="0"/>
    <w:rPr>
      <w:rFonts w:ascii="Cambria" w:hAnsi="Cambria" w:cs="Times New Roman"/>
      <w:b/>
      <w:bCs/>
      <w:kern w:val="28"/>
      <w:sz w:val="32"/>
      <w:szCs w:val="32"/>
    </w:rPr>
  </w:style>
  <w:style w:type="paragraph" w:customStyle="1" w:styleId="48">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表内内容"/>
    <w:basedOn w:val="1"/>
    <w:qFormat/>
    <w:uiPriority w:val="0"/>
    <w:pPr>
      <w:jc w:val="center"/>
    </w:pPr>
  </w:style>
  <w:style w:type="character" w:styleId="50">
    <w:name w:val="Placeholder Text"/>
    <w:basedOn w:val="20"/>
    <w:semiHidden/>
    <w:qFormat/>
    <w:uiPriority w:val="99"/>
    <w:rPr>
      <w:color w:val="808080"/>
    </w:rPr>
  </w:style>
  <w:style w:type="character" w:customStyle="1" w:styleId="51">
    <w:name w:val="正文首行缩进 2 Char"/>
    <w:basedOn w:val="37"/>
    <w:link w:val="17"/>
    <w:qFormat/>
    <w:uiPriority w:val="0"/>
    <w:rPr>
      <w:rFonts w:ascii="Times New Roman" w:hAnsi="Times New Roman" w:eastAsia="宋体"/>
      <w:kern w:val="2"/>
      <w:sz w:val="21"/>
      <w:szCs w:val="24"/>
    </w:rPr>
  </w:style>
  <w:style w:type="paragraph" w:customStyle="1" w:styleId="52">
    <w:name w:val="样式 样式 样式 小四 左 首行缩进:  2 字符 + 首行缩进:  2 字符 Char + 右  0 字符1"/>
    <w:basedOn w:val="1"/>
    <w:qFormat/>
    <w:uiPriority w:val="0"/>
    <w:pPr>
      <w:adjustRightInd w:val="0"/>
      <w:spacing w:line="360" w:lineRule="auto"/>
      <w:ind w:firstLine="200" w:firstLineChars="200"/>
      <w:jc w:val="left"/>
    </w:pPr>
    <w:rPr>
      <w:sz w:val="24"/>
      <w:szCs w:val="20"/>
    </w:rPr>
  </w:style>
  <w:style w:type="paragraph" w:customStyle="1" w:styleId="53">
    <w:name w:val="正文1"/>
    <w:basedOn w:val="1"/>
    <w:qFormat/>
    <w:uiPriority w:val="0"/>
    <w:pPr>
      <w:adjustRightInd w:val="0"/>
      <w:spacing w:line="315" w:lineRule="atLeast"/>
    </w:pPr>
    <w:rPr>
      <w:rFonts w:hint="eastAsia" w:ascii="宋体"/>
      <w:kern w:val="0"/>
      <w:sz w:val="24"/>
      <w:szCs w:val="22"/>
    </w:rPr>
  </w:style>
  <w:style w:type="character" w:customStyle="1" w:styleId="54">
    <w:name w:val="正文-ls Char"/>
    <w:link w:val="55"/>
    <w:qFormat/>
    <w:uiPriority w:val="0"/>
    <w:rPr>
      <w:rFonts w:hAnsi="宋体" w:cs="宋体"/>
      <w:kern w:val="2"/>
      <w:sz w:val="24"/>
    </w:rPr>
  </w:style>
  <w:style w:type="paragraph" w:customStyle="1" w:styleId="55">
    <w:name w:val="正文-ls"/>
    <w:basedOn w:val="1"/>
    <w:link w:val="54"/>
    <w:qFormat/>
    <w:uiPriority w:val="0"/>
    <w:pPr>
      <w:spacing w:line="360" w:lineRule="auto"/>
      <w:ind w:firstLine="200" w:firstLineChars="200"/>
    </w:pPr>
    <w:rPr>
      <w:rFonts w:hAnsi="宋体" w:cs="宋体"/>
      <w:sz w:val="24"/>
      <w:szCs w:val="20"/>
    </w:rPr>
  </w:style>
  <w:style w:type="character" w:customStyle="1" w:styleId="56">
    <w:name w:val="font11"/>
    <w:basedOn w:val="2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image" Target="media/image14.wmf"/><Relationship Id="rId26" Type="http://schemas.openxmlformats.org/officeDocument/2006/relationships/image" Target="media/image13.wmf"/><Relationship Id="rId25" Type="http://schemas.openxmlformats.org/officeDocument/2006/relationships/image" Target="media/image12.wmf"/><Relationship Id="rId24" Type="http://schemas.openxmlformats.org/officeDocument/2006/relationships/image" Target="media/image11.wmf"/><Relationship Id="rId23" Type="http://schemas.openxmlformats.org/officeDocument/2006/relationships/image" Target="media/image10.wmf"/><Relationship Id="rId22" Type="http://schemas.openxmlformats.org/officeDocument/2006/relationships/image" Target="media/image9.wmf"/><Relationship Id="rId21" Type="http://schemas.openxmlformats.org/officeDocument/2006/relationships/image" Target="media/image8.png"/><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D2E10-79C7-4411-8738-9AF9A3EED69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53</Pages>
  <Words>5310</Words>
  <Characters>30272</Characters>
  <Lines>252</Lines>
  <Paragraphs>71</Paragraphs>
  <TotalTime>0</TotalTime>
  <ScaleCrop>false</ScaleCrop>
  <LinksUpToDate>false</LinksUpToDate>
  <CharactersWithSpaces>35511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2021-11-18T02:16:00Z</dcterms:created>
  <dc:creator>lhj</dc:creator>
  <cp:lastModifiedBy>Administrator</cp:lastModifiedBy>
  <cp:lastPrinted>2021-10-28T06:54:00Z</cp:lastPrinted>
  <dcterms:modified xsi:type="dcterms:W3CDTF">2022-01-19T09:13:17Z</dcterms:modified>
  <dc:title>附件2</dc:title>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A672AFC848A042438399CE07632BBA47</vt:lpwstr>
  </property>
</Properties>
</file>